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A43425">
      <w:pPr>
        <w:pStyle w:val="Heading1"/>
        <w:rPr>
          <w:rFonts w:ascii="Calibri" w:eastAsia="Times New Roman" w:hAnsi="Calibri" w:cs="Calibri"/>
        </w:rPr>
      </w:pPr>
      <w:bookmarkStart w:id="0" w:name="_GoBack"/>
      <w:bookmarkEnd w:id="0"/>
      <w:r>
        <w:rPr>
          <w:rFonts w:ascii="Calibri" w:eastAsia="Times New Roman" w:hAnsi="Calibri" w:cs="Calibri"/>
        </w:rPr>
        <w:t>Irish Dataset Handbook</w:t>
      </w:r>
    </w:p>
    <w:p w:rsidR="00000000" w:rsidRDefault="00A43425">
      <w:pPr>
        <w:pStyle w:val="NormalWeb"/>
        <w:rPr>
          <w:rFonts w:ascii="Calibri" w:hAnsi="Calibri" w:cs="Calibri"/>
          <w:sz w:val="21"/>
          <w:szCs w:val="21"/>
        </w:rPr>
      </w:pPr>
      <w:r>
        <w:rPr>
          <w:rStyle w:val="Emphasis"/>
          <w:rFonts w:ascii="Calibri" w:hAnsi="Calibri" w:cs="Calibri"/>
          <w:sz w:val="21"/>
          <w:szCs w:val="21"/>
        </w:rPr>
        <w:t>The data behind the Irish focus (Amendment A6): sources, background, construction, quality checks, descriptive statistics by phase, features and limitations.</w:t>
      </w:r>
    </w:p>
    <w:p w:rsidR="00000000" w:rsidRDefault="00A43425">
      <w:pPr>
        <w:pStyle w:val="NormalWeb"/>
        <w:shd w:val="clear" w:color="auto" w:fill="FFF2CC"/>
        <w:divId w:val="1236164366"/>
        <w:rPr>
          <w:rFonts w:ascii="Calibri" w:hAnsi="Calibri" w:cs="Calibri"/>
          <w:sz w:val="21"/>
          <w:szCs w:val="21"/>
        </w:rPr>
      </w:pPr>
      <w:r>
        <w:rPr>
          <w:rStyle w:val="Strong"/>
          <w:rFonts w:ascii="Calibri" w:hAnsi="Calibri" w:cs="Calibri"/>
          <w:sz w:val="21"/>
          <w:szCs w:val="21"/>
        </w:rPr>
        <w:t>Status.</w:t>
      </w:r>
      <w:r>
        <w:rPr>
          <w:rFonts w:ascii="Calibri" w:hAnsi="Calibri" w:cs="Calibri"/>
          <w:sz w:val="21"/>
          <w:szCs w:val="21"/>
        </w:rPr>
        <w:t xml:space="preserve"> Study notes prepared with AI assistance on 2 Oct 2026 (see </w:t>
      </w:r>
      <w:r>
        <w:rPr>
          <w:rStyle w:val="HTMLCode"/>
        </w:rPr>
        <w:t>notes/ai_use.md</w:t>
      </w:r>
      <w:r>
        <w:rPr>
          <w:rFonts w:ascii="Calibri" w:hAnsi="Calibri" w:cs="Calibri"/>
          <w:sz w:val="21"/>
          <w:szCs w:val="21"/>
        </w:rPr>
        <w:t xml:space="preserve">). </w:t>
      </w:r>
      <w:r>
        <w:rPr>
          <w:rStyle w:val="Strong"/>
          <w:rFonts w:ascii="Calibri" w:hAnsi="Calibri" w:cs="Calibri"/>
          <w:sz w:val="21"/>
          <w:szCs w:val="21"/>
        </w:rPr>
        <w:t>Not dissertation text.</w:t>
      </w:r>
      <w:r>
        <w:rPr>
          <w:rFonts w:ascii="Calibri" w:hAnsi="Calibri" w:cs="Calibri"/>
          <w:sz w:val="21"/>
          <w:szCs w:val="21"/>
        </w:rPr>
        <w:t xml:space="preserve"> Write your Data chapter in your own words and check every external fact against the sources in section 13 before citing it. All numbers below come from </w:t>
      </w:r>
      <w:r>
        <w:rPr>
          <w:rStyle w:val="HTMLCode"/>
        </w:rPr>
        <w:t>code/19_irish_data_profile.py</w:t>
      </w:r>
      <w:r>
        <w:rPr>
          <w:rFonts w:ascii="Calibri" w:hAnsi="Calibri" w:cs="Calibri"/>
          <w:sz w:val="21"/>
          <w:szCs w:val="21"/>
        </w:rPr>
        <w:t xml:space="preserve"> (descriptive only) and </w:t>
      </w:r>
      <w:r>
        <w:rPr>
          <w:rStyle w:val="HTMLCode"/>
        </w:rPr>
        <w:t>code/17_ir</w:t>
      </w:r>
      <w:r>
        <w:rPr>
          <w:rStyle w:val="HTMLCode"/>
        </w:rPr>
        <w:t>ish_focus.py</w:t>
      </w:r>
      <w:r>
        <w:rPr>
          <w:rFonts w:ascii="Calibri" w:hAnsi="Calibri" w:cs="Calibri"/>
          <w:sz w:val="21"/>
          <w:szCs w:val="21"/>
        </w:rPr>
        <w:t xml:space="preserve">. Tables are in </w:t>
      </w:r>
      <w:r>
        <w:rPr>
          <w:rStyle w:val="HTMLCode"/>
        </w:rPr>
        <w:t>results/irish_data_*.csv</w:t>
      </w:r>
      <w:r>
        <w:rPr>
          <w:rFonts w:ascii="Calibri" w:hAnsi="Calibri" w:cs="Calibri"/>
          <w:sz w:val="21"/>
          <w:szCs w:val="21"/>
        </w:rPr>
        <w:t>.</w:t>
      </w:r>
    </w:p>
    <w:p w:rsidR="00000000" w:rsidRDefault="00A43425">
      <w:pPr>
        <w:pStyle w:val="Heading2"/>
        <w:rPr>
          <w:rFonts w:ascii="Calibri" w:eastAsia="Times New Roman" w:hAnsi="Calibri" w:cs="Calibri"/>
        </w:rPr>
      </w:pPr>
      <w:r>
        <w:rPr>
          <w:rFonts w:ascii="Calibri" w:eastAsia="Times New Roman" w:hAnsi="Calibri" w:cs="Calibri"/>
        </w:rPr>
        <w:t>Contents</w:t>
      </w:r>
    </w:p>
    <w:p w:rsidR="00000000" w:rsidRDefault="00A43425">
      <w:pPr>
        <w:numPr>
          <w:ilvl w:val="0"/>
          <w:numId w:val="1"/>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Why this dataset</w:t>
      </w:r>
    </w:p>
    <w:p w:rsidR="00000000" w:rsidRDefault="00A43425">
      <w:pPr>
        <w:numPr>
          <w:ilvl w:val="0"/>
          <w:numId w:val="1"/>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The Irish market: background you need</w:t>
      </w:r>
    </w:p>
    <w:p w:rsidR="00000000" w:rsidRDefault="00A43425">
      <w:pPr>
        <w:numPr>
          <w:ilvl w:val="0"/>
          <w:numId w:val="1"/>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Sources</w:t>
      </w:r>
    </w:p>
    <w:p w:rsidR="00000000" w:rsidRDefault="00A43425">
      <w:pPr>
        <w:numPr>
          <w:ilvl w:val="0"/>
          <w:numId w:val="1"/>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What was searched for and not used</w:t>
      </w:r>
    </w:p>
    <w:p w:rsidR="00000000" w:rsidRDefault="00A43425">
      <w:pPr>
        <w:numPr>
          <w:ilvl w:val="0"/>
          <w:numId w:val="1"/>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How the dataset is built, step by step</w:t>
      </w:r>
    </w:p>
    <w:p w:rsidR="00000000" w:rsidRDefault="00A43425">
      <w:pPr>
        <w:numPr>
          <w:ilvl w:val="0"/>
          <w:numId w:val="1"/>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Quality checks</w:t>
      </w:r>
    </w:p>
    <w:p w:rsidR="00000000" w:rsidRDefault="00A43425">
      <w:pPr>
        <w:numPr>
          <w:ilvl w:val="0"/>
          <w:numId w:val="1"/>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Descriptive statistics by phase</w:t>
      </w:r>
    </w:p>
    <w:p w:rsidR="00000000" w:rsidRDefault="00A43425">
      <w:pPr>
        <w:numPr>
          <w:ilvl w:val="0"/>
          <w:numId w:val="1"/>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Stylised </w:t>
      </w:r>
      <w:r>
        <w:rPr>
          <w:rFonts w:ascii="Calibri" w:eastAsia="Times New Roman" w:hAnsi="Calibri" w:cs="Calibri"/>
          <w:sz w:val="21"/>
          <w:szCs w:val="21"/>
        </w:rPr>
        <w:t>facts, tested</w:t>
      </w:r>
    </w:p>
    <w:p w:rsidR="00000000" w:rsidRDefault="00A43425">
      <w:pPr>
        <w:numPr>
          <w:ilvl w:val="0"/>
          <w:numId w:val="1"/>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The target variable</w:t>
      </w:r>
    </w:p>
    <w:p w:rsidR="00000000" w:rsidRDefault="00A43425">
      <w:pPr>
        <w:numPr>
          <w:ilvl w:val="0"/>
          <w:numId w:val="1"/>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The largest moves</w:t>
      </w:r>
    </w:p>
    <w:p w:rsidR="00000000" w:rsidRDefault="00A43425">
      <w:pPr>
        <w:numPr>
          <w:ilvl w:val="0"/>
          <w:numId w:val="1"/>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The features in depth</w:t>
      </w:r>
    </w:p>
    <w:p w:rsidR="00000000" w:rsidRDefault="00A43425">
      <w:pPr>
        <w:numPr>
          <w:ilvl w:val="0"/>
          <w:numId w:val="1"/>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The ISEQ and the banks</w:t>
      </w:r>
    </w:p>
    <w:p w:rsidR="00000000" w:rsidRDefault="00A43425">
      <w:pPr>
        <w:numPr>
          <w:ilvl w:val="0"/>
          <w:numId w:val="1"/>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Limitations, reproduction and sources</w:t>
      </w:r>
    </w:p>
    <w:p w:rsidR="00000000" w:rsidRDefault="00A43425">
      <w:pPr>
        <w:rPr>
          <w:rFonts w:ascii="Calibri" w:eastAsia="Times New Roman" w:hAnsi="Calibri" w:cs="Calibri"/>
          <w:sz w:val="21"/>
          <w:szCs w:val="21"/>
        </w:rPr>
      </w:pPr>
      <w:r>
        <w:rPr>
          <w:rFonts w:ascii="Calibri" w:eastAsia="Times New Roman" w:hAnsi="Calibri" w:cs="Calibri"/>
          <w:sz w:val="21"/>
          <w:szCs w:val="21"/>
        </w:rPr>
        <w:pict>
          <v:rect id="_x0000_i1025" style="width:0;height:1.5pt" o:hralign="center" o:hrstd="t" o:hr="t" fillcolor="#a0a0a0" stroked="f"/>
        </w:pict>
      </w:r>
    </w:p>
    <w:p w:rsidR="00000000" w:rsidRDefault="00A43425">
      <w:pPr>
        <w:pStyle w:val="Heading2"/>
        <w:rPr>
          <w:rFonts w:ascii="Calibri" w:eastAsia="Times New Roman" w:hAnsi="Calibri" w:cs="Calibri"/>
        </w:rPr>
      </w:pPr>
      <w:r>
        <w:rPr>
          <w:rFonts w:ascii="Calibri" w:eastAsia="Times New Roman" w:hAnsi="Calibri" w:cs="Calibri"/>
        </w:rPr>
        <w:t>1. Why this dataset</w:t>
      </w:r>
    </w:p>
    <w:p w:rsidR="00000000" w:rsidRDefault="00A43425">
      <w:pPr>
        <w:pStyle w:val="NormalWeb"/>
        <w:rPr>
          <w:rFonts w:ascii="Calibri" w:hAnsi="Calibri" w:cs="Calibri"/>
          <w:sz w:val="21"/>
          <w:szCs w:val="21"/>
        </w:rPr>
      </w:pPr>
      <w:r>
        <w:rPr>
          <w:rFonts w:ascii="Calibri" w:hAnsi="Calibri" w:cs="Calibri"/>
          <w:sz w:val="21"/>
          <w:szCs w:val="21"/>
        </w:rPr>
        <w:t xml:space="preserve">The dissertation reads the </w:t>
      </w:r>
      <w:r>
        <w:rPr>
          <w:rStyle w:val="Strong"/>
          <w:rFonts w:ascii="Calibri" w:hAnsi="Calibri" w:cs="Calibri"/>
          <w:sz w:val="21"/>
          <w:szCs w:val="21"/>
        </w:rPr>
        <w:t>Irish financial crisis of 2007–2012</w:t>
      </w:r>
      <w:r>
        <w:rPr>
          <w:rFonts w:ascii="Calibri" w:hAnsi="Calibri" w:cs="Calibri"/>
          <w:sz w:val="21"/>
          <w:szCs w:val="21"/>
        </w:rPr>
        <w:t xml:space="preserve"> a</w:t>
      </w:r>
      <w:r>
        <w:rPr>
          <w:rFonts w:ascii="Calibri" w:hAnsi="Calibri" w:cs="Calibri"/>
          <w:sz w:val="21"/>
          <w:szCs w:val="21"/>
        </w:rPr>
        <w:t xml:space="preserve">s one Minsky–Kindleberger episode: a credit boom, then distress, panic, a lender of last resort, a relief rally and a sovereign crisis. It uses </w:t>
      </w:r>
      <w:r>
        <w:rPr>
          <w:rStyle w:val="Strong"/>
          <w:rFonts w:ascii="Calibri" w:hAnsi="Calibri" w:cs="Calibri"/>
          <w:sz w:val="21"/>
          <w:szCs w:val="21"/>
        </w:rPr>
        <w:t>Irish data only</w:t>
      </w:r>
      <w:r>
        <w:rPr>
          <w:rFonts w:ascii="Calibri" w:hAnsi="Calibri" w:cs="Calibri"/>
          <w:sz w:val="21"/>
          <w:szCs w:val="21"/>
        </w:rPr>
        <w:t>.</w:t>
      </w:r>
    </w:p>
    <w:p w:rsidR="00000000" w:rsidRDefault="00A43425">
      <w:pPr>
        <w:pStyle w:val="NormalWeb"/>
        <w:rPr>
          <w:rFonts w:ascii="Calibri" w:hAnsi="Calibri" w:cs="Calibri"/>
          <w:sz w:val="21"/>
          <w:szCs w:val="21"/>
        </w:rPr>
      </w:pPr>
      <w:r>
        <w:rPr>
          <w:rFonts w:ascii="Calibri" w:hAnsi="Calibri" w:cs="Calibri"/>
          <w:sz w:val="21"/>
          <w:szCs w:val="21"/>
        </w:rPr>
        <w:t>Two series carry the story:</w:t>
      </w:r>
    </w:p>
    <w:p w:rsidR="00000000" w:rsidRDefault="00A43425">
      <w:pPr>
        <w:numPr>
          <w:ilvl w:val="0"/>
          <w:numId w:val="2"/>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The ISEQ Overall index</w:t>
      </w:r>
      <w:r>
        <w:rPr>
          <w:rFonts w:ascii="Calibri" w:eastAsia="Times New Roman" w:hAnsi="Calibri" w:cs="Calibri"/>
          <w:sz w:val="21"/>
          <w:szCs w:val="21"/>
        </w:rPr>
        <w:t xml:space="preserve"> — the market whose volatility is forecast.</w:t>
      </w:r>
    </w:p>
    <w:p w:rsidR="00000000" w:rsidRDefault="00A43425">
      <w:pPr>
        <w:numPr>
          <w:ilvl w:val="0"/>
          <w:numId w:val="2"/>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T</w:t>
      </w:r>
      <w:r>
        <w:rPr>
          <w:rStyle w:val="Strong"/>
          <w:rFonts w:ascii="Calibri" w:eastAsia="Times New Roman" w:hAnsi="Calibri" w:cs="Calibri"/>
          <w:sz w:val="21"/>
          <w:szCs w:val="21"/>
        </w:rPr>
        <w:t>wo Irish banks, Bank of Ireland and AIB</w:t>
      </w:r>
      <w:r>
        <w:rPr>
          <w:rFonts w:ascii="Calibri" w:eastAsia="Times New Roman" w:hAnsi="Calibri" w:cs="Calibri"/>
          <w:sz w:val="21"/>
          <w:szCs w:val="21"/>
        </w:rPr>
        <w:t xml:space="preserve"> — where the crisis began. In June 2007 AIB, Anglo Irish Bank and Bank of Ireland together made up </w:t>
      </w:r>
      <w:r>
        <w:rPr>
          <w:rStyle w:val="Strong"/>
          <w:rFonts w:ascii="Calibri" w:eastAsia="Times New Roman" w:hAnsi="Calibri" w:cs="Calibri"/>
          <w:sz w:val="21"/>
          <w:szCs w:val="21"/>
        </w:rPr>
        <w:t>almost 37% of the ISEQ</w:t>
      </w:r>
      <w:r>
        <w:rPr>
          <w:rFonts w:ascii="Calibri" w:eastAsia="Times New Roman" w:hAnsi="Calibri" w:cs="Calibri"/>
          <w:sz w:val="21"/>
          <w:szCs w:val="21"/>
        </w:rPr>
        <w:t xml:space="preserve"> (Irish Times, 2 June 2007). A banking bust was therefore also an index bust.</w:t>
      </w:r>
    </w:p>
    <w:p w:rsidR="00000000" w:rsidRDefault="00A43425">
      <w:pPr>
        <w:pStyle w:val="Heading2"/>
        <w:rPr>
          <w:rFonts w:ascii="Calibri" w:eastAsia="Times New Roman" w:hAnsi="Calibri" w:cs="Calibri"/>
        </w:rPr>
      </w:pPr>
      <w:r>
        <w:rPr>
          <w:rFonts w:ascii="Calibri" w:eastAsia="Times New Roman" w:hAnsi="Calibri" w:cs="Calibri"/>
        </w:rPr>
        <w:t>2. The Irish marke</w:t>
      </w:r>
      <w:r>
        <w:rPr>
          <w:rFonts w:ascii="Calibri" w:eastAsia="Times New Roman" w:hAnsi="Calibri" w:cs="Calibri"/>
        </w:rPr>
        <w:t>t: background you need</w:t>
      </w:r>
    </w:p>
    <w:p w:rsidR="00000000" w:rsidRDefault="00A43425">
      <w:pPr>
        <w:pStyle w:val="NormalWeb"/>
        <w:rPr>
          <w:rFonts w:ascii="Calibri" w:hAnsi="Calibri" w:cs="Calibri"/>
          <w:sz w:val="21"/>
          <w:szCs w:val="21"/>
        </w:rPr>
      </w:pPr>
      <w:r>
        <w:rPr>
          <w:rStyle w:val="Strong"/>
          <w:rFonts w:ascii="Calibri" w:hAnsi="Calibri" w:cs="Calibri"/>
          <w:sz w:val="21"/>
          <w:szCs w:val="21"/>
        </w:rPr>
        <w:t>The exchange</w:t>
      </w:r>
    </w:p>
    <w:p w:rsidR="00000000" w:rsidRDefault="00A43425">
      <w:pPr>
        <w:numPr>
          <w:ilvl w:val="0"/>
          <w:numId w:val="3"/>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Euronext Dublin</w:t>
      </w:r>
      <w:r>
        <w:rPr>
          <w:rFonts w:ascii="Calibri" w:eastAsia="Times New Roman" w:hAnsi="Calibri" w:cs="Calibri"/>
          <w:sz w:val="21"/>
          <w:szCs w:val="21"/>
        </w:rPr>
        <w:t>, formerly the Irish Stock Exchange (ISE), traces its history to 1793. It has been part of Euronext since 2018 — confirm the date in the Euronext Dublin source (§13).</w:t>
      </w:r>
    </w:p>
    <w:p w:rsidR="00000000" w:rsidRDefault="00A43425">
      <w:pPr>
        <w:numPr>
          <w:ilvl w:val="0"/>
          <w:numId w:val="3"/>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Main Securities Market vs ESM.</w:t>
      </w:r>
    </w:p>
    <w:p w:rsidR="00000000" w:rsidRDefault="00A43425">
      <w:pPr>
        <w:numPr>
          <w:ilvl w:val="1"/>
          <w:numId w:val="3"/>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Large companies list on the Main Securities Market.</w:t>
      </w:r>
    </w:p>
    <w:p w:rsidR="00000000" w:rsidRDefault="00A43425">
      <w:pPr>
        <w:numPr>
          <w:ilvl w:val="1"/>
          <w:numId w:val="3"/>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The Enterprise Securities Market (ESM) is the growth market for smaller firms.</w:t>
      </w:r>
    </w:p>
    <w:p w:rsidR="00000000" w:rsidRDefault="00A43425">
      <w:pPr>
        <w:numPr>
          <w:ilvl w:val="1"/>
          <w:numId w:val="3"/>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lastRenderedPageBreak/>
        <w:t>The ISEQ Overall covers main-market shares. Check the current rulebook for the exact eligibility rules.</w:t>
      </w:r>
    </w:p>
    <w:p w:rsidR="00000000" w:rsidRDefault="00A43425">
      <w:pPr>
        <w:pStyle w:val="NormalWeb"/>
        <w:rPr>
          <w:rFonts w:ascii="Calibri" w:hAnsi="Calibri" w:cs="Calibri"/>
          <w:sz w:val="21"/>
          <w:szCs w:val="21"/>
        </w:rPr>
      </w:pPr>
      <w:r>
        <w:rPr>
          <w:rStyle w:val="Strong"/>
          <w:rFonts w:ascii="Calibri" w:hAnsi="Calibri" w:cs="Calibri"/>
          <w:sz w:val="21"/>
          <w:szCs w:val="21"/>
        </w:rPr>
        <w:t>The index</w:t>
      </w:r>
    </w:p>
    <w:p w:rsidR="00000000" w:rsidRDefault="00A43425">
      <w:pPr>
        <w:numPr>
          <w:ilvl w:val="0"/>
          <w:numId w:val="4"/>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The </w:t>
      </w:r>
      <w:r>
        <w:rPr>
          <w:rStyle w:val="Strong"/>
          <w:rFonts w:ascii="Calibri" w:eastAsia="Times New Roman" w:hAnsi="Calibri" w:cs="Calibri"/>
          <w:sz w:val="21"/>
          <w:szCs w:val="21"/>
        </w:rPr>
        <w:t>ISEQ Ov</w:t>
      </w:r>
      <w:r>
        <w:rPr>
          <w:rStyle w:val="Strong"/>
          <w:rFonts w:ascii="Calibri" w:eastAsia="Times New Roman" w:hAnsi="Calibri" w:cs="Calibri"/>
          <w:sz w:val="21"/>
          <w:szCs w:val="21"/>
        </w:rPr>
        <w:t>erall</w:t>
      </w:r>
      <w:r>
        <w:rPr>
          <w:rFonts w:ascii="Calibri" w:eastAsia="Times New Roman" w:hAnsi="Calibri" w:cs="Calibri"/>
          <w:sz w:val="21"/>
          <w:szCs w:val="21"/>
        </w:rPr>
        <w:t xml:space="preserve"> is a capitalisation-weighted index of Irish equities. Euronext data start on </w:t>
      </w:r>
      <w:r>
        <w:rPr>
          <w:rStyle w:val="Strong"/>
          <w:rFonts w:ascii="Calibri" w:eastAsia="Times New Roman" w:hAnsi="Calibri" w:cs="Calibri"/>
          <w:sz w:val="21"/>
          <w:szCs w:val="21"/>
        </w:rPr>
        <w:t>4 January 1988</w:t>
      </w:r>
      <w:r>
        <w:rPr>
          <w:rFonts w:ascii="Calibri" w:eastAsia="Times New Roman" w:hAnsi="Calibri" w:cs="Calibri"/>
          <w:sz w:val="21"/>
          <w:szCs w:val="21"/>
        </w:rPr>
        <w:t>; the base value is usually given as 1,000 (confirm in the Euronext rulebook).</w:t>
      </w:r>
    </w:p>
    <w:p w:rsidR="00000000" w:rsidRDefault="00A43425">
      <w:pPr>
        <w:numPr>
          <w:ilvl w:val="0"/>
          <w:numId w:val="4"/>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In 2007 the ISE planned to move the index to </w:t>
      </w:r>
      <w:r>
        <w:rPr>
          <w:rStyle w:val="Strong"/>
          <w:rFonts w:ascii="Calibri" w:eastAsia="Times New Roman" w:hAnsi="Calibri" w:cs="Calibri"/>
          <w:sz w:val="21"/>
          <w:szCs w:val="21"/>
        </w:rPr>
        <w:t>free-float weighting</w:t>
      </w:r>
      <w:r>
        <w:rPr>
          <w:rFonts w:ascii="Calibri" w:eastAsia="Times New Roman" w:hAnsi="Calibri" w:cs="Calibri"/>
          <w:sz w:val="21"/>
          <w:szCs w:val="21"/>
        </w:rPr>
        <w:t xml:space="preserve">, which leaves </w:t>
      </w:r>
      <w:r>
        <w:rPr>
          <w:rFonts w:ascii="Calibri" w:eastAsia="Times New Roman" w:hAnsi="Calibri" w:cs="Calibri"/>
          <w:sz w:val="21"/>
          <w:szCs w:val="21"/>
        </w:rPr>
        <w:t>out strategic, non-tradeable holdings (Irish Times, 2 June 2007).</w:t>
      </w:r>
    </w:p>
    <w:p w:rsidR="00000000" w:rsidRDefault="00A43425">
      <w:pPr>
        <w:numPr>
          <w:ilvl w:val="0"/>
          <w:numId w:val="4"/>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ISEQ 20:</w:t>
      </w:r>
      <w:r>
        <w:rPr>
          <w:rFonts w:ascii="Calibri" w:eastAsia="Times New Roman" w:hAnsi="Calibri" w:cs="Calibri"/>
          <w:sz w:val="21"/>
          <w:szCs w:val="21"/>
        </w:rPr>
        <w:t xml:space="preserve"> the 20 largest and most traded shares; started 31 Dec 2004 at 1,000. It is not used here.</w:t>
      </w:r>
    </w:p>
    <w:p w:rsidR="00000000" w:rsidRDefault="00A43425">
      <w:pPr>
        <w:numPr>
          <w:ilvl w:val="0"/>
          <w:numId w:val="4"/>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The Yahoo series </w:t>
      </w:r>
      <w:r>
        <w:rPr>
          <w:rStyle w:val="HTMLCode"/>
        </w:rPr>
        <w:t>^ISEQ</w:t>
      </w:r>
      <w:r>
        <w:rPr>
          <w:rFonts w:ascii="Calibri" w:eastAsia="Times New Roman" w:hAnsi="Calibri" w:cs="Calibri"/>
          <w:sz w:val="21"/>
          <w:szCs w:val="21"/>
        </w:rPr>
        <w:t xml:space="preserve"> is the ISEQ Overall </w:t>
      </w:r>
      <w:r>
        <w:rPr>
          <w:rStyle w:val="Strong"/>
          <w:rFonts w:ascii="Calibri" w:eastAsia="Times New Roman" w:hAnsi="Calibri" w:cs="Calibri"/>
          <w:sz w:val="21"/>
          <w:szCs w:val="21"/>
        </w:rPr>
        <w:t>price</w:t>
      </w:r>
      <w:r>
        <w:rPr>
          <w:rFonts w:ascii="Calibri" w:eastAsia="Times New Roman" w:hAnsi="Calibri" w:cs="Calibri"/>
          <w:sz w:val="21"/>
          <w:szCs w:val="21"/>
        </w:rPr>
        <w:t xml:space="preserve"> index: dividends are not reinvested.</w:t>
      </w:r>
    </w:p>
    <w:p w:rsidR="00000000" w:rsidRDefault="00A43425">
      <w:pPr>
        <w:pStyle w:val="NormalWeb"/>
        <w:rPr>
          <w:rFonts w:ascii="Calibri" w:hAnsi="Calibri" w:cs="Calibri"/>
          <w:sz w:val="21"/>
          <w:szCs w:val="21"/>
        </w:rPr>
      </w:pPr>
      <w:r>
        <w:rPr>
          <w:rStyle w:val="Strong"/>
          <w:rFonts w:ascii="Calibri" w:hAnsi="Calibri" w:cs="Calibri"/>
          <w:sz w:val="21"/>
          <w:szCs w:val="21"/>
        </w:rPr>
        <w:t xml:space="preserve">What </w:t>
      </w:r>
      <w:r>
        <w:rPr>
          <w:rStyle w:val="Strong"/>
          <w:rFonts w:ascii="Calibri" w:hAnsi="Calibri" w:cs="Calibri"/>
          <w:sz w:val="21"/>
          <w:szCs w:val="21"/>
        </w:rPr>
        <w:t>happened to the banks — these events shape the data:</w:t>
      </w:r>
    </w:p>
    <w:tbl>
      <w:tblPr>
        <w:tblW w:w="5000" w:type="pct"/>
        <w:tblCellMar>
          <w:top w:w="15" w:type="dxa"/>
          <w:left w:w="15" w:type="dxa"/>
          <w:bottom w:w="15" w:type="dxa"/>
          <w:right w:w="15" w:type="dxa"/>
        </w:tblCellMar>
        <w:tblLook w:val="04A0" w:firstRow="1" w:lastRow="0" w:firstColumn="1" w:lastColumn="0" w:noHBand="0" w:noVBand="1"/>
      </w:tblPr>
      <w:tblGrid>
        <w:gridCol w:w="906"/>
        <w:gridCol w:w="4016"/>
        <w:gridCol w:w="4104"/>
      </w:tblGrid>
      <w:tr w:rsidR="00000000" w:rsidTr="00A43425">
        <w:trPr>
          <w:tblHeader/>
        </w:trPr>
        <w:tc>
          <w:tcPr>
            <w:tcW w:w="502"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Date</w:t>
            </w:r>
          </w:p>
        </w:tc>
        <w:tc>
          <w:tcPr>
            <w:tcW w:w="2225"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Event</w:t>
            </w:r>
          </w:p>
        </w:tc>
        <w:tc>
          <w:tcPr>
            <w:tcW w:w="2273"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Effect on the data</w:t>
            </w:r>
          </w:p>
        </w:tc>
      </w:tr>
      <w:tr w:rsidR="00000000" w:rsidTr="00A43425">
        <w:tc>
          <w:tcPr>
            <w:tcW w:w="502"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Jun 2007</w:t>
            </w:r>
          </w:p>
        </w:tc>
        <w:tc>
          <w:tcPr>
            <w:tcW w:w="22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AIB, Anglo Irish and Bank of Ireland ≈ 37% of the ISEQ</w:t>
            </w:r>
          </w:p>
        </w:tc>
        <w:tc>
          <w:tcPr>
            <w:tcW w:w="227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bank stress moves the whole index</w:t>
            </w:r>
          </w:p>
        </w:tc>
      </w:tr>
      <w:tr w:rsidR="00000000" w:rsidTr="00A43425">
        <w:tc>
          <w:tcPr>
            <w:tcW w:w="502"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30 Sep 2008</w:t>
            </w:r>
          </w:p>
        </w:tc>
        <w:tc>
          <w:tcPr>
            <w:tcW w:w="22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Irish government guarantee of the banks' liabilities</w:t>
            </w:r>
          </w:p>
        </w:tc>
        <w:tc>
          <w:tcPr>
            <w:tcW w:w="227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ISEQ −14.0% on 29 Sep and +7.6% on 30 Sep (in the data)</w:t>
            </w:r>
          </w:p>
        </w:tc>
      </w:tr>
      <w:tr w:rsidR="00000000" w:rsidTr="00A43425">
        <w:tc>
          <w:tcPr>
            <w:tcW w:w="502"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Jan 2009</w:t>
            </w:r>
          </w:p>
        </w:tc>
        <w:tc>
          <w:tcPr>
            <w:tcW w:w="22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Anglo Irish Bank nationalised; its shares cancelled</w:t>
            </w:r>
          </w:p>
        </w:tc>
        <w:tc>
          <w:tcPr>
            <w:tcW w:w="227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Anglo leaves the index; no Yahoo series (survivorship)</w:t>
            </w:r>
          </w:p>
        </w:tc>
      </w:tr>
      <w:tr w:rsidR="00000000" w:rsidTr="00A43425">
        <w:tc>
          <w:tcPr>
            <w:tcW w:w="502"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2010</w:t>
            </w:r>
          </w:p>
        </w:tc>
        <w:tc>
          <w:tcPr>
            <w:tcW w:w="22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Bank of Ireland rights issue at €0.55 (state-underwritten)</w:t>
            </w:r>
          </w:p>
        </w:tc>
        <w:tc>
          <w:tcPr>
            <w:tcW w:w="227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 xml:space="preserve">partly mechanical </w:t>
            </w:r>
            <w:r>
              <w:rPr>
                <w:rFonts w:ascii="Calibri" w:eastAsia="Times New Roman" w:hAnsi="Calibri" w:cs="Calibri"/>
                <w:sz w:val="18"/>
                <w:szCs w:val="18"/>
              </w:rPr>
              <w:t>price fall</w:t>
            </w:r>
          </w:p>
        </w:tc>
      </w:tr>
      <w:tr w:rsidR="00000000" w:rsidTr="00A43425">
        <w:tc>
          <w:tcPr>
            <w:tcW w:w="502"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25 Jan 2011</w:t>
            </w:r>
          </w:p>
        </w:tc>
        <w:tc>
          <w:tcPr>
            <w:tcW w:w="22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AIB leaves the Main Securities Market for the ESM</w:t>
            </w:r>
          </w:p>
        </w:tc>
        <w:tc>
          <w:tcPr>
            <w:tcW w:w="227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AIB no longer in the main-market index; still an Irish bank-stress signal</w:t>
            </w:r>
          </w:p>
        </w:tc>
      </w:tr>
      <w:tr w:rsidR="00000000" w:rsidTr="00A43425">
        <w:tc>
          <w:tcPr>
            <w:tcW w:w="502"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Jul 2011</w:t>
            </w:r>
          </w:p>
        </w:tc>
        <w:tc>
          <w:tcPr>
            <w:tcW w:w="22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AIB places €5bn of new shares with the state (NPRFC) at €0.01; state owns 99.8%</w:t>
            </w:r>
          </w:p>
        </w:tc>
        <w:tc>
          <w:tcPr>
            <w:tcW w:w="227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AIB price collapse</w:t>
            </w:r>
            <w:r>
              <w:rPr>
                <w:rFonts w:ascii="Calibri" w:eastAsia="Times New Roman" w:hAnsi="Calibri" w:cs="Calibri"/>
                <w:sz w:val="18"/>
                <w:szCs w:val="18"/>
              </w:rPr>
              <w:t>s mechanically; thin trading afterwards</w:t>
            </w:r>
          </w:p>
        </w:tc>
      </w:tr>
      <w:tr w:rsidR="00000000" w:rsidTr="00A43425">
        <w:tc>
          <w:tcPr>
            <w:tcW w:w="502"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Jul 2011</w:t>
            </w:r>
          </w:p>
        </w:tc>
        <w:tc>
          <w:tcPr>
            <w:tcW w:w="22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Bank of Ireland 18-for-5 rights issue (€1.91bn)</w:t>
            </w:r>
          </w:p>
        </w:tc>
        <w:tc>
          <w:tcPr>
            <w:tcW w:w="227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mechanical price fall</w:t>
            </w:r>
          </w:p>
        </w:tc>
      </w:tr>
      <w:tr w:rsidR="00000000" w:rsidTr="00A43425">
        <w:tc>
          <w:tcPr>
            <w:tcW w:w="502"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Dec 2015</w:t>
            </w:r>
          </w:p>
        </w:tc>
        <w:tc>
          <w:tcPr>
            <w:tcW w:w="22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AIB 1-for-250 share consolidation</w:t>
            </w:r>
          </w:p>
        </w:tc>
        <w:tc>
          <w:tcPr>
            <w:tcW w:w="227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outside the window; recorded by Yahoo as a split (0.004), so returns are unaffected</w:t>
            </w:r>
          </w:p>
        </w:tc>
      </w:tr>
      <w:tr w:rsidR="00000000" w:rsidTr="00A43425">
        <w:tc>
          <w:tcPr>
            <w:tcW w:w="502"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2023–24</w:t>
            </w:r>
          </w:p>
        </w:tc>
        <w:tc>
          <w:tcPr>
            <w:tcW w:w="22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CRH, Flutter and Smurfit leave the ISEQ</w:t>
            </w:r>
          </w:p>
        </w:tc>
        <w:tc>
          <w:tcPr>
            <w:tcW w:w="227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outside the Irish-focus window (ends 2012)</w:t>
            </w:r>
          </w:p>
        </w:tc>
      </w:tr>
    </w:tbl>
    <w:p w:rsidR="00000000" w:rsidRDefault="00A43425">
      <w:pPr>
        <w:pStyle w:val="Heading2"/>
        <w:rPr>
          <w:rFonts w:ascii="Calibri" w:eastAsia="Times New Roman" w:hAnsi="Calibri" w:cs="Calibri"/>
        </w:rPr>
      </w:pPr>
      <w:r>
        <w:rPr>
          <w:rFonts w:ascii="Calibri" w:eastAsia="Times New Roman" w:hAnsi="Calibri" w:cs="Calibri"/>
        </w:rPr>
        <w:t>3. Sources</w:t>
      </w:r>
    </w:p>
    <w:tbl>
      <w:tblPr>
        <w:tblW w:w="5000" w:type="pct"/>
        <w:tblCellMar>
          <w:top w:w="15" w:type="dxa"/>
          <w:left w:w="15" w:type="dxa"/>
          <w:bottom w:w="15" w:type="dxa"/>
          <w:right w:w="15" w:type="dxa"/>
        </w:tblCellMar>
        <w:tblLook w:val="04A0" w:firstRow="1" w:lastRow="0" w:firstColumn="1" w:lastColumn="0" w:noHBand="0" w:noVBand="1"/>
      </w:tblPr>
      <w:tblGrid>
        <w:gridCol w:w="1036"/>
        <w:gridCol w:w="893"/>
        <w:gridCol w:w="1067"/>
        <w:gridCol w:w="2294"/>
        <w:gridCol w:w="1239"/>
        <w:gridCol w:w="2497"/>
      </w:tblGrid>
      <w:tr w:rsidR="00000000" w:rsidTr="00A43425">
        <w:trPr>
          <w:tblHeader/>
        </w:trPr>
        <w:tc>
          <w:tcPr>
            <w:tcW w:w="574"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Series</w:t>
            </w:r>
          </w:p>
        </w:tc>
        <w:tc>
          <w:tcPr>
            <w:tcW w:w="495"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Ticker</w:t>
            </w:r>
          </w:p>
        </w:tc>
        <w:tc>
          <w:tcPr>
            <w:tcW w:w="591"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Provider</w:t>
            </w:r>
          </w:p>
        </w:tc>
        <w:tc>
          <w:tcPr>
            <w:tcW w:w="1271"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Fields used</w:t>
            </w:r>
          </w:p>
        </w:tc>
        <w:tc>
          <w:tcPr>
            <w:tcW w:w="686"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Period used</w:t>
            </w:r>
          </w:p>
        </w:tc>
        <w:tc>
          <w:tcPr>
            <w:tcW w:w="1383"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File (not committed: Yahoo terms)</w:t>
            </w:r>
          </w:p>
        </w:tc>
      </w:tr>
      <w:tr w:rsidR="00000000" w:rsidTr="00A43425">
        <w:tc>
          <w:tcPr>
            <w:tcW w:w="57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ISEQ Overall</w:t>
            </w:r>
          </w:p>
        </w:tc>
        <w:tc>
          <w:tcPr>
            <w:tcW w:w="49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Style w:val="HTMLCode"/>
              </w:rPr>
              <w:t>^ISEQ</w:t>
            </w:r>
          </w:p>
        </w:tc>
        <w:tc>
          <w:tcPr>
            <w:tcW w:w="591"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Yahoo Finance</w:t>
            </w:r>
          </w:p>
        </w:tc>
        <w:tc>
          <w:tcPr>
            <w:tcW w:w="1271"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Close (Open/High/Low only for checks)</w:t>
            </w:r>
          </w:p>
        </w:tc>
        <w:tc>
          <w:tcPr>
            <w:tcW w:w="686"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Oct 2002 – Dec 2012</w:t>
            </w:r>
          </w:p>
        </w:tc>
        <w:tc>
          <w:tcPr>
            <w:tcW w:w="138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Style w:val="HTMLCode"/>
              </w:rPr>
              <w:t>data/raw/ISEQ.csv</w:t>
            </w:r>
          </w:p>
        </w:tc>
      </w:tr>
      <w:tr w:rsidR="00000000" w:rsidTr="00A43425">
        <w:tc>
          <w:tcPr>
            <w:tcW w:w="57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lastRenderedPageBreak/>
              <w:t>Bank of Ireland</w:t>
            </w:r>
          </w:p>
        </w:tc>
        <w:tc>
          <w:tcPr>
            <w:tcW w:w="49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Style w:val="HTMLCode"/>
              </w:rPr>
              <w:t>BIRG.IR</w:t>
            </w:r>
          </w:p>
        </w:tc>
        <w:tc>
          <w:tcPr>
            <w:tcW w:w="591"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Yahoo Finance</w:t>
            </w:r>
          </w:p>
        </w:tc>
        <w:tc>
          <w:tcPr>
            <w:tcW w:w="1271"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Adjusted close</w:t>
            </w:r>
          </w:p>
        </w:tc>
        <w:tc>
          <w:tcPr>
            <w:tcW w:w="686"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Oct 2002 – Dec 2012</w:t>
            </w:r>
          </w:p>
        </w:tc>
        <w:tc>
          <w:tcPr>
            <w:tcW w:w="138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Style w:val="HTMLCode"/>
              </w:rPr>
              <w:t>data/raw/BIRG_IR.csv</w:t>
            </w:r>
          </w:p>
        </w:tc>
      </w:tr>
      <w:tr w:rsidR="00000000" w:rsidTr="00A43425">
        <w:tc>
          <w:tcPr>
            <w:tcW w:w="57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AIB</w:t>
            </w:r>
          </w:p>
        </w:tc>
        <w:tc>
          <w:tcPr>
            <w:tcW w:w="49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Style w:val="HTMLCode"/>
              </w:rPr>
              <w:t>A5G.IR</w:t>
            </w:r>
          </w:p>
        </w:tc>
        <w:tc>
          <w:tcPr>
            <w:tcW w:w="591"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Yahoo Finance</w:t>
            </w:r>
          </w:p>
        </w:tc>
        <w:tc>
          <w:tcPr>
            <w:tcW w:w="1271"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Adjusted close</w:t>
            </w:r>
          </w:p>
        </w:tc>
        <w:tc>
          <w:tcPr>
            <w:tcW w:w="686"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Oct 2002 – Dec 2012</w:t>
            </w:r>
          </w:p>
        </w:tc>
        <w:tc>
          <w:tcPr>
            <w:tcW w:w="138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Style w:val="HTMLCode"/>
              </w:rPr>
              <w:t>data/raw/A5G_IR.csv</w:t>
            </w:r>
          </w:p>
        </w:tc>
      </w:tr>
    </w:tbl>
    <w:p w:rsidR="00000000" w:rsidRDefault="00A43425">
      <w:pPr>
        <w:numPr>
          <w:ilvl w:val="0"/>
          <w:numId w:val="5"/>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The tickers belong to today's holding com</w:t>
      </w:r>
      <w:r>
        <w:rPr>
          <w:rFonts w:ascii="Calibri" w:eastAsia="Times New Roman" w:hAnsi="Calibri" w:cs="Calibri"/>
          <w:sz w:val="21"/>
          <w:szCs w:val="21"/>
        </w:rPr>
        <w:t>panies. Yahoo stores the history of the earlier listed bank shares under them.</w:t>
      </w:r>
    </w:p>
    <w:p w:rsidR="00000000" w:rsidRDefault="00A43425">
      <w:pPr>
        <w:numPr>
          <w:ilvl w:val="0"/>
          <w:numId w:val="5"/>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Adjusted close</w:t>
      </w:r>
      <w:r>
        <w:rPr>
          <w:rFonts w:ascii="Calibri" w:eastAsia="Times New Roman" w:hAnsi="Calibri" w:cs="Calibri"/>
          <w:sz w:val="21"/>
          <w:szCs w:val="21"/>
        </w:rPr>
        <w:t xml:space="preserve"> corrects for dividends and splits. It does </w:t>
      </w:r>
      <w:r>
        <w:rPr>
          <w:rStyle w:val="Strong"/>
          <w:rFonts w:ascii="Calibri" w:eastAsia="Times New Roman" w:hAnsi="Calibri" w:cs="Calibri"/>
          <w:sz w:val="21"/>
          <w:szCs w:val="21"/>
        </w:rPr>
        <w:t>not</w:t>
      </w:r>
      <w:r>
        <w:rPr>
          <w:rFonts w:ascii="Calibri" w:eastAsia="Times New Roman" w:hAnsi="Calibri" w:cs="Calibri"/>
          <w:sz w:val="21"/>
          <w:szCs w:val="21"/>
        </w:rPr>
        <w:t xml:space="preserve"> fully correct for rights issues or the 2011 AIB placing (see §6).</w:t>
      </w:r>
    </w:p>
    <w:p w:rsidR="00000000" w:rsidRDefault="00A43425">
      <w:pPr>
        <w:pStyle w:val="Heading2"/>
        <w:rPr>
          <w:rFonts w:ascii="Calibri" w:eastAsia="Times New Roman" w:hAnsi="Calibri" w:cs="Calibri"/>
        </w:rPr>
      </w:pPr>
      <w:r>
        <w:rPr>
          <w:rFonts w:ascii="Calibri" w:eastAsia="Times New Roman" w:hAnsi="Calibri" w:cs="Calibri"/>
        </w:rPr>
        <w:t>4. What was searched for and not used (2 Oct 2026</w:t>
      </w:r>
      <w:r>
        <w:rPr>
          <w:rFonts w:ascii="Calibri" w:eastAsia="Times New Roman" w:hAnsi="Calibri" w:cs="Calibri"/>
        </w:rPr>
        <w:t>)</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tblGrid>
      <w:tr w:rsidR="00000000" w:rsidTr="00A43425">
        <w:trPr>
          <w:tblHeader/>
        </w:trPr>
        <w:tc>
          <w:tcPr>
            <w:tcW w:w="1667"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Candidate</w:t>
            </w:r>
          </w:p>
        </w:tc>
        <w:tc>
          <w:tcPr>
            <w:tcW w:w="1667"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w:t>
            </w:r>
          </w:p>
        </w:tc>
        <w:tc>
          <w:tcPr>
            <w:tcW w:w="1667"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Why not used</w:t>
            </w:r>
          </w:p>
        </w:tc>
      </w:tr>
      <w:tr w:rsidR="00000000" w:rsidTr="00A43425">
        <w:tc>
          <w:tcPr>
            <w:tcW w:w="1667"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ISEQ datasets on GitHub / Kaggle</w:t>
            </w:r>
          </w:p>
        </w:tc>
        <w:tc>
          <w:tcPr>
            <w:tcW w:w="1667"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only Yahoo-based pulls</w:t>
            </w:r>
          </w:p>
        </w:tc>
        <w:tc>
          <w:tcPr>
            <w:tcW w:w="1667"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nothing better than the source already used</w:t>
            </w:r>
          </w:p>
        </w:tc>
      </w:tr>
      <w:tr w:rsidR="00000000" w:rsidTr="00A43425">
        <w:tc>
          <w:tcPr>
            <w:tcW w:w="1667"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PTSB (</w:t>
            </w:r>
            <w:r>
              <w:rPr>
                <w:rStyle w:val="HTMLCode"/>
              </w:rPr>
              <w:t>PTSB.IR</w:t>
            </w:r>
            <w:r>
              <w:rPr>
                <w:rFonts w:ascii="Calibri" w:eastAsia="Times New Roman" w:hAnsi="Calibri" w:cs="Calibri"/>
                <w:sz w:val="18"/>
                <w:szCs w:val="18"/>
              </w:rPr>
              <w:t>)</w:t>
            </w:r>
          </w:p>
        </w:tc>
        <w:tc>
          <w:tcPr>
            <w:tcW w:w="1667"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available</w:t>
            </w:r>
          </w:p>
        </w:tc>
        <w:tc>
          <w:tcPr>
            <w:tcW w:w="1667"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stale: 51% of 2010–12 days show no price change; 13% zero-volume days</w:t>
            </w:r>
          </w:p>
        </w:tc>
      </w:tr>
      <w:tr w:rsidR="00000000" w:rsidTr="00A43425">
        <w:tc>
          <w:tcPr>
            <w:tcW w:w="1667"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Anglo Irish Bank, Irish Nationwide</w:t>
            </w:r>
          </w:p>
        </w:tc>
        <w:tc>
          <w:tcPr>
            <w:tcW w:w="1667"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no daily series</w:t>
            </w:r>
          </w:p>
        </w:tc>
        <w:tc>
          <w:tcPr>
            <w:tcW w:w="1667"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failed or mutual; shares cancelled</w:t>
            </w:r>
          </w:p>
        </w:tc>
      </w:tr>
      <w:tr w:rsidR="00000000" w:rsidTr="00A43425">
        <w:tc>
          <w:tcPr>
            <w:tcW w:w="1667"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Daily Irish 10-year government bond yield</w:t>
            </w:r>
          </w:p>
        </w:tc>
        <w:tc>
          <w:tcPr>
            <w:tcW w:w="1667"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Eurostat daily series no longer published; no daily ECB series found</w:t>
            </w:r>
          </w:p>
        </w:tc>
        <w:tc>
          <w:tcPr>
            <w:tcW w:w="1667"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only monthly yields are free (FRED, ECB)</w:t>
            </w:r>
          </w:p>
        </w:tc>
      </w:tr>
      <w:tr w:rsidR="00000000" w:rsidTr="00A43425">
        <w:tc>
          <w:tcPr>
            <w:tcW w:w="1667"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Irish Economic P</w:t>
            </w:r>
            <w:r>
              <w:rPr>
                <w:rFonts w:ascii="Calibri" w:eastAsia="Times New Roman" w:hAnsi="Calibri" w:cs="Calibri"/>
                <w:sz w:val="18"/>
                <w:szCs w:val="18"/>
              </w:rPr>
              <w:t>olicy Uncertainty index</w:t>
            </w:r>
          </w:p>
        </w:tc>
        <w:tc>
          <w:tcPr>
            <w:tcW w:w="1667"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monthly</w:t>
            </w:r>
          </w:p>
        </w:tc>
        <w:tc>
          <w:tcPr>
            <w:tcW w:w="1667"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too coarse for 5-day forecasts</w:t>
            </w:r>
          </w:p>
        </w:tc>
      </w:tr>
      <w:tr w:rsidR="00000000" w:rsidTr="00A43425">
        <w:tc>
          <w:tcPr>
            <w:tcW w:w="1667"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Intraday ISEQ prices (true realised volatility)</w:t>
            </w:r>
          </w:p>
        </w:tc>
        <w:tc>
          <w:tcPr>
            <w:tcW w:w="1667"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not free</w:t>
            </w:r>
          </w:p>
        </w:tc>
        <w:tc>
          <w:tcPr>
            <w:tcW w:w="1667"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Oxford-Man library did not cover the ISEQ</w:t>
            </w:r>
          </w:p>
        </w:tc>
      </w:tr>
      <w:tr w:rsidR="00000000" w:rsidTr="00A43425">
        <w:tc>
          <w:tcPr>
            <w:tcW w:w="1667"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ISEQ trading volume (Yahoo)</w:t>
            </w:r>
          </w:p>
        </w:tc>
        <w:tc>
          <w:tcPr>
            <w:tcW w:w="1667"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18% zero-volume days</w:t>
            </w:r>
          </w:p>
        </w:tc>
        <w:tc>
          <w:tcPr>
            <w:tcW w:w="1667"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unreliable; not used</w:t>
            </w:r>
          </w:p>
        </w:tc>
      </w:tr>
    </w:tbl>
    <w:p w:rsidR="00000000" w:rsidRDefault="00A43425">
      <w:pPr>
        <w:pStyle w:val="Heading2"/>
        <w:rPr>
          <w:rFonts w:ascii="Calibri" w:eastAsia="Times New Roman" w:hAnsi="Calibri" w:cs="Calibri"/>
        </w:rPr>
      </w:pPr>
      <w:r>
        <w:rPr>
          <w:rFonts w:ascii="Calibri" w:eastAsia="Times New Roman" w:hAnsi="Calibri" w:cs="Calibri"/>
        </w:rPr>
        <w:t>5. How the dataset is built, step by step</w:t>
      </w:r>
    </w:p>
    <w:p w:rsidR="00000000" w:rsidRDefault="00A43425">
      <w:pPr>
        <w:numPr>
          <w:ilvl w:val="0"/>
          <w:numId w:val="6"/>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Download and cache:</w:t>
      </w:r>
      <w:r>
        <w:rPr>
          <w:rFonts w:ascii="Calibri" w:eastAsia="Times New Roman" w:hAnsi="Calibri" w:cs="Calibri"/>
          <w:sz w:val="21"/>
          <w:szCs w:val="21"/>
        </w:rPr>
        <w:t xml:space="preserve"> ISEQ, Bank of Ireland and AIB daily prices from Yahoo (scripts 01 and 17). The trading date is kept and the time zone removed.</w:t>
      </w:r>
    </w:p>
    <w:p w:rsidR="00000000" w:rsidRDefault="00A43425">
      <w:pPr>
        <w:numPr>
          <w:ilvl w:val="0"/>
          <w:numId w:val="6"/>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ISEQ return:</w:t>
      </w:r>
      <w:r>
        <w:rPr>
          <w:rFonts w:ascii="Calibri" w:eastAsia="Times New Roman" w:hAnsi="Calibri" w:cs="Calibri"/>
          <w:sz w:val="21"/>
          <w:szCs w:val="21"/>
        </w:rPr>
        <w:t xml:space="preserve"> rₜ = ln(Pₜ / Pₜ₋₁), from closing prices only. Opens ar</w:t>
      </w:r>
      <w:r>
        <w:rPr>
          <w:rFonts w:ascii="Calibri" w:eastAsia="Times New Roman" w:hAnsi="Calibri" w:cs="Calibri"/>
          <w:sz w:val="21"/>
          <w:szCs w:val="21"/>
        </w:rPr>
        <w:t>e not used, because Yahoo's ISEQ opens are often stale (§6).</w:t>
      </w:r>
    </w:p>
    <w:p w:rsidR="00000000" w:rsidRDefault="00A43425">
      <w:pPr>
        <w:numPr>
          <w:ilvl w:val="0"/>
          <w:numId w:val="6"/>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Target:</w:t>
      </w:r>
      <w:r>
        <w:rPr>
          <w:rFonts w:ascii="Calibri" w:eastAsia="Times New Roman" w:hAnsi="Calibri" w:cs="Calibri"/>
          <w:sz w:val="21"/>
          <w:szCs w:val="21"/>
        </w:rPr>
        <w:t xml:space="preserve"> RV5ₜ = r²ₜ₊₁ + … + r²ₜ₊₅, the realised variance of the next 5 days. Models forecast ln RV5ₜ, and forecasts are converted back with a smearing factor (Duan, 1983).</w:t>
      </w:r>
    </w:p>
    <w:p w:rsidR="00000000" w:rsidRDefault="00A43425">
      <w:pPr>
        <w:numPr>
          <w:ilvl w:val="0"/>
          <w:numId w:val="6"/>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Bank return:</w:t>
      </w:r>
      <w:r>
        <w:rPr>
          <w:rFonts w:ascii="Calibri" w:eastAsia="Times New Roman" w:hAnsi="Calibri" w:cs="Calibri"/>
          <w:sz w:val="21"/>
          <w:szCs w:val="21"/>
        </w:rPr>
        <w:t xml:space="preserve"> </w:t>
      </w:r>
      <w:r>
        <w:rPr>
          <w:rFonts w:ascii="Calibri" w:eastAsia="Times New Roman" w:hAnsi="Calibri" w:cs="Calibri"/>
          <w:sz w:val="21"/>
          <w:szCs w:val="21"/>
        </w:rPr>
        <w:t xml:space="preserve">bₜ = ½[ln(BoIₜ/BoIₜ₋₁) + ln(AIBₜ/AIBₜ₋₁)], computed on the banks' own dates. It is then joined to the ISEQ dates with </w:t>
      </w:r>
      <w:r>
        <w:rPr>
          <w:rStyle w:val="HTMLCode"/>
        </w:rPr>
        <w:t>merge_asof</w:t>
      </w:r>
      <w:r>
        <w:rPr>
          <w:rFonts w:ascii="Calibri" w:eastAsia="Times New Roman" w:hAnsi="Calibri" w:cs="Calibri"/>
          <w:sz w:val="21"/>
          <w:szCs w:val="21"/>
        </w:rPr>
        <w:t xml:space="preserve"> (backward), so only information up to day </w:t>
      </w:r>
      <w:r>
        <w:rPr>
          <w:rStyle w:val="Emphasis"/>
          <w:rFonts w:ascii="Calibri" w:eastAsia="Times New Roman" w:hAnsi="Calibri" w:cs="Calibri"/>
          <w:sz w:val="21"/>
          <w:szCs w:val="21"/>
        </w:rPr>
        <w:t>t</w:t>
      </w:r>
      <w:r>
        <w:rPr>
          <w:rFonts w:ascii="Calibri" w:eastAsia="Times New Roman" w:hAnsi="Calibri" w:cs="Calibri"/>
          <w:sz w:val="21"/>
          <w:szCs w:val="21"/>
        </w:rPr>
        <w:t xml:space="preserve"> is used.</w:t>
      </w:r>
    </w:p>
    <w:p w:rsidR="00000000" w:rsidRDefault="00A43425">
      <w:pPr>
        <w:numPr>
          <w:ilvl w:val="0"/>
          <w:numId w:val="6"/>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Features</w:t>
      </w:r>
      <w:r>
        <w:rPr>
          <w:rFonts w:ascii="Calibri" w:eastAsia="Times New Roman" w:hAnsi="Calibri" w:cs="Calibri"/>
          <w:sz w:val="21"/>
          <w:szCs w:val="21"/>
        </w:rPr>
        <w:t xml:space="preserve"> (§11): HAR terms (daily, weekly = 5-day mean, monthly = 22-day me</w:t>
      </w:r>
      <w:r>
        <w:rPr>
          <w:rFonts w:ascii="Calibri" w:eastAsia="Times New Roman" w:hAnsi="Calibri" w:cs="Calibri"/>
          <w:sz w:val="21"/>
          <w:szCs w:val="21"/>
        </w:rPr>
        <w:t>an of r²), leverage terms min(r, 0) and bank HAR terms. Squared terms go into logs with a floor of 10⁻⁸ (to avoid ln 0).</w:t>
      </w:r>
    </w:p>
    <w:p w:rsidR="00000000" w:rsidRDefault="00A43425">
      <w:pPr>
        <w:numPr>
          <w:ilvl w:val="0"/>
          <w:numId w:val="6"/>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LSTM inputs:</w:t>
      </w:r>
      <w:r>
        <w:rPr>
          <w:rFonts w:ascii="Calibri" w:eastAsia="Times New Roman" w:hAnsi="Calibri" w:cs="Calibri"/>
          <w:sz w:val="21"/>
          <w:szCs w:val="21"/>
        </w:rPr>
        <w:t xml:space="preserve"> the daily pairs (rₜ, ln r²ₜ) for the ISEQ, plus (bₜ, ln b²ₜ) for the banks, over 22-day windows. They are scaled with mean</w:t>
      </w:r>
      <w:r>
        <w:rPr>
          <w:rFonts w:ascii="Calibri" w:eastAsia="Times New Roman" w:hAnsi="Calibri" w:cs="Calibri"/>
          <w:sz w:val="21"/>
          <w:szCs w:val="21"/>
        </w:rPr>
        <w:t>s and standard deviations from the fitting days only.</w:t>
      </w:r>
    </w:p>
    <w:p w:rsidR="00000000" w:rsidRDefault="00A43425">
      <w:pPr>
        <w:numPr>
          <w:ilvl w:val="0"/>
          <w:numId w:val="6"/>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Phases:</w:t>
      </w:r>
      <w:r>
        <w:rPr>
          <w:rFonts w:ascii="Calibri" w:eastAsia="Times New Roman" w:hAnsi="Calibri" w:cs="Calibri"/>
          <w:sz w:val="21"/>
          <w:szCs w:val="21"/>
        </w:rPr>
        <w:t xml:space="preserve"> dates from the Irish timeline (Literature Handbook, section B).</w:t>
      </w:r>
    </w:p>
    <w:p w:rsidR="00000000" w:rsidRDefault="00A43425">
      <w:pPr>
        <w:numPr>
          <w:ilvl w:val="0"/>
          <w:numId w:val="6"/>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Walk-forward splits:</w:t>
      </w:r>
      <w:r>
        <w:rPr>
          <w:rFonts w:ascii="Calibri" w:eastAsia="Times New Roman" w:hAnsi="Calibri" w:cs="Calibri"/>
          <w:sz w:val="21"/>
          <w:szCs w:val="21"/>
        </w:rPr>
        <w:t xml:space="preserve"> each test year Y uses fitting days up to the end of Y−2 and validation days in Y−1. The last 5 days of each b</w:t>
      </w:r>
      <w:r>
        <w:rPr>
          <w:rFonts w:ascii="Calibri" w:eastAsia="Times New Roman" w:hAnsi="Calibri" w:cs="Calibri"/>
          <w:sz w:val="21"/>
          <w:szCs w:val="21"/>
        </w:rPr>
        <w:t>lock are dropped, because their 5-day targets would overlap the next block.</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tblGrid>
      <w:tr w:rsidR="00000000" w:rsidTr="00A43425">
        <w:trPr>
          <w:tblHeader/>
        </w:trPr>
        <w:tc>
          <w:tcPr>
            <w:tcW w:w="1000"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Test year</w:t>
            </w:r>
          </w:p>
        </w:tc>
        <w:tc>
          <w:tcPr>
            <w:tcW w:w="1000"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Fitting days</w:t>
            </w:r>
          </w:p>
        </w:tc>
        <w:tc>
          <w:tcPr>
            <w:tcW w:w="1000"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Fitting period</w:t>
            </w:r>
          </w:p>
        </w:tc>
        <w:tc>
          <w:tcPr>
            <w:tcW w:w="1000"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Validation days</w:t>
            </w:r>
          </w:p>
        </w:tc>
        <w:tc>
          <w:tcPr>
            <w:tcW w:w="1000"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Test days</w:t>
            </w:r>
          </w:p>
        </w:tc>
      </w:tr>
      <w:tr w:rsidR="00000000" w:rsidTr="00A43425">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2007</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734</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31 Jan 2003 – 21 Dec 2005</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248</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254</w:t>
            </w:r>
          </w:p>
        </w:tc>
      </w:tr>
      <w:tr w:rsidR="00000000" w:rsidTr="00A43425">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2008</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987</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31 Jan 2003 – 20 Dec 2006</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249</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254</w:t>
            </w:r>
          </w:p>
        </w:tc>
      </w:tr>
      <w:tr w:rsidR="00000000" w:rsidTr="00A43425">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2009</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1,241</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31 Jan 2003 – 20 Dec 2007</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249</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251</w:t>
            </w:r>
          </w:p>
        </w:tc>
      </w:tr>
      <w:tr w:rsidR="00000000" w:rsidTr="00A43425">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2010</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1,495</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31 Jan 2003 – 22 Dec 2008</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246</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254</w:t>
            </w:r>
          </w:p>
        </w:tc>
      </w:tr>
      <w:tr w:rsidR="00000000" w:rsidTr="00A43425">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2011</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1,746</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31 Jan 2003 – 22 Dec 2009</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249</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253</w:t>
            </w:r>
          </w:p>
        </w:tc>
      </w:tr>
      <w:tr w:rsidR="00000000" w:rsidTr="00A43425">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2012</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2,000</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31 Jan 2003 – 22 Dec 2010</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248</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254</w:t>
            </w:r>
          </w:p>
        </w:tc>
      </w:tr>
    </w:tbl>
    <w:p w:rsidR="00000000" w:rsidRDefault="00A43425">
      <w:pPr>
        <w:pStyle w:val="NormalWeb"/>
        <w:rPr>
          <w:rFonts w:ascii="Calibri" w:hAnsi="Calibri" w:cs="Calibri"/>
          <w:sz w:val="21"/>
          <w:szCs w:val="21"/>
        </w:rPr>
      </w:pPr>
      <w:r>
        <w:rPr>
          <w:rFonts w:ascii="Calibri" w:hAnsi="Calibri" w:cs="Calibri"/>
          <w:sz w:val="21"/>
          <w:szCs w:val="21"/>
        </w:rPr>
        <w:t>Fitting starts on 31 Jan 2003 because the 22-day features need 21 earlier days inside the sample.</w:t>
      </w:r>
    </w:p>
    <w:p w:rsidR="00000000" w:rsidRDefault="00A43425">
      <w:pPr>
        <w:pStyle w:val="Heading2"/>
        <w:rPr>
          <w:rFonts w:ascii="Calibri" w:eastAsia="Times New Roman" w:hAnsi="Calibri" w:cs="Calibri"/>
        </w:rPr>
      </w:pPr>
      <w:r>
        <w:rPr>
          <w:rFonts w:ascii="Calibri" w:eastAsia="Times New Roman" w:hAnsi="Calibri" w:cs="Calibri"/>
        </w:rPr>
        <w:t>6. Quality checks</w:t>
      </w:r>
    </w:p>
    <w:p w:rsidR="00000000" w:rsidRDefault="00A43425">
      <w:pPr>
        <w:pStyle w:val="NormalWeb"/>
        <w:rPr>
          <w:rFonts w:ascii="Calibri" w:hAnsi="Calibri" w:cs="Calibri"/>
          <w:sz w:val="21"/>
          <w:szCs w:val="21"/>
        </w:rPr>
      </w:pPr>
      <w:r>
        <w:rPr>
          <w:rStyle w:val="Strong"/>
          <w:rFonts w:ascii="Calibri" w:hAnsi="Calibri" w:cs="Calibri"/>
          <w:sz w:val="21"/>
          <w:szCs w:val="21"/>
        </w:rPr>
        <w:t>Coverage, 2003–2012</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gridCol w:w="480"/>
      </w:tblGrid>
      <w:tr w:rsidR="00000000" w:rsidTr="00A43425">
        <w:trPr>
          <w:tblHeader/>
        </w:trPr>
        <w:tc>
          <w:tcPr>
            <w:tcW w:w="714"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Series</w:t>
            </w:r>
          </w:p>
        </w:tc>
        <w:tc>
          <w:tcPr>
            <w:tcW w:w="714"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Days</w:t>
            </w:r>
          </w:p>
        </w:tc>
        <w:tc>
          <w:tcPr>
            <w:tcW w:w="714"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Missing prices</w:t>
            </w:r>
          </w:p>
        </w:tc>
        <w:tc>
          <w:tcPr>
            <w:tcW w:w="714"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Duplicated dates</w:t>
            </w:r>
          </w:p>
        </w:tc>
        <w:tc>
          <w:tcPr>
            <w:tcW w:w="714"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Zero-return days</w:t>
            </w:r>
          </w:p>
        </w:tc>
        <w:tc>
          <w:tcPr>
            <w:tcW w:w="714"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Zero-volume days</w:t>
            </w:r>
          </w:p>
        </w:tc>
        <w:tc>
          <w:tcPr>
            <w:tcW w:w="714"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Dates not in the ISEQ calendar</w:t>
            </w:r>
          </w:p>
        </w:tc>
      </w:tr>
      <w:tr w:rsidR="00000000" w:rsidTr="00A43425">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ISEQ</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2,533</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0.04%</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17.8%</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w:t>
            </w:r>
          </w:p>
        </w:tc>
      </w:tr>
      <w:tr w:rsidR="00000000" w:rsidTr="00A43425">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Bank of Ireland</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2,561</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14.1%</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1.2%</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28</w:t>
            </w:r>
          </w:p>
        </w:tc>
      </w:tr>
      <w:tr w:rsidR="00000000" w:rsidTr="00A43425">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AIB</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2,561</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14.0%</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1.2%</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28</w:t>
            </w:r>
          </w:p>
        </w:tc>
      </w:tr>
    </w:tbl>
    <w:p w:rsidR="00000000" w:rsidRDefault="00A43425">
      <w:pPr>
        <w:pStyle w:val="NormalWeb"/>
        <w:rPr>
          <w:rFonts w:ascii="Calibri" w:hAnsi="Calibri" w:cs="Calibri"/>
          <w:sz w:val="21"/>
          <w:szCs w:val="21"/>
        </w:rPr>
      </w:pPr>
      <w:r>
        <w:rPr>
          <w:rStyle w:val="Strong"/>
          <w:rFonts w:ascii="Calibri" w:hAnsi="Calibri" w:cs="Calibri"/>
          <w:sz w:val="21"/>
          <w:szCs w:val="21"/>
        </w:rPr>
        <w:t>Quality by year (% of days)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tblGrid>
      <w:tr w:rsidR="00000000" w:rsidTr="00A43425">
        <w:trPr>
          <w:tblHeader/>
        </w:trPr>
        <w:tc>
          <w:tcPr>
            <w:tcW w:w="1250"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Year</w:t>
            </w:r>
          </w:p>
        </w:tc>
        <w:tc>
          <w:tcPr>
            <w:tcW w:w="1250"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ISEQ open = previous close</w:t>
            </w:r>
          </w:p>
        </w:tc>
        <w:tc>
          <w:tcPr>
            <w:tcW w:w="1250"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BoI zero return</w:t>
            </w:r>
          </w:p>
        </w:tc>
        <w:tc>
          <w:tcPr>
            <w:tcW w:w="1250"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AIB zero return</w:t>
            </w:r>
          </w:p>
        </w:tc>
      </w:tr>
      <w:tr w:rsidR="00000000" w:rsidTr="00A43425">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2003</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3.6</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21.8</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18.8</w:t>
            </w:r>
          </w:p>
        </w:tc>
      </w:tr>
      <w:tr w:rsidR="00000000" w:rsidTr="00A43425">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2004</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5.1</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24.8</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20.2</w:t>
            </w:r>
          </w:p>
        </w:tc>
      </w:tr>
      <w:tr w:rsidR="00000000" w:rsidTr="00A43425">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2005</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9.5</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20.4</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21.2</w:t>
            </w:r>
          </w:p>
        </w:tc>
      </w:tr>
      <w:tr w:rsidR="00000000" w:rsidTr="00A43425">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2006</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15.0</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26.7</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26.0</w:t>
            </w:r>
          </w:p>
        </w:tc>
      </w:tr>
      <w:tr w:rsidR="00000000" w:rsidTr="00A43425">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2007</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16.5</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17.3</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19.7</w:t>
            </w:r>
          </w:p>
        </w:tc>
      </w:tr>
      <w:tr w:rsidR="00000000" w:rsidTr="00A43425">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2008</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43.3</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1.6</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1.6</w:t>
            </w:r>
          </w:p>
        </w:tc>
      </w:tr>
      <w:tr w:rsidR="00000000" w:rsidTr="00A43425">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2009</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47.4</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0.8</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1.2</w:t>
            </w:r>
          </w:p>
        </w:tc>
      </w:tr>
      <w:tr w:rsidR="00000000" w:rsidTr="00A43425">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2010</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44.9</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2.8</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2.0</w:t>
            </w:r>
          </w:p>
        </w:tc>
      </w:tr>
      <w:tr w:rsidR="00000000" w:rsidTr="00A43425">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2011</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40.3</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7.1</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7.9</w:t>
            </w:r>
          </w:p>
        </w:tc>
      </w:tr>
      <w:tr w:rsidR="00000000" w:rsidTr="00A43425">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2012</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34.3</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16.9</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21.3</w:t>
            </w:r>
          </w:p>
        </w:tc>
      </w:tr>
    </w:tbl>
    <w:p w:rsidR="00000000" w:rsidRDefault="00A43425">
      <w:pPr>
        <w:pStyle w:val="NormalWeb"/>
        <w:rPr>
          <w:rFonts w:ascii="Calibri" w:hAnsi="Calibri" w:cs="Calibri"/>
          <w:sz w:val="21"/>
          <w:szCs w:val="21"/>
        </w:rPr>
      </w:pPr>
      <w:r>
        <w:rPr>
          <w:rStyle w:val="Strong"/>
          <w:rFonts w:ascii="Calibri" w:hAnsi="Calibri" w:cs="Calibri"/>
          <w:sz w:val="21"/>
          <w:szCs w:val="21"/>
        </w:rPr>
        <w:t>What these checks mean</w:t>
      </w:r>
    </w:p>
    <w:p w:rsidR="00000000" w:rsidRDefault="00A43425">
      <w:pPr>
        <w:numPr>
          <w:ilvl w:val="0"/>
          <w:numId w:val="7"/>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ISEQ closes are clean</w:t>
      </w:r>
      <w:r>
        <w:rPr>
          <w:rFonts w:ascii="Calibri" w:eastAsia="Times New Roman" w:hAnsi="Calibri" w:cs="Calibri"/>
          <w:sz w:val="21"/>
          <w:szCs w:val="21"/>
        </w:rPr>
        <w:t xml:space="preserve"> (no gaps, no stale closes).</w:t>
      </w:r>
    </w:p>
    <w:p w:rsidR="00000000" w:rsidRDefault="00A43425">
      <w:pPr>
        <w:numPr>
          <w:ilvl w:val="1"/>
          <w:numId w:val="7"/>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Opens are often just the previous close (up to 47% of days). That is why the study uses close-to-close returns, not range or open-based estimators such as Garman–Klass.</w:t>
      </w:r>
    </w:p>
    <w:p w:rsidR="00000000" w:rsidRDefault="00A43425">
      <w:pPr>
        <w:numPr>
          <w:ilvl w:val="1"/>
          <w:numId w:val="7"/>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ISEQ volume is unreliable and is not used.</w:t>
      </w:r>
    </w:p>
    <w:p w:rsidR="00000000" w:rsidRDefault="00A43425">
      <w:pPr>
        <w:numPr>
          <w:ilvl w:val="0"/>
          <w:numId w:val="7"/>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The bank series are stale in the boom:</w:t>
      </w:r>
      <w:r>
        <w:rPr>
          <w:rFonts w:ascii="Calibri" w:eastAsia="Times New Roman" w:hAnsi="Calibri" w:cs="Calibri"/>
          <w:sz w:val="21"/>
          <w:szCs w:val="21"/>
        </w:rPr>
        <w:t xml:space="preserve"> </w:t>
      </w:r>
      <w:r>
        <w:rPr>
          <w:rFonts w:ascii="Calibri" w:eastAsia="Times New Roman" w:hAnsi="Calibri" w:cs="Calibri"/>
          <w:sz w:val="21"/>
          <w:szCs w:val="21"/>
        </w:rPr>
        <w:t>20–27% of 2003–07 days show no change.</w:t>
      </w:r>
    </w:p>
    <w:p w:rsidR="00000000" w:rsidRDefault="00A43425">
      <w:pPr>
        <w:numPr>
          <w:ilvl w:val="1"/>
          <w:numId w:val="7"/>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Part of this comes from </w:t>
      </w:r>
      <w:r>
        <w:rPr>
          <w:rStyle w:val="Strong"/>
          <w:rFonts w:ascii="Calibri" w:eastAsia="Times New Roman" w:hAnsi="Calibri" w:cs="Calibri"/>
          <w:sz w:val="21"/>
          <w:szCs w:val="21"/>
        </w:rPr>
        <w:t>Irish holiday rows</w:t>
      </w:r>
      <w:r>
        <w:rPr>
          <w:rFonts w:ascii="Calibri" w:eastAsia="Times New Roman" w:hAnsi="Calibri" w:cs="Calibri"/>
          <w:sz w:val="21"/>
          <w:szCs w:val="21"/>
        </w:rPr>
        <w:t>. Yahoo's bank series has 28 extra dates when the ISEQ was closed (Good Friday, Easter Monday, bank holidays, Christmas; 2003–06 plus 1 May 2008), with unchanged prices.</w:t>
      </w:r>
    </w:p>
    <w:p w:rsidR="00000000" w:rsidRDefault="00A43425">
      <w:pPr>
        <w:numPr>
          <w:ilvl w:val="1"/>
          <w:numId w:val="7"/>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So bo</w:t>
      </w:r>
      <w:r>
        <w:rPr>
          <w:rFonts w:ascii="Calibri" w:eastAsia="Times New Roman" w:hAnsi="Calibri" w:cs="Calibri"/>
          <w:sz w:val="21"/>
          <w:szCs w:val="21"/>
        </w:rPr>
        <w:t>om-period bank volatility is slightly understated. Bank features therefore look calmer in training than they really were.</w:t>
      </w:r>
    </w:p>
    <w:p w:rsidR="00000000" w:rsidRDefault="00A43425">
      <w:pPr>
        <w:numPr>
          <w:ilvl w:val="1"/>
          <w:numId w:val="7"/>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In the crisis (2008–10) the bank series trade almost every day.</w:t>
      </w:r>
    </w:p>
    <w:p w:rsidR="00000000" w:rsidRDefault="00A43425">
      <w:pPr>
        <w:numPr>
          <w:ilvl w:val="0"/>
          <w:numId w:val="7"/>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Corporate actions.</w:t>
      </w:r>
    </w:p>
    <w:p w:rsidR="00000000" w:rsidRDefault="00A43425">
      <w:pPr>
        <w:numPr>
          <w:ilvl w:val="1"/>
          <w:numId w:val="7"/>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Yahoo records AIB's 2015 consolidation as a split (</w:t>
      </w:r>
      <w:r>
        <w:rPr>
          <w:rFonts w:ascii="Calibri" w:eastAsia="Times New Roman" w:hAnsi="Calibri" w:cs="Calibri"/>
          <w:sz w:val="21"/>
          <w:szCs w:val="21"/>
        </w:rPr>
        <w:t>0.004), so returns are unaffected.</w:t>
      </w:r>
    </w:p>
    <w:p w:rsidR="00000000" w:rsidRDefault="00A43425">
      <w:pPr>
        <w:numPr>
          <w:ilvl w:val="1"/>
          <w:numId w:val="7"/>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It also records an unexplained "split" of 1.026 for Bank of Ireland on 21 Nov 2007.</w:t>
      </w:r>
    </w:p>
    <w:p w:rsidR="00000000" w:rsidRDefault="00A43425">
      <w:pPr>
        <w:numPr>
          <w:ilvl w:val="1"/>
          <w:numId w:val="7"/>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Rights issues (BoI 2010, 2011) and AIB's €0.01 placing (Jul 2011) are </w:t>
      </w:r>
      <w:r>
        <w:rPr>
          <w:rStyle w:val="Strong"/>
          <w:rFonts w:ascii="Calibri" w:eastAsia="Times New Roman" w:hAnsi="Calibri" w:cs="Calibri"/>
          <w:sz w:val="21"/>
          <w:szCs w:val="21"/>
        </w:rPr>
        <w:t>not</w:t>
      </w:r>
      <w:r>
        <w:rPr>
          <w:rFonts w:ascii="Calibri" w:eastAsia="Times New Roman" w:hAnsi="Calibri" w:cs="Calibri"/>
          <w:sz w:val="21"/>
          <w:szCs w:val="21"/>
        </w:rPr>
        <w:t xml:space="preserve"> neutralised, so some 2010–11 bank falls are partly mechanical. </w:t>
      </w:r>
      <w:r>
        <w:rPr>
          <w:rFonts w:ascii="Calibri" w:eastAsia="Times New Roman" w:hAnsi="Calibri" w:cs="Calibri"/>
          <w:sz w:val="21"/>
          <w:szCs w:val="21"/>
        </w:rPr>
        <w:t>One example is AIB −43.8% (log) on 5 Aug 2011.</w:t>
      </w:r>
    </w:p>
    <w:p w:rsidR="00000000" w:rsidRDefault="00A43425">
      <w:pPr>
        <w:numPr>
          <w:ilvl w:val="0"/>
          <w:numId w:val="7"/>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Survivorship.</w:t>
      </w:r>
      <w:r>
        <w:rPr>
          <w:rFonts w:ascii="Calibri" w:eastAsia="Times New Roman" w:hAnsi="Calibri" w:cs="Calibri"/>
          <w:sz w:val="21"/>
          <w:szCs w:val="21"/>
        </w:rPr>
        <w:t xml:space="preserve"> The bank index uses the two banks that survived as listed companies. Anglo Irish (nationalised, shares cancelled) and Irish Nationwide (a mutual) are missing, and PTSB is excluded as stale. So th</w:t>
      </w:r>
      <w:r>
        <w:rPr>
          <w:rFonts w:ascii="Calibri" w:eastAsia="Times New Roman" w:hAnsi="Calibri" w:cs="Calibri"/>
          <w:sz w:val="21"/>
          <w:szCs w:val="21"/>
        </w:rPr>
        <w:t xml:space="preserve">e bank index </w:t>
      </w:r>
      <w:r>
        <w:rPr>
          <w:rStyle w:val="Strong"/>
          <w:rFonts w:ascii="Calibri" w:eastAsia="Times New Roman" w:hAnsi="Calibri" w:cs="Calibri"/>
          <w:sz w:val="21"/>
          <w:szCs w:val="21"/>
        </w:rPr>
        <w:t>understates</w:t>
      </w:r>
      <w:r>
        <w:rPr>
          <w:rFonts w:ascii="Calibri" w:eastAsia="Times New Roman" w:hAnsi="Calibri" w:cs="Calibri"/>
          <w:sz w:val="21"/>
          <w:szCs w:val="21"/>
        </w:rPr>
        <w:t xml:space="preserve"> the banking collapse.</w:t>
      </w:r>
    </w:p>
    <w:p w:rsidR="00000000" w:rsidRDefault="00A43425">
      <w:pPr>
        <w:pStyle w:val="Heading2"/>
        <w:rPr>
          <w:rFonts w:ascii="Calibri" w:eastAsia="Times New Roman" w:hAnsi="Calibri" w:cs="Calibri"/>
        </w:rPr>
      </w:pPr>
      <w:r>
        <w:rPr>
          <w:rFonts w:ascii="Calibri" w:eastAsia="Times New Roman" w:hAnsi="Calibri" w:cs="Calibri"/>
        </w:rPr>
        <w:t>7. Descriptive statistics by phase</w:t>
      </w:r>
    </w:p>
    <w:p w:rsidR="00000000" w:rsidRDefault="00A43425">
      <w:pPr>
        <w:pStyle w:val="NormalWeb"/>
        <w:rPr>
          <w:rFonts w:ascii="Calibri" w:hAnsi="Calibri" w:cs="Calibri"/>
          <w:sz w:val="21"/>
          <w:szCs w:val="21"/>
        </w:rPr>
      </w:pPr>
      <w:r>
        <w:rPr>
          <w:rFonts w:ascii="Calibri" w:hAnsi="Calibri" w:cs="Calibri"/>
          <w:sz w:val="21"/>
          <w:szCs w:val="21"/>
        </w:rPr>
        <w:t>Returns are daily log returns. "Mean" and "volatility" are annualised (×252 and ×√252).</w:t>
      </w:r>
    </w:p>
    <w:p w:rsidR="00000000" w:rsidRDefault="00A43425">
      <w:pPr>
        <w:pStyle w:val="NormalWeb"/>
        <w:rPr>
          <w:rFonts w:ascii="Calibri" w:hAnsi="Calibri" w:cs="Calibri"/>
          <w:sz w:val="21"/>
          <w:szCs w:val="21"/>
        </w:rPr>
      </w:pPr>
      <w:r>
        <w:rPr>
          <w:rStyle w:val="Strong"/>
          <w:rFonts w:ascii="Calibri" w:hAnsi="Calibri" w:cs="Calibri"/>
          <w:sz w:val="21"/>
          <w:szCs w:val="21"/>
        </w:rPr>
        <w:t>ISEQ</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gridCol w:w="480"/>
        <w:gridCol w:w="480"/>
        <w:gridCol w:w="480"/>
        <w:gridCol w:w="480"/>
      </w:tblGrid>
      <w:tr w:rsidR="00000000" w:rsidTr="00A43425">
        <w:trPr>
          <w:tblHeader/>
        </w:trPr>
        <w:tc>
          <w:tcPr>
            <w:tcW w:w="500"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Period</w:t>
            </w:r>
          </w:p>
        </w:tc>
        <w:tc>
          <w:tcPr>
            <w:tcW w:w="500"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Days</w:t>
            </w:r>
          </w:p>
        </w:tc>
        <w:tc>
          <w:tcPr>
            <w:tcW w:w="500"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Mean (% a year)</w:t>
            </w:r>
          </w:p>
        </w:tc>
        <w:tc>
          <w:tcPr>
            <w:tcW w:w="500"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Volatility (% a year)</w:t>
            </w:r>
          </w:p>
        </w:tc>
        <w:tc>
          <w:tcPr>
            <w:tcW w:w="500"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Skew</w:t>
            </w:r>
          </w:p>
        </w:tc>
        <w:tc>
          <w:tcPr>
            <w:tcW w:w="500"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Excess kurtosis</w:t>
            </w:r>
          </w:p>
        </w:tc>
        <w:tc>
          <w:tcPr>
            <w:tcW w:w="500"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Worst day</w:t>
            </w:r>
          </w:p>
        </w:tc>
        <w:tc>
          <w:tcPr>
            <w:tcW w:w="500"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Best day</w:t>
            </w:r>
          </w:p>
        </w:tc>
        <w:tc>
          <w:tcPr>
            <w:tcW w:w="500"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Max drawdown</w:t>
            </w:r>
          </w:p>
        </w:tc>
        <w:tc>
          <w:tcPr>
            <w:tcW w:w="500"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Corr. with banks</w:t>
            </w:r>
          </w:p>
        </w:tc>
      </w:tr>
      <w:tr w:rsidR="00000000" w:rsidTr="00A43425">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Boom (2003 – 19 Feb 2007)</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1,048</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+22.0</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13.2</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−0.71</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5.71</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−6.1% (28 Feb 2005)</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+4.2% (15 Jun 2006)</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−14.7%</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0.41</w:t>
            </w:r>
          </w:p>
        </w:tc>
      </w:tr>
      <w:tr w:rsidR="00000000" w:rsidTr="00A43425">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P1 Distress</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408</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−68.3</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34.2</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−0.29</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5.11</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−14.0% (29 Sep 2008)</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+9.7% (19 Sep 2008)</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−67.0%</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0.85</w:t>
            </w:r>
          </w:p>
        </w:tc>
      </w:tr>
      <w:tr w:rsidR="00000000" w:rsidTr="00A43425">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P2 Panic and guarantee</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112</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−121.7</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53.1</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−0.17</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0.73</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−10.4% (6 Oct 2008)</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+8.9% (31 Oct 2008)</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−51.4%</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0.54</w:t>
            </w:r>
          </w:p>
        </w:tc>
      </w:tr>
      <w:tr w:rsidR="00000000" w:rsidTr="00A43425">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P3 Relief</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281</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+50.5</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27.1</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−0.24</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0.70</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−6.7% (28 Oct 2009)</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+4.8% (30 Apr 2009)</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−19.5%</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0.62</w:t>
            </w:r>
          </w:p>
        </w:tc>
      </w:tr>
      <w:tr w:rsidR="00000000" w:rsidTr="00A43425">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P4 Sovereign crisis</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574</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−3.3</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23.3</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−0.13</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2.08</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−6.0% (24 Aug 2010)</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+7.6% (10 May 2010)</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−32.3%</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0.54</w:t>
            </w:r>
          </w:p>
        </w:tc>
      </w:tr>
      <w:tr w:rsidR="00000000" w:rsidTr="00A43425">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Whole crisis</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1,375</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−21.3</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31.0</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−0.39</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4.41</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−14.0%</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+9.7%</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−80.8%</w:t>
            </w:r>
          </w:p>
        </w:tc>
        <w:tc>
          <w:tcPr>
            <w:tcW w:w="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0.58</w:t>
            </w:r>
          </w:p>
        </w:tc>
      </w:tr>
    </w:tbl>
    <w:p w:rsidR="00000000" w:rsidRDefault="00A43425">
      <w:pPr>
        <w:pStyle w:val="NormalWeb"/>
        <w:rPr>
          <w:rFonts w:ascii="Calibri" w:hAnsi="Calibri" w:cs="Calibri"/>
          <w:sz w:val="21"/>
          <w:szCs w:val="21"/>
        </w:rPr>
      </w:pPr>
      <w:r>
        <w:rPr>
          <w:rStyle w:val="Strong"/>
          <w:rFonts w:ascii="Calibri" w:hAnsi="Calibri" w:cs="Calibri"/>
          <w:sz w:val="21"/>
          <w:szCs w:val="21"/>
        </w:rPr>
        <w:t>Irish banks (Bank of Ireland + AIB, equal weight)</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gridCol w:w="480"/>
        <w:gridCol w:w="480"/>
      </w:tblGrid>
      <w:tr w:rsidR="00000000" w:rsidTr="00A43425">
        <w:trPr>
          <w:tblHeader/>
        </w:trPr>
        <w:tc>
          <w:tcPr>
            <w:tcW w:w="625"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Period</w:t>
            </w:r>
          </w:p>
        </w:tc>
        <w:tc>
          <w:tcPr>
            <w:tcW w:w="625"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Mean (% a year)</w:t>
            </w:r>
          </w:p>
        </w:tc>
        <w:tc>
          <w:tcPr>
            <w:tcW w:w="625"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Volatility (% a year)</w:t>
            </w:r>
          </w:p>
        </w:tc>
        <w:tc>
          <w:tcPr>
            <w:tcW w:w="625"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Skew</w:t>
            </w:r>
          </w:p>
        </w:tc>
        <w:tc>
          <w:tcPr>
            <w:tcW w:w="625"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Excess kurtosis</w:t>
            </w:r>
          </w:p>
        </w:tc>
        <w:tc>
          <w:tcPr>
            <w:tcW w:w="625"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Worst day</w:t>
            </w:r>
          </w:p>
        </w:tc>
        <w:tc>
          <w:tcPr>
            <w:tcW w:w="625"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Best day</w:t>
            </w:r>
          </w:p>
        </w:tc>
        <w:tc>
          <w:tcPr>
            <w:tcW w:w="625"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Max drawdown</w:t>
            </w:r>
          </w:p>
        </w:tc>
      </w:tr>
      <w:tr w:rsidR="00000000" w:rsidTr="00A43425">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Boom</w:t>
            </w:r>
          </w:p>
        </w:tc>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+18.7</w:t>
            </w:r>
          </w:p>
        </w:tc>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16.0</w:t>
            </w:r>
          </w:p>
        </w:tc>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−0.13</w:t>
            </w:r>
          </w:p>
        </w:tc>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3.20</w:t>
            </w:r>
          </w:p>
        </w:tc>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−5.5% (25 Feb 2004)</w:t>
            </w:r>
          </w:p>
        </w:tc>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+5.1% (16 Jun 2006)</w:t>
            </w:r>
          </w:p>
        </w:tc>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−16.0%</w:t>
            </w:r>
          </w:p>
        </w:tc>
      </w:tr>
      <w:tr w:rsidR="00000000" w:rsidTr="00A43425">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P1 Distress</w:t>
            </w:r>
          </w:p>
        </w:tc>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−94.2</w:t>
            </w:r>
          </w:p>
        </w:tc>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53.4</w:t>
            </w:r>
          </w:p>
        </w:tc>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0.41</w:t>
            </w:r>
          </w:p>
        </w:tc>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11.78</w:t>
            </w:r>
          </w:p>
        </w:tc>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−20.4% (29 Sep 2008)</w:t>
            </w:r>
          </w:p>
        </w:tc>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+24.8% (19 Sep 2008)</w:t>
            </w:r>
          </w:p>
        </w:tc>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−78.5%</w:t>
            </w:r>
          </w:p>
        </w:tc>
      </w:tr>
      <w:tr w:rsidR="00000000" w:rsidTr="00A43425">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P2 Panic and guarantee</w:t>
            </w:r>
          </w:p>
        </w:tc>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−610.3</w:t>
            </w:r>
          </w:p>
        </w:tc>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214.9</w:t>
            </w:r>
          </w:p>
        </w:tc>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−1.65</w:t>
            </w:r>
          </w:p>
        </w:tc>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10.67</w:t>
            </w:r>
          </w:p>
        </w:tc>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−83.7% (19 Jan 2009)</w:t>
            </w:r>
          </w:p>
        </w:tc>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+31.1% (6 Mar 2009)</w:t>
            </w:r>
          </w:p>
        </w:tc>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−97.0%</w:t>
            </w:r>
          </w:p>
        </w:tc>
      </w:tr>
      <w:tr w:rsidR="00000000" w:rsidTr="00A43425">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P3 Relief</w:t>
            </w:r>
          </w:p>
        </w:tc>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+162.7</w:t>
            </w:r>
          </w:p>
        </w:tc>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107.4</w:t>
            </w:r>
          </w:p>
        </w:tc>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0.25</w:t>
            </w:r>
          </w:p>
        </w:tc>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0.79</w:t>
            </w:r>
          </w:p>
        </w:tc>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−20.7% (28 Oct 2009)</w:t>
            </w:r>
          </w:p>
        </w:tc>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+20.6% (17 Sep 2009)</w:t>
            </w:r>
          </w:p>
        </w:tc>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−70.7%</w:t>
            </w:r>
          </w:p>
        </w:tc>
      </w:tr>
      <w:tr w:rsidR="00000000" w:rsidTr="00A43425">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P4 Sovereign crisis</w:t>
            </w:r>
          </w:p>
        </w:tc>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−128.5</w:t>
            </w:r>
          </w:p>
        </w:tc>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77.2</w:t>
            </w:r>
          </w:p>
        </w:tc>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0.17</w:t>
            </w:r>
          </w:p>
        </w:tc>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3.96</w:t>
            </w:r>
          </w:p>
        </w:tc>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−25.3% (5 Aug 2011)</w:t>
            </w:r>
          </w:p>
        </w:tc>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+22.6% (1 Apr 2011)</w:t>
            </w:r>
          </w:p>
        </w:tc>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−96.2%</w:t>
            </w:r>
          </w:p>
        </w:tc>
      </w:tr>
      <w:tr w:rsidR="00000000" w:rsidTr="00A43425">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Whole crisis</w:t>
            </w:r>
          </w:p>
        </w:tc>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−98.1</w:t>
            </w:r>
          </w:p>
        </w:tc>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97.7</w:t>
            </w:r>
          </w:p>
        </w:tc>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−1.57</w:t>
            </w:r>
          </w:p>
        </w:tc>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27.44</w:t>
            </w:r>
          </w:p>
        </w:tc>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−83.7%</w:t>
            </w:r>
          </w:p>
        </w:tc>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+31.1%</w:t>
            </w:r>
          </w:p>
        </w:tc>
        <w:tc>
          <w:tcPr>
            <w:tcW w:w="625"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−99.7%</w:t>
            </w:r>
          </w:p>
        </w:tc>
      </w:tr>
    </w:tbl>
    <w:p w:rsidR="00000000" w:rsidRDefault="00A43425">
      <w:pPr>
        <w:pStyle w:val="NormalWeb"/>
        <w:rPr>
          <w:rFonts w:ascii="Calibri" w:hAnsi="Calibri" w:cs="Calibri"/>
          <w:sz w:val="21"/>
          <w:szCs w:val="21"/>
        </w:rPr>
      </w:pPr>
      <w:r>
        <w:rPr>
          <w:rStyle w:val="Strong"/>
          <w:rFonts w:ascii="Calibri" w:hAnsi="Calibri" w:cs="Calibri"/>
          <w:sz w:val="21"/>
          <w:szCs w:val="21"/>
        </w:rPr>
        <w:t>What to see</w:t>
      </w:r>
    </w:p>
    <w:p w:rsidR="00000000" w:rsidRDefault="00A43425">
      <w:pPr>
        <w:numPr>
          <w:ilvl w:val="0"/>
          <w:numId w:val="8"/>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The boom was calm</w:t>
      </w:r>
      <w:r>
        <w:rPr>
          <w:rFonts w:ascii="Calibri" w:eastAsia="Times New Roman" w:hAnsi="Calibri" w:cs="Calibri"/>
          <w:sz w:val="21"/>
          <w:szCs w:val="21"/>
        </w:rPr>
        <w:t xml:space="preserve"> (13% volatility) while prices rose 22% a year in log terms: Minsky's tranquillity.</w:t>
      </w:r>
    </w:p>
    <w:p w:rsidR="00000000" w:rsidRDefault="00A43425">
      <w:pPr>
        <w:numPr>
          <w:ilvl w:val="0"/>
          <w:numId w:val="8"/>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Volatility rises fourfold into the panic</w:t>
      </w:r>
      <w:r>
        <w:rPr>
          <w:rFonts w:ascii="Calibri" w:eastAsia="Times New Roman" w:hAnsi="Calibri" w:cs="Calibri"/>
          <w:sz w:val="21"/>
          <w:szCs w:val="21"/>
        </w:rPr>
        <w:t xml:space="preserve"> (53%).</w:t>
      </w:r>
    </w:p>
    <w:p w:rsidR="00000000" w:rsidRDefault="00A43425">
      <w:pPr>
        <w:numPr>
          <w:ilvl w:val="0"/>
          <w:numId w:val="8"/>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The banks' volatility is 1.6 times the index's in distress and 3–4 times from the panic on.</w:t>
      </w:r>
      <w:r>
        <w:rPr>
          <w:rFonts w:ascii="Calibri" w:eastAsia="Times New Roman" w:hAnsi="Calibri" w:cs="Calibri"/>
          <w:sz w:val="21"/>
          <w:szCs w:val="21"/>
        </w:rPr>
        <w:t xml:space="preserve"> The banks lost </w:t>
      </w:r>
      <w:r>
        <w:rPr>
          <w:rFonts w:ascii="Calibri" w:eastAsia="Times New Roman" w:hAnsi="Calibri" w:cs="Calibri"/>
          <w:sz w:val="21"/>
          <w:szCs w:val="21"/>
        </w:rPr>
        <w:t>99.7% from peak to trough; this includes the mechanical dilution of the 2010–11 recapitalisations.</w:t>
      </w:r>
    </w:p>
    <w:p w:rsidR="00000000" w:rsidRDefault="00A43425">
      <w:pPr>
        <w:numPr>
          <w:ilvl w:val="0"/>
          <w:numId w:val="8"/>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The ISEQ–bank correlation jumps from 0.41 in the boom to 0.85 in distress.</w:t>
      </w:r>
      <w:r>
        <w:rPr>
          <w:rFonts w:ascii="Calibri" w:eastAsia="Times New Roman" w:hAnsi="Calibri" w:cs="Calibri"/>
          <w:sz w:val="21"/>
          <w:szCs w:val="21"/>
        </w:rPr>
        <w:t xml:space="preserve"> Correlations rise mechanically when volatility rises (Forbes &amp; Rigobon, 2002), so </w:t>
      </w:r>
      <w:r>
        <w:rPr>
          <w:rFonts w:ascii="Calibri" w:eastAsia="Times New Roman" w:hAnsi="Calibri" w:cs="Calibri"/>
          <w:sz w:val="21"/>
          <w:szCs w:val="21"/>
        </w:rPr>
        <w:t>read this as heightened co-movement, not proof of contagion.</w:t>
      </w:r>
    </w:p>
    <w:p w:rsidR="00000000" w:rsidRDefault="00A43425">
      <w:pPr>
        <w:pStyle w:val="NormalWeb"/>
        <w:rPr>
          <w:rFonts w:ascii="Calibri" w:hAnsi="Calibri" w:cs="Calibri"/>
          <w:sz w:val="21"/>
          <w:szCs w:val="21"/>
        </w:rPr>
      </w:pPr>
      <w:r>
        <w:rPr>
          <w:rFonts w:ascii="Calibri" w:hAnsi="Calibri" w:cs="Calibri"/>
          <w:noProof/>
          <w:sz w:val="21"/>
          <w:szCs w:val="21"/>
        </w:rPr>
        <w:drawing>
          <wp:inline distT="0" distB="0" distL="0" distR="0">
            <wp:extent cx="6096000" cy="4433455"/>
            <wp:effectExtent l="0" t="0" r="0" b="5715"/>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96000" cy="4433455"/>
                    </a:xfrm>
                    <a:prstGeom prst="rect">
                      <a:avLst/>
                    </a:prstGeom>
                  </pic:spPr>
                </pic:pic>
              </a:graphicData>
            </a:graphic>
          </wp:inline>
        </w:drawing>
      </w:r>
    </w:p>
    <w:p w:rsidR="00000000" w:rsidRDefault="00A43425">
      <w:pPr>
        <w:pStyle w:val="Heading2"/>
        <w:rPr>
          <w:rFonts w:ascii="Calibri" w:eastAsia="Times New Roman" w:hAnsi="Calibri" w:cs="Calibri"/>
        </w:rPr>
      </w:pPr>
      <w:r>
        <w:rPr>
          <w:rFonts w:ascii="Calibri" w:eastAsia="Times New Roman" w:hAnsi="Calibri" w:cs="Calibri"/>
        </w:rPr>
        <w:t>8. Stylised facts, tested</w:t>
      </w:r>
    </w:p>
    <w:p w:rsidR="00000000" w:rsidRDefault="00A43425">
      <w:pPr>
        <w:pStyle w:val="NormalWeb"/>
        <w:rPr>
          <w:rFonts w:ascii="Calibri" w:hAnsi="Calibri" w:cs="Calibri"/>
          <w:sz w:val="21"/>
          <w:szCs w:val="21"/>
        </w:rPr>
      </w:pPr>
      <w:r>
        <w:rPr>
          <w:rFonts w:ascii="Calibri" w:hAnsi="Calibri" w:cs="Calibri"/>
          <w:sz w:val="21"/>
          <w:szCs w:val="21"/>
        </w:rPr>
        <w:t>All p-values are rounded; "0.000" means below 0.0005.</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gridCol w:w="480"/>
      </w:tblGrid>
      <w:tr w:rsidR="00000000" w:rsidTr="00A43425">
        <w:trPr>
          <w:tblHeader/>
        </w:trPr>
        <w:tc>
          <w:tcPr>
            <w:tcW w:w="714"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Test (ISEQ)</w:t>
            </w:r>
          </w:p>
        </w:tc>
        <w:tc>
          <w:tcPr>
            <w:tcW w:w="714"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Boom</w:t>
            </w:r>
          </w:p>
        </w:tc>
        <w:tc>
          <w:tcPr>
            <w:tcW w:w="714"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P1</w:t>
            </w:r>
          </w:p>
        </w:tc>
        <w:tc>
          <w:tcPr>
            <w:tcW w:w="714"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P2</w:t>
            </w:r>
          </w:p>
        </w:tc>
        <w:tc>
          <w:tcPr>
            <w:tcW w:w="714"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P3</w:t>
            </w:r>
          </w:p>
        </w:tc>
        <w:tc>
          <w:tcPr>
            <w:tcW w:w="714"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P4</w:t>
            </w:r>
          </w:p>
        </w:tc>
        <w:tc>
          <w:tcPr>
            <w:tcW w:w="714"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Reading</w:t>
            </w:r>
          </w:p>
        </w:tc>
      </w:tr>
      <w:tr w:rsidR="00000000" w:rsidTr="00A43425">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Jarque–Bera (normality) p</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0.000</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0.000</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0.225</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0.015</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0.000</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fat tails, except within the short panic, where everything is wild</w:t>
            </w:r>
          </w:p>
        </w:tc>
      </w:tr>
      <w:tr w:rsidR="00000000" w:rsidTr="00A43425">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Ljung–Box Q(10), returns p</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0.370</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0.009</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0.052</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0.718</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0.302</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returns are close to unpredictable (some autocorrelation in distress)</w:t>
            </w:r>
          </w:p>
        </w:tc>
      </w:tr>
      <w:tr w:rsidR="00000000" w:rsidTr="00A43425">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Ljung–Box Q(10), squared returns p</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0.000</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0.000</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0.011</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0.006</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0.000</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Style w:val="Strong"/>
                <w:rFonts w:ascii="Calibri" w:eastAsia="Times New Roman" w:hAnsi="Calibri" w:cs="Calibri"/>
                <w:sz w:val="18"/>
                <w:szCs w:val="18"/>
              </w:rPr>
              <w:t>volatility clusters</w:t>
            </w:r>
            <w:r>
              <w:rPr>
                <w:rFonts w:ascii="Calibri" w:eastAsia="Times New Roman" w:hAnsi="Calibri" w:cs="Calibri"/>
                <w:sz w:val="18"/>
                <w:szCs w:val="18"/>
              </w:rPr>
              <w:t>: big moves follow big moves</w:t>
            </w:r>
          </w:p>
        </w:tc>
      </w:tr>
      <w:tr w:rsidR="00000000" w:rsidTr="00A43425">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ARCH-LM(5) p</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0.000</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0.000</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0.067</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0.032</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0.000</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the same, in GARCH's terms</w:t>
            </w:r>
          </w:p>
        </w:tc>
      </w:tr>
    </w:tbl>
    <w:p w:rsidR="00000000" w:rsidRDefault="00A43425">
      <w:pPr>
        <w:pStyle w:val="NormalWeb"/>
        <w:rPr>
          <w:rFonts w:ascii="Calibri" w:hAnsi="Calibri" w:cs="Calibri"/>
          <w:sz w:val="21"/>
          <w:szCs w:val="21"/>
        </w:rPr>
      </w:pPr>
      <w:r>
        <w:rPr>
          <w:rStyle w:val="Strong"/>
          <w:rFonts w:ascii="Calibri" w:hAnsi="Calibri" w:cs="Calibri"/>
          <w:sz w:val="21"/>
          <w:szCs w:val="21"/>
        </w:rPr>
        <w:t>Stationarity, 2003–2012</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tblGrid>
      <w:tr w:rsidR="00000000" w:rsidTr="00A43425">
        <w:trPr>
          <w:tblHeader/>
        </w:trPr>
        <w:tc>
          <w:tcPr>
            <w:tcW w:w="1250"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Series</w:t>
            </w:r>
          </w:p>
        </w:tc>
        <w:tc>
          <w:tcPr>
            <w:tcW w:w="1250"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ADF stat (p)</w:t>
            </w:r>
          </w:p>
        </w:tc>
        <w:tc>
          <w:tcPr>
            <w:tcW w:w="1250"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KPSS stat (p)</w:t>
            </w:r>
          </w:p>
        </w:tc>
        <w:tc>
          <w:tcPr>
            <w:tcW w:w="1250"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Reading</w:t>
            </w:r>
          </w:p>
        </w:tc>
      </w:tr>
      <w:tr w:rsidR="00000000" w:rsidTr="00A43425">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ISEQ return</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−9.60 (0.000)</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0.36 (0.096)</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stationary</w:t>
            </w:r>
          </w:p>
        </w:tc>
      </w:tr>
      <w:tr w:rsidR="00000000" w:rsidTr="00A43425">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ISEQ log squared return</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−4.90 (0.000)</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2.91 (≤0.01)</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 xml:space="preserve">no unit root, but not level-stationary: </w:t>
            </w:r>
            <w:r>
              <w:rPr>
                <w:rStyle w:val="Strong"/>
                <w:rFonts w:ascii="Calibri" w:eastAsia="Times New Roman" w:hAnsi="Calibri" w:cs="Calibri"/>
                <w:sz w:val="18"/>
                <w:szCs w:val="18"/>
              </w:rPr>
              <w:t>long memory</w:t>
            </w:r>
          </w:p>
        </w:tc>
      </w:tr>
      <w:tr w:rsidR="00000000" w:rsidTr="00A43425">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Target, log RV5</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−4.20 (0.001)</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2.70 (≤0.01)</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long memory, which motivates HAR's monthly term and GARCH persistence</w:t>
            </w:r>
          </w:p>
        </w:tc>
      </w:tr>
      <w:tr w:rsidR="00000000" w:rsidTr="00A43425">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Bank return</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−9.81 (0.000)</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0.38 (0.087)</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stationary</w:t>
            </w:r>
          </w:p>
        </w:tc>
      </w:tr>
      <w:tr w:rsidR="00000000" w:rsidTr="00A43425">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Bank log squared return</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−2.96 (0.039)</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5.73 (≤0.01)</w:t>
            </w:r>
          </w:p>
        </w:tc>
        <w:tc>
          <w:tcPr>
            <w:tcW w:w="125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long memory, borderline</w:t>
            </w:r>
          </w:p>
        </w:tc>
      </w:tr>
    </w:tbl>
    <w:p w:rsidR="00000000" w:rsidRDefault="00A43425">
      <w:pPr>
        <w:pStyle w:val="NormalWeb"/>
        <w:rPr>
          <w:rFonts w:ascii="Calibri" w:hAnsi="Calibri" w:cs="Calibri"/>
          <w:sz w:val="21"/>
          <w:szCs w:val="21"/>
        </w:rPr>
      </w:pPr>
      <w:r>
        <w:rPr>
          <w:rStyle w:val="Strong"/>
          <w:rFonts w:ascii="Calibri" w:hAnsi="Calibri" w:cs="Calibri"/>
          <w:sz w:val="21"/>
          <w:szCs w:val="21"/>
        </w:rPr>
        <w:t>Leverage.</w:t>
      </w:r>
      <w:r>
        <w:rPr>
          <w:rFonts w:ascii="Calibri" w:hAnsi="Calibri" w:cs="Calibri"/>
          <w:sz w:val="21"/>
          <w:szCs w:val="21"/>
        </w:rPr>
        <w:t xml:space="preserve"> Sort days by today's ISEQ return into 10 groups (deciles).</w:t>
      </w:r>
    </w:p>
    <w:p w:rsidR="00000000" w:rsidRDefault="00A43425">
      <w:pPr>
        <w:numPr>
          <w:ilvl w:val="0"/>
          <w:numId w:val="9"/>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After the </w:t>
      </w:r>
      <w:r>
        <w:rPr>
          <w:rStyle w:val="Strong"/>
          <w:rFonts w:ascii="Calibri" w:eastAsia="Times New Roman" w:hAnsi="Calibri" w:cs="Calibri"/>
          <w:sz w:val="21"/>
          <w:szCs w:val="21"/>
        </w:rPr>
        <w:t>10% worst days</w:t>
      </w:r>
      <w:r>
        <w:rPr>
          <w:rFonts w:ascii="Calibri" w:eastAsia="Times New Roman" w:hAnsi="Calibri" w:cs="Calibri"/>
          <w:sz w:val="21"/>
          <w:szCs w:val="21"/>
        </w:rPr>
        <w:t xml:space="preserve">, the next 5 days' variance averages </w:t>
      </w:r>
      <w:r>
        <w:rPr>
          <w:rStyle w:val="Strong"/>
          <w:rFonts w:ascii="Calibri" w:eastAsia="Times New Roman" w:hAnsi="Calibri" w:cs="Calibri"/>
          <w:sz w:val="21"/>
          <w:szCs w:val="21"/>
        </w:rPr>
        <w:t>31 × 10⁻⁴</w:t>
      </w:r>
      <w:r>
        <w:rPr>
          <w:rFonts w:ascii="Calibri" w:eastAsia="Times New Roman" w:hAnsi="Calibri" w:cs="Calibri"/>
          <w:sz w:val="21"/>
          <w:szCs w:val="21"/>
        </w:rPr>
        <w:t xml:space="preserve">, against </w:t>
      </w:r>
      <w:r>
        <w:rPr>
          <w:rStyle w:val="Strong"/>
          <w:rFonts w:ascii="Calibri" w:eastAsia="Times New Roman" w:hAnsi="Calibri" w:cs="Calibri"/>
          <w:sz w:val="21"/>
          <w:szCs w:val="21"/>
        </w:rPr>
        <w:t>6–7 × 10⁻⁴</w:t>
      </w:r>
      <w:r>
        <w:rPr>
          <w:rFonts w:ascii="Calibri" w:eastAsia="Times New Roman" w:hAnsi="Calibri" w:cs="Calibri"/>
          <w:sz w:val="21"/>
          <w:szCs w:val="21"/>
        </w:rPr>
        <w:t xml:space="preserve"> after ordinary days and </w:t>
      </w:r>
      <w:r>
        <w:rPr>
          <w:rStyle w:val="Strong"/>
          <w:rFonts w:ascii="Calibri" w:eastAsia="Times New Roman" w:hAnsi="Calibri" w:cs="Calibri"/>
          <w:sz w:val="21"/>
          <w:szCs w:val="21"/>
        </w:rPr>
        <w:t>22 × 10⁻⁴</w:t>
      </w:r>
      <w:r>
        <w:rPr>
          <w:rFonts w:ascii="Calibri" w:eastAsia="Times New Roman" w:hAnsi="Calibri" w:cs="Calibri"/>
          <w:sz w:val="21"/>
          <w:szCs w:val="21"/>
        </w:rPr>
        <w:t xml:space="preserve"> after the 10% best days.</w:t>
      </w:r>
    </w:p>
    <w:p w:rsidR="00000000" w:rsidRDefault="00A43425">
      <w:pPr>
        <w:numPr>
          <w:ilvl w:val="0"/>
          <w:numId w:val="9"/>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So big moves of either sign predict volatility, but </w:t>
      </w:r>
      <w:r>
        <w:rPr>
          <w:rStyle w:val="Strong"/>
          <w:rFonts w:ascii="Calibri" w:eastAsia="Times New Roman" w:hAnsi="Calibri" w:cs="Calibri"/>
          <w:sz w:val="21"/>
          <w:szCs w:val="21"/>
        </w:rPr>
        <w:t>falls predict more</w:t>
      </w:r>
      <w:r>
        <w:rPr>
          <w:rFonts w:ascii="Calibri" w:eastAsia="Times New Roman" w:hAnsi="Calibri" w:cs="Calibri"/>
          <w:sz w:val="21"/>
          <w:szCs w:val="21"/>
        </w:rPr>
        <w:t xml:space="preserve">. This is the leverage effect behind the </w:t>
      </w:r>
      <w:r>
        <w:rPr>
          <w:rStyle w:val="HTMLCode"/>
        </w:rPr>
        <w:t>lev_*</w:t>
      </w:r>
      <w:r>
        <w:rPr>
          <w:rFonts w:ascii="Calibri" w:eastAsia="Times New Roman" w:hAnsi="Calibri" w:cs="Calibri"/>
          <w:sz w:val="21"/>
          <w:szCs w:val="21"/>
        </w:rPr>
        <w:t xml:space="preserve"> features (Corsi &amp; Renò, 2012).</w:t>
      </w:r>
    </w:p>
    <w:p w:rsidR="00000000" w:rsidRDefault="00A43425">
      <w:pPr>
        <w:pStyle w:val="NormalWeb"/>
        <w:rPr>
          <w:rFonts w:ascii="Calibri" w:hAnsi="Calibri" w:cs="Calibri"/>
          <w:sz w:val="21"/>
          <w:szCs w:val="21"/>
        </w:rPr>
      </w:pPr>
      <w:r>
        <w:rPr>
          <w:rFonts w:ascii="Calibri" w:hAnsi="Calibri" w:cs="Calibri"/>
          <w:noProof/>
          <w:sz w:val="21"/>
          <w:szCs w:val="21"/>
        </w:rPr>
        <w:drawing>
          <wp:inline distT="0" distB="0" distL="0" distR="0">
            <wp:extent cx="6096000" cy="1782014"/>
            <wp:effectExtent l="0" t="0" r="0" b="8890"/>
            <wp:docPr id="2" name="Picture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96000" cy="1782014"/>
                    </a:xfrm>
                    <a:prstGeom prst="rect">
                      <a:avLst/>
                    </a:prstGeom>
                  </pic:spPr>
                </pic:pic>
              </a:graphicData>
            </a:graphic>
          </wp:inline>
        </w:drawing>
      </w:r>
    </w:p>
    <w:p w:rsidR="00000000" w:rsidRDefault="00A43425">
      <w:pPr>
        <w:pStyle w:val="Heading2"/>
        <w:rPr>
          <w:rFonts w:ascii="Calibri" w:eastAsia="Times New Roman" w:hAnsi="Calibri" w:cs="Calibri"/>
        </w:rPr>
      </w:pPr>
      <w:r>
        <w:rPr>
          <w:rFonts w:ascii="Calibri" w:eastAsia="Times New Roman" w:hAnsi="Calibri" w:cs="Calibri"/>
        </w:rPr>
        <w:t>9. The target variable</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gridCol w:w="480"/>
      </w:tblGrid>
      <w:tr w:rsidR="00000000" w:rsidTr="00A43425">
        <w:trPr>
          <w:tblHeader/>
        </w:trPr>
        <w:tc>
          <w:tcPr>
            <w:tcW w:w="714"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Period</w:t>
            </w:r>
          </w:p>
        </w:tc>
        <w:tc>
          <w:tcPr>
            <w:tcW w:w="714"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Days</w:t>
            </w:r>
          </w:p>
        </w:tc>
        <w:tc>
          <w:tcPr>
            <w:tcW w:w="714"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Mean RV5 (×10⁻⁴)</w:t>
            </w:r>
          </w:p>
        </w:tc>
        <w:tc>
          <w:tcPr>
            <w:tcW w:w="714"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Median</w:t>
            </w:r>
          </w:p>
        </w:tc>
        <w:tc>
          <w:tcPr>
            <w:tcW w:w="714"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90th percentile</w:t>
            </w:r>
          </w:p>
        </w:tc>
        <w:tc>
          <w:tcPr>
            <w:tcW w:w="714"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Max (date)</w:t>
            </w:r>
          </w:p>
        </w:tc>
        <w:tc>
          <w:tcPr>
            <w:tcW w:w="714"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Implied annual volatility</w:t>
            </w:r>
          </w:p>
        </w:tc>
      </w:tr>
      <w:tr w:rsidR="00000000" w:rsidTr="00A43425">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Boom</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1,048</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3.43</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2.17</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6.52</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40.35 (22 Feb 2005)</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13.1%</w:t>
            </w:r>
          </w:p>
        </w:tc>
      </w:tr>
      <w:tr w:rsidR="00000000" w:rsidTr="00A43425">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P1 Distress</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408</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24.81</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13.22</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56.77</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Style w:val="Strong"/>
                <w:rFonts w:ascii="Calibri" w:eastAsia="Times New Roman" w:hAnsi="Calibri" w:cs="Calibri"/>
                <w:sz w:val="18"/>
                <w:szCs w:val="18"/>
              </w:rPr>
              <w:t>292.12 (26 Sep 2008)</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35.4%</w:t>
            </w:r>
          </w:p>
        </w:tc>
      </w:tr>
      <w:tr w:rsidR="00000000" w:rsidTr="00A43425">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P2 Panic</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112</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52.97</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38.61</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95.93</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256.57 (1 Oct 2008)</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51.7%</w:t>
            </w:r>
          </w:p>
        </w:tc>
      </w:tr>
      <w:tr w:rsidR="00000000" w:rsidTr="00A43425">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P3 Relief</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281</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14.84</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11.15</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32.71</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67.84 (22 Oct 2009)</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27.4%</w:t>
            </w:r>
          </w:p>
        </w:tc>
      </w:tr>
      <w:tr w:rsidR="00000000" w:rsidTr="00A43425">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P4 Sovereign</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574</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10.60</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6.54</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25.85</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103.51 (30 Apr 2010)</w:t>
            </w:r>
          </w:p>
        </w:tc>
        <w:tc>
          <w:tcPr>
            <w:tcW w:w="714"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23.1%</w:t>
            </w:r>
          </w:p>
        </w:tc>
      </w:tr>
    </w:tbl>
    <w:p w:rsidR="00000000" w:rsidRDefault="00A43425">
      <w:pPr>
        <w:numPr>
          <w:ilvl w:val="0"/>
          <w:numId w:val="10"/>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The average target in the panic is 15 times the boom average.</w:t>
      </w:r>
    </w:p>
    <w:p w:rsidR="00000000" w:rsidRDefault="00A43425">
      <w:pPr>
        <w:numPr>
          <w:ilvl w:val="0"/>
          <w:numId w:val="10"/>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The single largest value is dated 26 Sep 2008,</w:t>
      </w:r>
      <w:r>
        <w:rPr>
          <w:rFonts w:ascii="Calibri" w:eastAsia="Times New Roman" w:hAnsi="Calibri" w:cs="Calibri"/>
          <w:sz w:val="21"/>
          <w:szCs w:val="21"/>
        </w:rPr>
        <w:t xml:space="preserve"> the Friday before the guarantee. Its 5 days (29 Sep – 3 Oct) contain both the −14% and the +7.6% days.</w:t>
      </w:r>
    </w:p>
    <w:p w:rsidR="00000000" w:rsidRDefault="00A43425">
      <w:pPr>
        <w:numPr>
          <w:ilvl w:val="0"/>
          <w:numId w:val="10"/>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Implied annual volatility = √(mean RV5 × 252</w:t>
      </w:r>
      <w:r>
        <w:rPr>
          <w:rFonts w:ascii="Calibri" w:eastAsia="Times New Roman" w:hAnsi="Calibri" w:cs="Calibri"/>
          <w:sz w:val="21"/>
          <w:szCs w:val="21"/>
        </w:rPr>
        <w:t xml:space="preserve"> / 5).</w:t>
      </w:r>
    </w:p>
    <w:p w:rsidR="00000000" w:rsidRDefault="00A43425">
      <w:pPr>
        <w:pStyle w:val="Heading2"/>
        <w:rPr>
          <w:rFonts w:ascii="Calibri" w:eastAsia="Times New Roman" w:hAnsi="Calibri" w:cs="Calibri"/>
        </w:rPr>
      </w:pPr>
      <w:r>
        <w:rPr>
          <w:rFonts w:ascii="Calibri" w:eastAsia="Times New Roman" w:hAnsi="Calibri" w:cs="Calibri"/>
        </w:rPr>
        <w:t>10. The largest moves (ISEQ, 2003–2012, top 20 by size)</w:t>
      </w:r>
    </w:p>
    <w:p w:rsidR="00000000" w:rsidRDefault="00A43425">
      <w:pPr>
        <w:pStyle w:val="NormalWeb"/>
        <w:rPr>
          <w:rFonts w:ascii="Calibri" w:hAnsi="Calibri" w:cs="Calibri"/>
          <w:sz w:val="21"/>
          <w:szCs w:val="21"/>
        </w:rPr>
      </w:pPr>
      <w:r>
        <w:rPr>
          <w:rFonts w:ascii="Calibri" w:hAnsi="Calibri" w:cs="Calibri"/>
          <w:sz w:val="21"/>
          <w:szCs w:val="21"/>
        </w:rPr>
        <w:t xml:space="preserve">Event links are </w:t>
      </w:r>
      <w:r>
        <w:rPr>
          <w:rStyle w:val="Strong"/>
          <w:rFonts w:ascii="Calibri" w:hAnsi="Calibri" w:cs="Calibri"/>
          <w:sz w:val="21"/>
          <w:szCs w:val="21"/>
        </w:rPr>
        <w:t>to verify</w:t>
      </w:r>
      <w:r>
        <w:rPr>
          <w:rFonts w:ascii="Calibri" w:hAnsi="Calibri" w:cs="Calibri"/>
          <w:sz w:val="21"/>
          <w:szCs w:val="21"/>
        </w:rPr>
        <w:t xml:space="preserve"> in news archives before you use them.</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tblGrid>
      <w:tr w:rsidR="00000000" w:rsidTr="00A43425">
        <w:trPr>
          <w:tblHeader/>
        </w:trPr>
        <w:tc>
          <w:tcPr>
            <w:tcW w:w="1000"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Date</w:t>
            </w:r>
          </w:p>
        </w:tc>
        <w:tc>
          <w:tcPr>
            <w:tcW w:w="1000"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ISEQ</w:t>
            </w:r>
          </w:p>
        </w:tc>
        <w:tc>
          <w:tcPr>
            <w:tcW w:w="1000"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Banks</w:t>
            </w:r>
          </w:p>
        </w:tc>
        <w:tc>
          <w:tcPr>
            <w:tcW w:w="1000"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Phase</w:t>
            </w:r>
          </w:p>
        </w:tc>
        <w:tc>
          <w:tcPr>
            <w:tcW w:w="1000"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Likely event (check)</w:t>
            </w:r>
          </w:p>
        </w:tc>
      </w:tr>
      <w:tr w:rsidR="00000000" w:rsidTr="00A43425">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28 Feb 2005</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−6.1%</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+0.1%</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Boom</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single-stock move? (check the constituents)</w:t>
            </w:r>
          </w:p>
        </w:tc>
      </w:tr>
      <w:tr w:rsidR="00000000" w:rsidTr="00A43425">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11 Jul 2008</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−6.0%</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−8.6%</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P1</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p>
        </w:tc>
      </w:tr>
      <w:tr w:rsidR="00000000" w:rsidTr="00A43425">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 Aug 2008</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−6.7%</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−0.4%</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P1</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p>
        </w:tc>
      </w:tr>
      <w:tr w:rsidR="00000000" w:rsidTr="00A43425">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5 Aug 2008</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+7.7%</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+11.7%</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P1</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p>
        </w:tc>
      </w:tr>
      <w:tr w:rsidR="00000000" w:rsidTr="00A43425">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8 Sep 2008</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+6.5%</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+10.8%</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P1</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US rescue of Fannie Mae / Freddie Mac (7 Sep)</w:t>
            </w:r>
          </w:p>
        </w:tc>
      </w:tr>
      <w:tr w:rsidR="00000000" w:rsidTr="00A43425">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19 Sep 2008</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+9.7%</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+24.8%</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P1</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short-selling bans and US rescue plan</w:t>
            </w:r>
          </w:p>
        </w:tc>
      </w:tr>
      <w:tr w:rsidR="00000000" w:rsidTr="00A43425">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23 Sep 2008</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−6.1%</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−5.9%</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P1</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p>
        </w:tc>
      </w:tr>
      <w:tr w:rsidR="00000000" w:rsidTr="00A43425">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Style w:val="Strong"/>
                <w:rFonts w:ascii="Calibri" w:eastAsia="Times New Roman" w:hAnsi="Calibri" w:cs="Calibri"/>
                <w:sz w:val="18"/>
                <w:szCs w:val="18"/>
              </w:rPr>
              <w:t>29 Sep 2008</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Style w:val="Strong"/>
                <w:rFonts w:ascii="Calibri" w:eastAsia="Times New Roman" w:hAnsi="Calibri" w:cs="Calibri"/>
                <w:sz w:val="18"/>
                <w:szCs w:val="18"/>
              </w:rPr>
              <w:t>−14.0%</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−20.4%</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P1</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Irish bank shares collapse; US House rejects TARP</w:t>
            </w:r>
          </w:p>
        </w:tc>
      </w:tr>
      <w:tr w:rsidR="00000000" w:rsidTr="00A43425">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Style w:val="Strong"/>
                <w:rFonts w:ascii="Calibri" w:eastAsia="Times New Roman" w:hAnsi="Calibri" w:cs="Calibri"/>
                <w:sz w:val="18"/>
                <w:szCs w:val="18"/>
              </w:rPr>
              <w:t>30 Sep 2008</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+7.6%</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+17.7%</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P2</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Style w:val="Strong"/>
                <w:rFonts w:ascii="Calibri" w:eastAsia="Times New Roman" w:hAnsi="Calibri" w:cs="Calibri"/>
                <w:sz w:val="18"/>
                <w:szCs w:val="18"/>
              </w:rPr>
              <w:t>Irish bank guarantee</w:t>
            </w:r>
            <w:r>
              <w:rPr>
                <w:rFonts w:ascii="Calibri" w:eastAsia="Times New Roman" w:hAnsi="Calibri" w:cs="Calibri"/>
                <w:sz w:val="18"/>
                <w:szCs w:val="18"/>
              </w:rPr>
              <w:t xml:space="preserve"> (Acharya et al., 2014)</w:t>
            </w:r>
          </w:p>
        </w:tc>
      </w:tr>
      <w:tr w:rsidR="00000000" w:rsidTr="00A43425">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6–8 Oct 2008</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−10.4%, −7.4%, −7.7%</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−14% to −18%</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P2</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global panic week</w:t>
            </w:r>
          </w:p>
        </w:tc>
      </w:tr>
      <w:tr w:rsidR="00000000" w:rsidTr="00A43425">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15 Oct 2008</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−6.6%</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−7.4%</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P2</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p>
        </w:tc>
      </w:tr>
      <w:tr w:rsidR="00000000" w:rsidTr="00A43425">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22 Oct 2008</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−6.7%</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−12.2%</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P2</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p>
        </w:tc>
      </w:tr>
      <w:tr w:rsidR="00000000" w:rsidTr="00A43425">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29 Oct 2008</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+6.1%</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+10.3%</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P2</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p>
        </w:tc>
      </w:tr>
      <w:tr w:rsidR="00000000" w:rsidTr="00A43425">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31 Oct 2008</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+8.9%</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+24.4%</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P2</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p>
        </w:tc>
      </w:tr>
      <w:tr w:rsidR="00000000" w:rsidTr="00A43425">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6 Nov 2008</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−8.7%</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−20.0%</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P2</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p>
        </w:tc>
      </w:tr>
      <w:tr w:rsidR="00000000" w:rsidTr="00A43425">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Style w:val="Strong"/>
                <w:rFonts w:ascii="Calibri" w:eastAsia="Times New Roman" w:hAnsi="Calibri" w:cs="Calibri"/>
                <w:sz w:val="18"/>
                <w:szCs w:val="18"/>
              </w:rPr>
              <w:t>19 Jan 2009</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−7.7%</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Style w:val="Strong"/>
                <w:rFonts w:ascii="Calibri" w:eastAsia="Times New Roman" w:hAnsi="Calibri" w:cs="Calibri"/>
                <w:sz w:val="18"/>
                <w:szCs w:val="18"/>
              </w:rPr>
              <w:t>−83.7%</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P2</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after Anglo Irish's nationalisation (15 Jan); bank recapitalisation fears (check the exact day)</w:t>
            </w:r>
          </w:p>
        </w:tc>
      </w:tr>
      <w:tr w:rsidR="00000000" w:rsidTr="00A43425">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28 Oct 2009</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−6.7%</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−20.7%</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P3</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p>
        </w:tc>
      </w:tr>
      <w:tr w:rsidR="00000000" w:rsidTr="00A43425">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10 May 2010</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+7.6%</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+19.1%</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P4</w:t>
            </w:r>
          </w:p>
        </w:tc>
        <w:tc>
          <w:tcPr>
            <w:tcW w:w="10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EU €750bn stabilisation package</w:t>
            </w:r>
          </w:p>
        </w:tc>
      </w:tr>
    </w:tbl>
    <w:p w:rsidR="00000000" w:rsidRDefault="00A43425">
      <w:pPr>
        <w:pStyle w:val="Heading2"/>
        <w:rPr>
          <w:rFonts w:ascii="Calibri" w:eastAsia="Times New Roman" w:hAnsi="Calibri" w:cs="Calibri"/>
        </w:rPr>
      </w:pPr>
      <w:r>
        <w:rPr>
          <w:rFonts w:ascii="Calibri" w:eastAsia="Times New Roman" w:hAnsi="Calibri" w:cs="Calibri"/>
        </w:rPr>
        <w:t>11. The features in depth</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tblGrid>
      <w:tr w:rsidR="00000000" w:rsidTr="00A43425">
        <w:trPr>
          <w:tblHeader/>
        </w:trPr>
        <w:tc>
          <w:tcPr>
            <w:tcW w:w="833"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Feature</w:t>
            </w:r>
          </w:p>
        </w:tc>
        <w:tc>
          <w:tcPr>
            <w:tcW w:w="833"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Formula</w:t>
            </w:r>
          </w:p>
        </w:tc>
        <w:tc>
          <w:tcPr>
            <w:tcW w:w="833"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Meaning</w:t>
            </w:r>
          </w:p>
        </w:tc>
        <w:tc>
          <w:tcPr>
            <w:tcW w:w="833"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Boom mean (sd)</w:t>
            </w:r>
          </w:p>
        </w:tc>
        <w:tc>
          <w:tcPr>
            <w:tcW w:w="833"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Crisis mean</w:t>
            </w:r>
          </w:p>
        </w:tc>
        <w:tc>
          <w:tcPr>
            <w:tcW w:w="833"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 of crisis days outside the boom range</w:t>
            </w:r>
          </w:p>
        </w:tc>
      </w:tr>
      <w:tr w:rsidR="00000000" w:rsidTr="00A43425">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Style w:val="HTMLCode"/>
              </w:rPr>
              <w:t>rv_d</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ln r²ₜ</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today's shock</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−11.13 (2.24)</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−9.57</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1.3</w:t>
            </w:r>
          </w:p>
        </w:tc>
      </w:tr>
      <w:tr w:rsidR="00000000" w:rsidTr="00A43425">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Style w:val="HTMLCode"/>
              </w:rPr>
              <w:t>rv_w</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ln mean(r², 5 days)</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last week</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−10.04 (0.92)</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−8.51</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11.4</w:t>
            </w:r>
          </w:p>
        </w:tc>
      </w:tr>
      <w:tr w:rsidR="00000000" w:rsidTr="00A43425">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Style w:val="HTMLCode"/>
              </w:rPr>
              <w:t>rv_m</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ln mean(r², 22 days)</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last month</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−9.81 (0.66)</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−8.29</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Style w:val="Strong"/>
                <w:rFonts w:ascii="Calibri" w:eastAsia="Times New Roman" w:hAnsi="Calibri" w:cs="Calibri"/>
                <w:sz w:val="18"/>
                <w:szCs w:val="18"/>
              </w:rPr>
              <w:t>30.1</w:t>
            </w:r>
            <w:r>
              <w:rPr>
                <w:rFonts w:ascii="Calibri" w:eastAsia="Times New Roman" w:hAnsi="Calibri" w:cs="Calibri"/>
                <w:sz w:val="18"/>
                <w:szCs w:val="18"/>
              </w:rPr>
              <w:t xml:space="preserve"> (P2: 100)</w:t>
            </w:r>
          </w:p>
        </w:tc>
      </w:tr>
      <w:tr w:rsidR="00000000" w:rsidTr="00A43425">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Style w:val="HTMLCode"/>
              </w:rPr>
              <w:t>lev_d</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min(rₜ, 0)</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today's fall</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−0.00 (0.01)</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−0.01</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0.8</w:t>
            </w:r>
          </w:p>
        </w:tc>
      </w:tr>
      <w:tr w:rsidR="00000000" w:rsidTr="00A43425">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Style w:val="HTMLCode"/>
              </w:rPr>
              <w:t>lev_w</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mean of min(r, 0), 5 days</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last week's falls</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−0.00 (0.00)</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−0.01</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9.3 (P2: 40)</w:t>
            </w:r>
          </w:p>
        </w:tc>
      </w:tr>
      <w:tr w:rsidR="00000000" w:rsidTr="00A43425">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Style w:val="HTMLCode"/>
              </w:rPr>
              <w:t>lev_m</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mean of min(r, 0), 22 days</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last month's falls</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−0.00 (0.00)</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−0.01</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21.0 (P2: 82)</w:t>
            </w:r>
          </w:p>
        </w:tc>
      </w:tr>
      <w:tr w:rsidR="00000000" w:rsidTr="00A43425">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Style w:val="HTMLCode"/>
              </w:rPr>
              <w:t>bank_rv_d</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ln b²ₜ</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bank shock today</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−11.20 (2.88)</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−7.86</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21.8</w:t>
            </w:r>
          </w:p>
        </w:tc>
      </w:tr>
      <w:tr w:rsidR="00000000" w:rsidTr="00A43425">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Style w:val="HTMLCode"/>
              </w:rPr>
              <w:t>bank_rv_w</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ln mean(b², 5 days)</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bank stress, last week</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−9.68 (1.02)</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−6.64</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59.6</w:t>
            </w:r>
          </w:p>
        </w:tc>
      </w:tr>
      <w:tr w:rsidR="00000000" w:rsidTr="00A43425">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Style w:val="HTMLCode"/>
              </w:rPr>
              <w:t>bank_rv_m</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ln mean(b², 22 days)</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bank stress, last month</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−9.40 (0.63)</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−6.36</w:t>
            </w:r>
          </w:p>
        </w:tc>
        <w:tc>
          <w:tcPr>
            <w:tcW w:w="833"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Style w:val="Strong"/>
                <w:rFonts w:ascii="Calibri" w:eastAsia="Times New Roman" w:hAnsi="Calibri" w:cs="Calibri"/>
                <w:sz w:val="18"/>
                <w:szCs w:val="18"/>
              </w:rPr>
              <w:t>85.4</w:t>
            </w:r>
            <w:r>
              <w:rPr>
                <w:rFonts w:ascii="Calibri" w:eastAsia="Times New Roman" w:hAnsi="Calibri" w:cs="Calibri"/>
                <w:sz w:val="18"/>
                <w:szCs w:val="18"/>
              </w:rPr>
              <w:t xml:space="preserve"> (P2–P4: 100)</w:t>
            </w:r>
          </w:p>
        </w:tc>
      </w:tr>
    </w:tbl>
    <w:p w:rsidR="00000000" w:rsidRDefault="00A43425">
      <w:pPr>
        <w:pStyle w:val="NormalWeb"/>
        <w:rPr>
          <w:rFonts w:ascii="Calibri" w:hAnsi="Calibri" w:cs="Calibri"/>
          <w:sz w:val="21"/>
          <w:szCs w:val="21"/>
        </w:rPr>
      </w:pPr>
      <w:r>
        <w:rPr>
          <w:rFonts w:ascii="Calibri" w:hAnsi="Calibri" w:cs="Calibri"/>
          <w:sz w:val="21"/>
          <w:szCs w:val="21"/>
        </w:rPr>
        <w:t>"Outside the boom range" = above the 2003–06 maximum (below the minimum for the leverage terms).</w:t>
      </w:r>
    </w:p>
    <w:p w:rsidR="00000000" w:rsidRDefault="00A43425">
      <w:pPr>
        <w:pStyle w:val="NormalWeb"/>
        <w:rPr>
          <w:rFonts w:ascii="Calibri" w:hAnsi="Calibri" w:cs="Calibri"/>
          <w:sz w:val="21"/>
          <w:szCs w:val="21"/>
        </w:rPr>
      </w:pPr>
      <w:r>
        <w:rPr>
          <w:rStyle w:val="Strong"/>
          <w:rFonts w:ascii="Calibri" w:hAnsi="Calibri" w:cs="Calibri"/>
          <w:sz w:val="21"/>
          <w:szCs w:val="21"/>
        </w:rPr>
        <w:t>Why this table matters</w:t>
      </w:r>
    </w:p>
    <w:p w:rsidR="00000000" w:rsidRDefault="00A43425">
      <w:pPr>
        <w:numPr>
          <w:ilvl w:val="0"/>
          <w:numId w:val="11"/>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It is the data behind the Minsky test.</w:t>
      </w:r>
      <w:r>
        <w:rPr>
          <w:rFonts w:ascii="Calibri" w:eastAsia="Times New Roman" w:hAnsi="Calibri" w:cs="Calibri"/>
          <w:sz w:val="21"/>
          <w:szCs w:val="21"/>
        </w:rPr>
        <w:t xml:space="preserve"> On every panic</w:t>
      </w:r>
      <w:r>
        <w:rPr>
          <w:rFonts w:ascii="Calibri" w:eastAsia="Times New Roman" w:hAnsi="Calibri" w:cs="Calibri"/>
          <w:sz w:val="21"/>
          <w:szCs w:val="21"/>
        </w:rPr>
        <w:t xml:space="preserve"> day, last month's ISEQ volatility was higher than anything in the boom. From the panic on, the banks' monthly volatility was always beyond the boom range.</w:t>
      </w:r>
    </w:p>
    <w:p w:rsidR="00000000" w:rsidRDefault="00A43425">
      <w:pPr>
        <w:numPr>
          <w:ilvl w:val="0"/>
          <w:numId w:val="11"/>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A Random Forest cannot forecast beyond its training range.</w:t>
      </w:r>
      <w:r>
        <w:rPr>
          <w:rFonts w:ascii="Calibri" w:eastAsia="Times New Roman" w:hAnsi="Calibri" w:cs="Calibri"/>
          <w:sz w:val="21"/>
          <w:szCs w:val="21"/>
        </w:rPr>
        <w:t xml:space="preserve"> </w:t>
      </w:r>
      <w:r>
        <w:rPr>
          <w:rFonts w:ascii="Calibri" w:eastAsia="Times New Roman" w:hAnsi="Calibri" w:cs="Calibri"/>
          <w:sz w:val="21"/>
          <w:szCs w:val="21"/>
        </w:rPr>
        <w:t>These numbers explain its failures in the panic and why the GARCH anchor helps.</w:t>
      </w:r>
    </w:p>
    <w:p w:rsidR="00000000" w:rsidRDefault="00A43425">
      <w:pPr>
        <w:pStyle w:val="NormalWeb"/>
        <w:rPr>
          <w:rFonts w:ascii="Calibri" w:hAnsi="Calibri" w:cs="Calibri"/>
          <w:sz w:val="21"/>
          <w:szCs w:val="21"/>
        </w:rPr>
      </w:pPr>
      <w:r>
        <w:rPr>
          <w:rStyle w:val="Strong"/>
          <w:rFonts w:ascii="Calibri" w:hAnsi="Calibri" w:cs="Calibri"/>
          <w:sz w:val="21"/>
          <w:szCs w:val="21"/>
        </w:rPr>
        <w:t>Correlations</w:t>
      </w:r>
      <w:r>
        <w:rPr>
          <w:rFonts w:ascii="Calibri" w:hAnsi="Calibri" w:cs="Calibri"/>
          <w:sz w:val="21"/>
          <w:szCs w:val="21"/>
        </w:rPr>
        <w:t xml:space="preserve"> (2003–2012; the full matrix is in the figure):</w:t>
      </w:r>
    </w:p>
    <w:p w:rsidR="00000000" w:rsidRDefault="00A43425">
      <w:pPr>
        <w:numPr>
          <w:ilvl w:val="0"/>
          <w:numId w:val="12"/>
        </w:numPr>
        <w:spacing w:before="100" w:beforeAutospacing="1" w:after="100" w:afterAutospacing="1"/>
        <w:rPr>
          <w:rFonts w:ascii="Calibri" w:eastAsia="Times New Roman" w:hAnsi="Calibri" w:cs="Calibri"/>
          <w:sz w:val="21"/>
          <w:szCs w:val="21"/>
        </w:rPr>
      </w:pPr>
      <w:r>
        <w:rPr>
          <w:rStyle w:val="HTMLCode"/>
        </w:rPr>
        <w:t>rv_m</w:t>
      </w:r>
      <w:r>
        <w:rPr>
          <w:rFonts w:ascii="Calibri" w:eastAsia="Times New Roman" w:hAnsi="Calibri" w:cs="Calibri"/>
          <w:sz w:val="21"/>
          <w:szCs w:val="21"/>
        </w:rPr>
        <w:t xml:space="preserve"> with </w:t>
      </w:r>
      <w:r>
        <w:rPr>
          <w:rStyle w:val="HTMLCode"/>
        </w:rPr>
        <w:t>lev_m</w:t>
      </w:r>
      <w:r>
        <w:rPr>
          <w:rFonts w:ascii="Calibri" w:eastAsia="Times New Roman" w:hAnsi="Calibri" w:cs="Calibri"/>
          <w:sz w:val="21"/>
          <w:szCs w:val="21"/>
        </w:rPr>
        <w:t xml:space="preserve">: −0.87. </w:t>
      </w:r>
      <w:r>
        <w:rPr>
          <w:rStyle w:val="HTMLCode"/>
        </w:rPr>
        <w:t>bank_rv_w</w:t>
      </w:r>
      <w:r>
        <w:rPr>
          <w:rFonts w:ascii="Calibri" w:eastAsia="Times New Roman" w:hAnsi="Calibri" w:cs="Calibri"/>
          <w:sz w:val="21"/>
          <w:szCs w:val="21"/>
        </w:rPr>
        <w:t xml:space="preserve"> with </w:t>
      </w:r>
      <w:r>
        <w:rPr>
          <w:rStyle w:val="HTMLCode"/>
        </w:rPr>
        <w:t>bank_rv_m</w:t>
      </w:r>
      <w:r>
        <w:rPr>
          <w:rFonts w:ascii="Calibri" w:eastAsia="Times New Roman" w:hAnsi="Calibri" w:cs="Calibri"/>
          <w:sz w:val="21"/>
          <w:szCs w:val="21"/>
        </w:rPr>
        <w:t>: 0.90.</w:t>
      </w:r>
    </w:p>
    <w:p w:rsidR="00000000" w:rsidRDefault="00A43425">
      <w:pPr>
        <w:numPr>
          <w:ilvl w:val="0"/>
          <w:numId w:val="12"/>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Highly correlated features share SHAP credit unpredictably (</w:t>
      </w:r>
      <w:r>
        <w:rPr>
          <w:rFonts w:ascii="Calibri" w:eastAsia="Times New Roman" w:hAnsi="Calibri" w:cs="Calibri"/>
          <w:sz w:val="21"/>
          <w:szCs w:val="21"/>
        </w:rPr>
        <w:t xml:space="preserve">Aas et al., 2021). So report </w:t>
      </w:r>
      <w:r>
        <w:rPr>
          <w:rStyle w:val="Strong"/>
          <w:rFonts w:ascii="Calibri" w:eastAsia="Times New Roman" w:hAnsi="Calibri" w:cs="Calibri"/>
          <w:sz w:val="21"/>
          <w:szCs w:val="21"/>
        </w:rPr>
        <w:t>group</w:t>
      </w:r>
      <w:r>
        <w:rPr>
          <w:rFonts w:ascii="Calibri" w:eastAsia="Times New Roman" w:hAnsi="Calibri" w:cs="Calibri"/>
          <w:sz w:val="21"/>
          <w:szCs w:val="21"/>
        </w:rPr>
        <w:t xml:space="preserve"> shares (ISEQ size, ISEQ leverage, banks), as E8 does, rather than single features.</w:t>
      </w:r>
    </w:p>
    <w:p w:rsidR="00000000" w:rsidRDefault="00A43425">
      <w:pPr>
        <w:numPr>
          <w:ilvl w:val="0"/>
          <w:numId w:val="12"/>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With the target: </w:t>
      </w:r>
      <w:r>
        <w:rPr>
          <w:rStyle w:val="HTMLCode"/>
        </w:rPr>
        <w:t>rv_m</w:t>
      </w:r>
      <w:r>
        <w:rPr>
          <w:rFonts w:ascii="Calibri" w:eastAsia="Times New Roman" w:hAnsi="Calibri" w:cs="Calibri"/>
          <w:sz w:val="21"/>
          <w:szCs w:val="21"/>
        </w:rPr>
        <w:t xml:space="preserve"> 0.70, </w:t>
      </w:r>
      <w:r>
        <w:rPr>
          <w:rStyle w:val="HTMLCode"/>
        </w:rPr>
        <w:t>lev_m</w:t>
      </w:r>
      <w:r>
        <w:rPr>
          <w:rFonts w:ascii="Calibri" w:eastAsia="Times New Roman" w:hAnsi="Calibri" w:cs="Calibri"/>
          <w:sz w:val="21"/>
          <w:szCs w:val="21"/>
        </w:rPr>
        <w:t xml:space="preserve"> −0.67, </w:t>
      </w:r>
      <w:r>
        <w:rPr>
          <w:rStyle w:val="HTMLCode"/>
        </w:rPr>
        <w:t>bank_rv_m</w:t>
      </w:r>
      <w:r>
        <w:rPr>
          <w:rFonts w:ascii="Calibri" w:eastAsia="Times New Roman" w:hAnsi="Calibri" w:cs="Calibri"/>
          <w:sz w:val="21"/>
          <w:szCs w:val="21"/>
        </w:rPr>
        <w:t xml:space="preserve"> 0.60, </w:t>
      </w:r>
      <w:r>
        <w:rPr>
          <w:rStyle w:val="HTMLCode"/>
        </w:rPr>
        <w:t>rv_d</w:t>
      </w:r>
      <w:r>
        <w:rPr>
          <w:rFonts w:ascii="Calibri" w:eastAsia="Times New Roman" w:hAnsi="Calibri" w:cs="Calibri"/>
          <w:sz w:val="21"/>
          <w:szCs w:val="21"/>
        </w:rPr>
        <w:t xml:space="preserve"> 0.34.</w:t>
      </w:r>
    </w:p>
    <w:p w:rsidR="00000000" w:rsidRDefault="00A43425">
      <w:pPr>
        <w:pStyle w:val="NormalWeb"/>
        <w:rPr>
          <w:rFonts w:ascii="Calibri" w:hAnsi="Calibri" w:cs="Calibri"/>
          <w:sz w:val="21"/>
          <w:szCs w:val="21"/>
        </w:rPr>
      </w:pPr>
      <w:r>
        <w:rPr>
          <w:rFonts w:ascii="Calibri" w:hAnsi="Calibri" w:cs="Calibri"/>
          <w:noProof/>
          <w:sz w:val="21"/>
          <w:szCs w:val="21"/>
        </w:rPr>
        <w:drawing>
          <wp:inline distT="0" distB="0" distL="0" distR="0">
            <wp:extent cx="6096000" cy="1869582"/>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96000" cy="1869582"/>
                    </a:xfrm>
                    <a:prstGeom prst="rect">
                      <a:avLst/>
                    </a:prstGeom>
                  </pic:spPr>
                </pic:pic>
              </a:graphicData>
            </a:graphic>
          </wp:inline>
        </w:drawing>
      </w:r>
    </w:p>
    <w:p w:rsidR="00000000" w:rsidRDefault="00A43425">
      <w:pPr>
        <w:pStyle w:val="Heading2"/>
        <w:rPr>
          <w:rFonts w:ascii="Calibri" w:eastAsia="Times New Roman" w:hAnsi="Calibri" w:cs="Calibri"/>
        </w:rPr>
      </w:pPr>
      <w:r>
        <w:rPr>
          <w:rFonts w:ascii="Calibri" w:eastAsia="Times New Roman" w:hAnsi="Calibri" w:cs="Calibri"/>
        </w:rPr>
        <w:t>12. The ISEQ and the banks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tblGrid>
      <w:tr w:rsidR="00000000" w:rsidTr="00A43425">
        <w:trPr>
          <w:tblHeader/>
        </w:trPr>
        <w:tc>
          <w:tcPr>
            <w:tcW w:w="1667"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Meas</w:t>
            </w:r>
            <w:r>
              <w:rPr>
                <w:rFonts w:ascii="Calibri" w:eastAsia="Times New Roman" w:hAnsi="Calibri" w:cs="Calibri"/>
                <w:b/>
                <w:bCs/>
                <w:color w:val="FFFFFF"/>
                <w:sz w:val="18"/>
                <w:szCs w:val="18"/>
              </w:rPr>
              <w:t>ure (daily log squared returns)</w:t>
            </w:r>
          </w:p>
        </w:tc>
        <w:tc>
          <w:tcPr>
            <w:tcW w:w="1667"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Boom</w:t>
            </w:r>
          </w:p>
        </w:tc>
        <w:tc>
          <w:tcPr>
            <w:tcW w:w="1667"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Crisis P1–P4</w:t>
            </w:r>
          </w:p>
        </w:tc>
      </w:tr>
      <w:tr w:rsidR="00000000" w:rsidTr="00A43425">
        <w:tc>
          <w:tcPr>
            <w:tcW w:w="1667"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Same-day correlation, ISEQ and banks</w:t>
            </w:r>
          </w:p>
        </w:tc>
        <w:tc>
          <w:tcPr>
            <w:tcW w:w="1667"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0.10</w:t>
            </w:r>
          </w:p>
        </w:tc>
        <w:tc>
          <w:tcPr>
            <w:tcW w:w="1667"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Style w:val="Strong"/>
                <w:rFonts w:ascii="Calibri" w:eastAsia="Times New Roman" w:hAnsi="Calibri" w:cs="Calibri"/>
                <w:sz w:val="18"/>
                <w:szCs w:val="18"/>
              </w:rPr>
              <w:t>0.33</w:t>
            </w:r>
          </w:p>
        </w:tc>
      </w:tr>
      <w:tr w:rsidR="00000000" w:rsidTr="00A43425">
        <w:tc>
          <w:tcPr>
            <w:tcW w:w="1667"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Banks one day ahead of the ISEQ (k = +1)</w:t>
            </w:r>
          </w:p>
        </w:tc>
        <w:tc>
          <w:tcPr>
            <w:tcW w:w="1667"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0.07</w:t>
            </w:r>
          </w:p>
        </w:tc>
        <w:tc>
          <w:tcPr>
            <w:tcW w:w="1667"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0.09</w:t>
            </w:r>
          </w:p>
        </w:tc>
      </w:tr>
      <w:tr w:rsidR="00000000" w:rsidTr="00A43425">
        <w:tc>
          <w:tcPr>
            <w:tcW w:w="1667"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ISEQ one day ahead of the banks (k = −1)</w:t>
            </w:r>
          </w:p>
        </w:tc>
        <w:tc>
          <w:tcPr>
            <w:tcW w:w="1667"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0.11</w:t>
            </w:r>
          </w:p>
        </w:tc>
        <w:tc>
          <w:tcPr>
            <w:tcW w:w="1667"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0.11</w:t>
            </w:r>
          </w:p>
        </w:tc>
      </w:tr>
      <w:tr w:rsidR="00000000" w:rsidTr="00A43425">
        <w:tc>
          <w:tcPr>
            <w:tcW w:w="1667"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Granger: banks → ISEQ, 5 lags, p</w:t>
            </w:r>
          </w:p>
        </w:tc>
        <w:tc>
          <w:tcPr>
            <w:tcW w:w="1667"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0.574</w:t>
            </w:r>
          </w:p>
        </w:tc>
        <w:tc>
          <w:tcPr>
            <w:tcW w:w="1667"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0.539</w:t>
            </w:r>
          </w:p>
        </w:tc>
      </w:tr>
      <w:tr w:rsidR="00000000" w:rsidTr="00A43425">
        <w:tc>
          <w:tcPr>
            <w:tcW w:w="1667"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Granger: ISEQ → banks, 5 lags, p</w:t>
            </w:r>
          </w:p>
        </w:tc>
        <w:tc>
          <w:tcPr>
            <w:tcW w:w="1667"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0.006</w:t>
            </w:r>
          </w:p>
        </w:tc>
        <w:tc>
          <w:tcPr>
            <w:tcW w:w="1667"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0.239</w:t>
            </w:r>
          </w:p>
        </w:tc>
      </w:tr>
    </w:tbl>
    <w:p w:rsidR="00000000" w:rsidRDefault="00A43425">
      <w:pPr>
        <w:pStyle w:val="NormalWeb"/>
        <w:rPr>
          <w:rFonts w:ascii="Calibri" w:hAnsi="Calibri" w:cs="Calibri"/>
          <w:sz w:val="21"/>
          <w:szCs w:val="21"/>
        </w:rPr>
      </w:pPr>
      <w:r>
        <w:rPr>
          <w:rStyle w:val="Strong"/>
          <w:rFonts w:ascii="Calibri" w:hAnsi="Calibri" w:cs="Calibri"/>
          <w:sz w:val="21"/>
          <w:szCs w:val="21"/>
        </w:rPr>
        <w:t>Reading</w:t>
      </w:r>
    </w:p>
    <w:p w:rsidR="00000000" w:rsidRDefault="00A43425">
      <w:pPr>
        <w:numPr>
          <w:ilvl w:val="0"/>
          <w:numId w:val="13"/>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The link is mostly same-day,</w:t>
      </w:r>
      <w:r>
        <w:rPr>
          <w:rFonts w:ascii="Calibri" w:eastAsia="Times New Roman" w:hAnsi="Calibri" w:cs="Calibri"/>
          <w:sz w:val="21"/>
          <w:szCs w:val="21"/>
        </w:rPr>
        <w:t xml:space="preserve"> and it triples in the crisis.</w:t>
      </w:r>
    </w:p>
    <w:p w:rsidR="00000000" w:rsidRDefault="00A43425">
      <w:pPr>
        <w:numPr>
          <w:ilvl w:val="0"/>
          <w:numId w:val="13"/>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Bank volatility does not lead the ISEQ by whole days</w:t>
      </w:r>
      <w:r>
        <w:rPr>
          <w:rFonts w:ascii="Calibri" w:eastAsia="Times New Roman" w:hAnsi="Calibri" w:cs="Calibri"/>
          <w:sz w:val="21"/>
          <w:szCs w:val="21"/>
        </w:rPr>
        <w:t xml:space="preserve"> once the ISEQ's own past is known (Granger p ≈ 0.54).</w:t>
      </w:r>
    </w:p>
    <w:p w:rsidR="00000000" w:rsidRDefault="00A43425">
      <w:pPr>
        <w:numPr>
          <w:ilvl w:val="0"/>
          <w:numId w:val="13"/>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In the boom the ISEQ appears to lead</w:t>
      </w:r>
      <w:r>
        <w:rPr>
          <w:rStyle w:val="Strong"/>
          <w:rFonts w:ascii="Calibri" w:eastAsia="Times New Roman" w:hAnsi="Calibri" w:cs="Calibri"/>
          <w:sz w:val="21"/>
          <w:szCs w:val="21"/>
        </w:rPr>
        <w:t xml:space="preserve"> the banks.</w:t>
      </w:r>
      <w:r>
        <w:rPr>
          <w:rFonts w:ascii="Calibri" w:eastAsia="Times New Roman" w:hAnsi="Calibri" w:cs="Calibri"/>
          <w:sz w:val="21"/>
          <w:szCs w:val="21"/>
        </w:rPr>
        <w:t xml:space="preserve"> That is probably the stale bank prices of 2003–07 catching up (§6), not economics.</w:t>
      </w:r>
    </w:p>
    <w:p w:rsidR="00000000" w:rsidRDefault="00A43425">
      <w:pPr>
        <w:numPr>
          <w:ilvl w:val="0"/>
          <w:numId w:val="13"/>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Why banks still help (E8):</w:t>
      </w:r>
      <w:r>
        <w:rPr>
          <w:rFonts w:ascii="Calibri" w:eastAsia="Times New Roman" w:hAnsi="Calibri" w:cs="Calibri"/>
          <w:sz w:val="21"/>
          <w:szCs w:val="21"/>
        </w:rPr>
        <w:t xml:space="preserve"> for the 5-day target, bank stress on day </w:t>
      </w:r>
      <w:r>
        <w:rPr>
          <w:rStyle w:val="Emphasis"/>
          <w:rFonts w:ascii="Calibri" w:eastAsia="Times New Roman" w:hAnsi="Calibri" w:cs="Calibri"/>
          <w:sz w:val="21"/>
          <w:szCs w:val="21"/>
        </w:rPr>
        <w:t>t</w:t>
      </w:r>
      <w:r>
        <w:rPr>
          <w:rFonts w:ascii="Calibri" w:eastAsia="Times New Roman" w:hAnsi="Calibri" w:cs="Calibri"/>
          <w:sz w:val="21"/>
          <w:szCs w:val="21"/>
        </w:rPr>
        <w:t xml:space="preserve"> is extra information about how the next week will go, beyond the ISEQ's own day-</w:t>
      </w:r>
      <w:r>
        <w:rPr>
          <w:rStyle w:val="Emphasis"/>
          <w:rFonts w:ascii="Calibri" w:eastAsia="Times New Roman" w:hAnsi="Calibri" w:cs="Calibri"/>
          <w:sz w:val="21"/>
          <w:szCs w:val="21"/>
        </w:rPr>
        <w:t>t</w:t>
      </w:r>
      <w:r>
        <w:rPr>
          <w:rFonts w:ascii="Calibri" w:eastAsia="Times New Roman" w:hAnsi="Calibri" w:cs="Calibri"/>
          <w:sz w:val="21"/>
          <w:szCs w:val="21"/>
        </w:rPr>
        <w:t xml:space="preserve"> </w:t>
      </w:r>
      <w:r>
        <w:rPr>
          <w:rFonts w:ascii="Calibri" w:eastAsia="Times New Roman" w:hAnsi="Calibri" w:cs="Calibri"/>
          <w:sz w:val="21"/>
          <w:szCs w:val="21"/>
        </w:rPr>
        <w:t>move. These are descriptive diagnostics, not tests of the study's hypotheses.</w:t>
      </w:r>
    </w:p>
    <w:p w:rsidR="00000000" w:rsidRDefault="00A43425">
      <w:pPr>
        <w:pStyle w:val="Heading2"/>
        <w:rPr>
          <w:rFonts w:ascii="Calibri" w:eastAsia="Times New Roman" w:hAnsi="Calibri" w:cs="Calibri"/>
        </w:rPr>
      </w:pPr>
      <w:r>
        <w:rPr>
          <w:rFonts w:ascii="Calibri" w:eastAsia="Times New Roman" w:hAnsi="Calibri" w:cs="Calibri"/>
        </w:rPr>
        <w:t>13. Limitations, reproduction and sources</w:t>
      </w:r>
    </w:p>
    <w:p w:rsidR="00000000" w:rsidRDefault="00A43425">
      <w:pPr>
        <w:pStyle w:val="NormalWeb"/>
        <w:rPr>
          <w:rFonts w:ascii="Calibri" w:hAnsi="Calibri" w:cs="Calibri"/>
          <w:sz w:val="21"/>
          <w:szCs w:val="21"/>
        </w:rPr>
      </w:pPr>
      <w:r>
        <w:rPr>
          <w:rStyle w:val="Strong"/>
          <w:rFonts w:ascii="Calibri" w:hAnsi="Calibri" w:cs="Calibri"/>
          <w:sz w:val="21"/>
          <w:szCs w:val="21"/>
        </w:rPr>
        <w:t>Limitations</w:t>
      </w:r>
    </w:p>
    <w:p w:rsidR="00000000" w:rsidRDefault="00A43425">
      <w:pPr>
        <w:numPr>
          <w:ilvl w:val="0"/>
          <w:numId w:val="14"/>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Daily closes only.</w:t>
      </w:r>
      <w:r>
        <w:rPr>
          <w:rFonts w:ascii="Calibri" w:eastAsia="Times New Roman" w:hAnsi="Calibri" w:cs="Calibri"/>
          <w:sz w:val="21"/>
          <w:szCs w:val="21"/>
        </w:rPr>
        <w:t xml:space="preserve"> Realised variance from 5 squared daily returns is a noisy measure of true volatility; intraday data would</w:t>
      </w:r>
      <w:r>
        <w:rPr>
          <w:rFonts w:ascii="Calibri" w:eastAsia="Times New Roman" w:hAnsi="Calibri" w:cs="Calibri"/>
          <w:sz w:val="21"/>
          <w:szCs w:val="21"/>
        </w:rPr>
        <w:t xml:space="preserve"> be better but are not free.</w:t>
      </w:r>
    </w:p>
    <w:p w:rsidR="00000000" w:rsidRDefault="00A43425">
      <w:pPr>
        <w:numPr>
          <w:ilvl w:val="0"/>
          <w:numId w:val="14"/>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Yahoo data quality.</w:t>
      </w:r>
      <w:r>
        <w:rPr>
          <w:rFonts w:ascii="Calibri" w:eastAsia="Times New Roman" w:hAnsi="Calibri" w:cs="Calibri"/>
          <w:sz w:val="21"/>
          <w:szCs w:val="21"/>
        </w:rPr>
        <w:t xml:space="preserve"> The ISEQ volume and opens are unreliable. The bank series are stale in 2003–07 and include holiday rows.</w:t>
      </w:r>
    </w:p>
    <w:p w:rsidR="00000000" w:rsidRDefault="00A43425">
      <w:pPr>
        <w:numPr>
          <w:ilvl w:val="0"/>
          <w:numId w:val="14"/>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Corporate actions.</w:t>
      </w:r>
      <w:r>
        <w:rPr>
          <w:rFonts w:ascii="Calibri" w:eastAsia="Times New Roman" w:hAnsi="Calibri" w:cs="Calibri"/>
          <w:sz w:val="21"/>
          <w:szCs w:val="21"/>
        </w:rPr>
        <w:t xml:space="preserve"> Rights issues and the AIB placing are not neutralised in the bank series (2010–11).</w:t>
      </w:r>
    </w:p>
    <w:p w:rsidR="00000000" w:rsidRDefault="00A43425">
      <w:pPr>
        <w:numPr>
          <w:ilvl w:val="0"/>
          <w:numId w:val="14"/>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Survivorship.</w:t>
      </w:r>
      <w:r>
        <w:rPr>
          <w:rFonts w:ascii="Calibri" w:eastAsia="Times New Roman" w:hAnsi="Calibri" w:cs="Calibri"/>
          <w:sz w:val="21"/>
          <w:szCs w:val="21"/>
        </w:rPr>
        <w:t xml:space="preserve"> The bank index excludes Anglo Irish, Irish Nationwide and PTSB, so it understates the banking collapse.</w:t>
      </w:r>
    </w:p>
    <w:p w:rsidR="00000000" w:rsidRDefault="00A43425">
      <w:pPr>
        <w:numPr>
          <w:ilvl w:val="0"/>
          <w:numId w:val="14"/>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Index composition changed during the crisis.</w:t>
      </w:r>
      <w:r>
        <w:rPr>
          <w:rFonts w:ascii="Calibri" w:eastAsia="Times New Roman" w:hAnsi="Calibri" w:cs="Calibri"/>
          <w:sz w:val="21"/>
          <w:szCs w:val="21"/>
        </w:rPr>
        <w:t xml:space="preserve"> The banks' weight in the ISEQ shrank as their prices fell, and AIB left the main market in J</w:t>
      </w:r>
      <w:r>
        <w:rPr>
          <w:rFonts w:ascii="Calibri" w:eastAsia="Times New Roman" w:hAnsi="Calibri" w:cs="Calibri"/>
          <w:sz w:val="21"/>
          <w:szCs w:val="21"/>
        </w:rPr>
        <w:t>an 2011. Part of the change in ISEQ volatility is a change in what the index contains.</w:t>
      </w:r>
    </w:p>
    <w:p w:rsidR="00000000" w:rsidRDefault="00A43425">
      <w:pPr>
        <w:numPr>
          <w:ilvl w:val="0"/>
          <w:numId w:val="14"/>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Price index.</w:t>
      </w:r>
      <w:r>
        <w:rPr>
          <w:rFonts w:ascii="Calibri" w:eastAsia="Times New Roman" w:hAnsi="Calibri" w:cs="Calibri"/>
          <w:sz w:val="21"/>
          <w:szCs w:val="21"/>
        </w:rPr>
        <w:t xml:space="preserve"> Dividends are not included. This is irrelevant for volatility but matters for returns.</w:t>
      </w:r>
    </w:p>
    <w:p w:rsidR="00000000" w:rsidRDefault="00A43425">
      <w:pPr>
        <w:numPr>
          <w:ilvl w:val="0"/>
          <w:numId w:val="14"/>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One crisis, short phases.</w:t>
      </w:r>
      <w:r>
        <w:rPr>
          <w:rFonts w:ascii="Calibri" w:eastAsia="Times New Roman" w:hAnsi="Calibri" w:cs="Calibri"/>
          <w:sz w:val="21"/>
          <w:szCs w:val="21"/>
        </w:rPr>
        <w:t xml:space="preserve"> The panic phase has 112 days.</w:t>
      </w:r>
    </w:p>
    <w:p w:rsidR="00000000" w:rsidRDefault="00A43425">
      <w:pPr>
        <w:pStyle w:val="NormalWeb"/>
        <w:rPr>
          <w:rFonts w:ascii="Calibri" w:hAnsi="Calibri" w:cs="Calibri"/>
          <w:sz w:val="21"/>
          <w:szCs w:val="21"/>
        </w:rPr>
      </w:pPr>
      <w:r>
        <w:rPr>
          <w:rStyle w:val="Strong"/>
          <w:rFonts w:ascii="Calibri" w:hAnsi="Calibri" w:cs="Calibri"/>
          <w:sz w:val="21"/>
          <w:szCs w:val="21"/>
        </w:rPr>
        <w:t>Reproduce</w:t>
      </w:r>
    </w:p>
    <w:p w:rsidR="00000000" w:rsidRDefault="00A43425">
      <w:pPr>
        <w:pStyle w:val="HTMLPreformatted"/>
        <w:rPr>
          <w:rStyle w:val="HTMLCode"/>
        </w:rPr>
      </w:pPr>
      <w:r>
        <w:rPr>
          <w:rStyle w:val="HTMLCode"/>
        </w:rPr>
        <w:t xml:space="preserve">cd </w:t>
      </w:r>
      <w:r>
        <w:rPr>
          <w:rStyle w:val="HTMLCode"/>
        </w:rPr>
        <w:t>code</w:t>
      </w:r>
    </w:p>
    <w:p w:rsidR="00000000" w:rsidRDefault="00A43425">
      <w:pPr>
        <w:pStyle w:val="HTMLPreformatted"/>
        <w:rPr>
          <w:rStyle w:val="HTMLCode"/>
        </w:rPr>
      </w:pPr>
      <w:r>
        <w:rPr>
          <w:rStyle w:val="HTMLCode"/>
        </w:rPr>
        <w:t>py -3.13 17_irish_focus.py          # builds the dataset (downloads the two banks once) and runs the models</w:t>
      </w:r>
    </w:p>
    <w:p w:rsidR="00000000" w:rsidRDefault="00A43425">
      <w:pPr>
        <w:pStyle w:val="HTMLPreformatted"/>
        <w:rPr>
          <w:rStyle w:val="HTMLCode"/>
        </w:rPr>
      </w:pPr>
      <w:r>
        <w:rPr>
          <w:rStyle w:val="HTMLCode"/>
        </w:rPr>
        <w:t>py -3.13 19_irish_data_profile.py   # this handbook's tables and figures (seconds)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A43425">
        <w:trPr>
          <w:tblHeader/>
        </w:trPr>
        <w:tc>
          <w:tcPr>
            <w:tcW w:w="2500"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Output file</w:t>
            </w:r>
          </w:p>
        </w:tc>
        <w:tc>
          <w:tcPr>
            <w:tcW w:w="2500" w:type="pct"/>
            <w:shd w:val="clear" w:color="auto" w:fill="1F4E79"/>
            <w:tcMar>
              <w:top w:w="60" w:type="dxa"/>
              <w:left w:w="100" w:type="dxa"/>
              <w:bottom w:w="60" w:type="dxa"/>
              <w:right w:w="100" w:type="dxa"/>
            </w:tcMar>
            <w:vAlign w:val="center"/>
            <w:hideMark/>
          </w:tcPr>
          <w:p w:rsidR="00000000" w:rsidRDefault="00A43425">
            <w:pPr>
              <w:spacing w:before="120" w:after="120"/>
              <w:rPr>
                <w:rFonts w:ascii="Calibri" w:eastAsia="Times New Roman" w:hAnsi="Calibri" w:cs="Calibri"/>
                <w:b/>
                <w:bCs/>
                <w:color w:val="FFFFFF"/>
                <w:sz w:val="18"/>
                <w:szCs w:val="18"/>
              </w:rPr>
            </w:pPr>
            <w:r>
              <w:rPr>
                <w:rFonts w:ascii="Calibri" w:eastAsia="Times New Roman" w:hAnsi="Calibri" w:cs="Calibri"/>
                <w:b/>
                <w:bCs/>
                <w:color w:val="FFFFFF"/>
                <w:sz w:val="18"/>
                <w:szCs w:val="18"/>
              </w:rPr>
              <w:t>Contents</w:t>
            </w:r>
          </w:p>
        </w:tc>
      </w:tr>
      <w:tr w:rsidR="00000000" w:rsidTr="00A43425">
        <w:tc>
          <w:tcPr>
            <w:tcW w:w="2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Style w:val="HTMLCode"/>
              </w:rPr>
              <w:t>results/irish_data_coverage.csv</w:t>
            </w:r>
          </w:p>
        </w:tc>
        <w:tc>
          <w:tcPr>
            <w:tcW w:w="2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§6 cov</w:t>
            </w:r>
            <w:r>
              <w:rPr>
                <w:rFonts w:ascii="Calibri" w:eastAsia="Times New Roman" w:hAnsi="Calibri" w:cs="Calibri"/>
                <w:sz w:val="18"/>
                <w:szCs w:val="18"/>
              </w:rPr>
              <w:t>erage</w:t>
            </w:r>
          </w:p>
        </w:tc>
      </w:tr>
      <w:tr w:rsidR="00000000" w:rsidTr="00A43425">
        <w:tc>
          <w:tcPr>
            <w:tcW w:w="2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Style w:val="HTMLCode"/>
              </w:rPr>
              <w:t>results/irish_data_quality_by_year.csv</w:t>
            </w:r>
          </w:p>
        </w:tc>
        <w:tc>
          <w:tcPr>
            <w:tcW w:w="2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§6 quality by year</w:t>
            </w:r>
          </w:p>
        </w:tc>
      </w:tr>
      <w:tr w:rsidR="00000000" w:rsidTr="00A43425">
        <w:tc>
          <w:tcPr>
            <w:tcW w:w="2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Style w:val="HTMLCode"/>
              </w:rPr>
              <w:t>results/irish_data_phase_stats.csv</w:t>
            </w:r>
          </w:p>
        </w:tc>
        <w:tc>
          <w:tcPr>
            <w:tcW w:w="2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§7–8 statistics and tests</w:t>
            </w:r>
          </w:p>
        </w:tc>
      </w:tr>
      <w:tr w:rsidR="00000000" w:rsidTr="00A43425">
        <w:tc>
          <w:tcPr>
            <w:tcW w:w="2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Style w:val="HTMLCode"/>
              </w:rPr>
              <w:t>results/irish_data_target_stats.csv</w:t>
            </w:r>
          </w:p>
        </w:tc>
        <w:tc>
          <w:tcPr>
            <w:tcW w:w="2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§9</w:t>
            </w:r>
          </w:p>
        </w:tc>
      </w:tr>
      <w:tr w:rsidR="00000000" w:rsidTr="00A43425">
        <w:tc>
          <w:tcPr>
            <w:tcW w:w="2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Style w:val="HTMLCode"/>
              </w:rPr>
              <w:t>results/irish_data_largest_moves.csv</w:t>
            </w:r>
          </w:p>
        </w:tc>
        <w:tc>
          <w:tcPr>
            <w:tcW w:w="2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§10</w:t>
            </w:r>
          </w:p>
        </w:tc>
      </w:tr>
      <w:tr w:rsidR="00000000" w:rsidTr="00A43425">
        <w:tc>
          <w:tcPr>
            <w:tcW w:w="2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Style w:val="HTMLCode"/>
              </w:rPr>
              <w:t>results/irish_data_features.csv</w:t>
            </w:r>
          </w:p>
        </w:tc>
        <w:tc>
          <w:tcPr>
            <w:tcW w:w="2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§11 ranges</w:t>
            </w:r>
          </w:p>
        </w:tc>
      </w:tr>
      <w:tr w:rsidR="00000000" w:rsidTr="00A43425">
        <w:tc>
          <w:tcPr>
            <w:tcW w:w="2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Style w:val="HTMLCode"/>
              </w:rPr>
              <w:t>results/irish_data_feature_corr.csv</w:t>
            </w:r>
          </w:p>
        </w:tc>
        <w:tc>
          <w:tcPr>
            <w:tcW w:w="2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§11 correlations</w:t>
            </w:r>
          </w:p>
        </w:tc>
      </w:tr>
      <w:tr w:rsidR="00000000" w:rsidTr="00A43425">
        <w:tc>
          <w:tcPr>
            <w:tcW w:w="2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Style w:val="HTMLCode"/>
              </w:rPr>
              <w:t>results/irish_data_leadlag.csv</w:t>
            </w:r>
          </w:p>
        </w:tc>
        <w:tc>
          <w:tcPr>
            <w:tcW w:w="2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§12</w:t>
            </w:r>
          </w:p>
        </w:tc>
      </w:tr>
      <w:tr w:rsidR="00000000" w:rsidTr="00A43425">
        <w:tc>
          <w:tcPr>
            <w:tcW w:w="2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Style w:val="HTMLCode"/>
              </w:rPr>
              <w:t>results/irish_data_stationarity.csv</w:t>
            </w:r>
          </w:p>
        </w:tc>
        <w:tc>
          <w:tcPr>
            <w:tcW w:w="2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§8</w:t>
            </w:r>
          </w:p>
        </w:tc>
      </w:tr>
      <w:tr w:rsidR="00000000" w:rsidTr="00A43425">
        <w:tc>
          <w:tcPr>
            <w:tcW w:w="2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Style w:val="HTMLCode"/>
              </w:rPr>
              <w:t>results/irish_data_splits.csv</w:t>
            </w:r>
          </w:p>
        </w:tc>
        <w:tc>
          <w:tcPr>
            <w:tcW w:w="2500" w:type="pct"/>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rsidR="00000000" w:rsidRDefault="00A43425">
            <w:pPr>
              <w:spacing w:before="120" w:after="120"/>
              <w:rPr>
                <w:rFonts w:ascii="Calibri" w:eastAsia="Times New Roman" w:hAnsi="Calibri" w:cs="Calibri"/>
                <w:sz w:val="18"/>
                <w:szCs w:val="18"/>
              </w:rPr>
            </w:pPr>
            <w:r>
              <w:rPr>
                <w:rFonts w:ascii="Calibri" w:eastAsia="Times New Roman" w:hAnsi="Calibri" w:cs="Calibri"/>
                <w:sz w:val="18"/>
                <w:szCs w:val="18"/>
              </w:rPr>
              <w:t>§5</w:t>
            </w:r>
          </w:p>
        </w:tc>
      </w:tr>
    </w:tbl>
    <w:p w:rsidR="00000000" w:rsidRDefault="00A43425">
      <w:pPr>
        <w:pStyle w:val="NormalWeb"/>
        <w:rPr>
          <w:rFonts w:ascii="Calibri" w:hAnsi="Calibri" w:cs="Calibri"/>
          <w:sz w:val="21"/>
          <w:szCs w:val="21"/>
        </w:rPr>
      </w:pPr>
      <w:r>
        <w:rPr>
          <w:rStyle w:val="Strong"/>
          <w:rFonts w:ascii="Calibri" w:hAnsi="Calibri" w:cs="Calibri"/>
          <w:sz w:val="21"/>
          <w:szCs w:val="21"/>
        </w:rPr>
        <w:t>Sources for the background facts</w:t>
      </w:r>
      <w:r>
        <w:rPr>
          <w:rFonts w:ascii="Calibri" w:hAnsi="Calibri" w:cs="Calibri"/>
          <w:sz w:val="21"/>
          <w:szCs w:val="21"/>
        </w:rPr>
        <w:t xml:space="preserve"> (check each before citing)</w:t>
      </w:r>
    </w:p>
    <w:p w:rsidR="00000000" w:rsidRDefault="00A43425">
      <w:pPr>
        <w:numPr>
          <w:ilvl w:val="0"/>
          <w:numId w:val="15"/>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Irish Times (2 June 2007), </w:t>
      </w:r>
      <w:r>
        <w:rPr>
          <w:rStyle w:val="Emphasis"/>
          <w:rFonts w:ascii="Calibri" w:eastAsia="Times New Roman" w:hAnsi="Calibri" w:cs="Calibri"/>
          <w:sz w:val="21"/>
          <w:szCs w:val="21"/>
        </w:rPr>
        <w:t>ISE plans to readjust stocks' weighting</w:t>
      </w:r>
      <w:r>
        <w:rPr>
          <w:rFonts w:ascii="Calibri" w:eastAsia="Times New Roman" w:hAnsi="Calibri" w:cs="Calibri"/>
          <w:sz w:val="21"/>
          <w:szCs w:val="21"/>
        </w:rPr>
        <w:t xml:space="preserve"> — banks ≈ 37% of the ISEQ; free-float plan: https://www.irishtimes.com/business/ise-plans-to-readjust-stocks-weighting-1.1208682</w:t>
      </w:r>
    </w:p>
    <w:p w:rsidR="00000000" w:rsidRDefault="00A43425">
      <w:pPr>
        <w:numPr>
          <w:ilvl w:val="0"/>
          <w:numId w:val="15"/>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RTÉ (25 Jan 2011), </w:t>
      </w:r>
      <w:r>
        <w:rPr>
          <w:rStyle w:val="Emphasis"/>
          <w:rFonts w:ascii="Calibri" w:eastAsia="Times New Roman" w:hAnsi="Calibri" w:cs="Calibri"/>
          <w:sz w:val="21"/>
          <w:szCs w:val="21"/>
        </w:rPr>
        <w:t>AIB's last day on main Dublin market</w:t>
      </w:r>
      <w:r>
        <w:rPr>
          <w:rFonts w:ascii="Calibri" w:eastAsia="Times New Roman" w:hAnsi="Calibri" w:cs="Calibri"/>
          <w:sz w:val="21"/>
          <w:szCs w:val="21"/>
        </w:rPr>
        <w:t>: https://www.rte.ie/news/busine</w:t>
      </w:r>
      <w:r>
        <w:rPr>
          <w:rFonts w:ascii="Calibri" w:eastAsia="Times New Roman" w:hAnsi="Calibri" w:cs="Calibri"/>
          <w:sz w:val="21"/>
          <w:szCs w:val="21"/>
        </w:rPr>
        <w:t>ss/2011/0125/296889-aib-business/</w:t>
      </w:r>
    </w:p>
    <w:p w:rsidR="00000000" w:rsidRDefault="00A43425">
      <w:pPr>
        <w:numPr>
          <w:ilvl w:val="0"/>
          <w:numId w:val="15"/>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AIB Investor Relations, company history and ESM admission: https://www.aib.ie/investorrelations/about-aib/history</w:t>
      </w:r>
    </w:p>
    <w:p w:rsidR="00000000" w:rsidRDefault="00A43425">
      <w:pPr>
        <w:numPr>
          <w:ilvl w:val="0"/>
          <w:numId w:val="15"/>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Benzinga (Jul 2011), </w:t>
      </w:r>
      <w:r>
        <w:rPr>
          <w:rStyle w:val="Emphasis"/>
          <w:rFonts w:ascii="Calibri" w:eastAsia="Times New Roman" w:hAnsi="Calibri" w:cs="Calibri"/>
          <w:sz w:val="21"/>
          <w:szCs w:val="21"/>
        </w:rPr>
        <w:t>Allied Irish Banks has issued 500B ordinary shares at EUR0.01/share</w:t>
      </w:r>
      <w:r>
        <w:rPr>
          <w:rFonts w:ascii="Calibri" w:eastAsia="Times New Roman" w:hAnsi="Calibri" w:cs="Calibri"/>
          <w:sz w:val="21"/>
          <w:szCs w:val="21"/>
        </w:rPr>
        <w:t>: https://www.benzin</w:t>
      </w:r>
      <w:r>
        <w:rPr>
          <w:rFonts w:ascii="Calibri" w:eastAsia="Times New Roman" w:hAnsi="Calibri" w:cs="Calibri"/>
          <w:sz w:val="21"/>
          <w:szCs w:val="21"/>
        </w:rPr>
        <w:t>ga.com/news/11/07/1808953/allied-irish-banks-has-issued-500b-ordinary-shares-at-eur0-01share</w:t>
      </w:r>
    </w:p>
    <w:p w:rsidR="00000000" w:rsidRDefault="00A43425">
      <w:pPr>
        <w:numPr>
          <w:ilvl w:val="0"/>
          <w:numId w:val="15"/>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Bank of Ireland Investor Relations, </w:t>
      </w:r>
      <w:r>
        <w:rPr>
          <w:rStyle w:val="Emphasis"/>
          <w:rFonts w:ascii="Calibri" w:eastAsia="Times New Roman" w:hAnsi="Calibri" w:cs="Calibri"/>
          <w:sz w:val="21"/>
          <w:szCs w:val="21"/>
        </w:rPr>
        <w:t>Capital Raising 2011</w:t>
      </w:r>
      <w:r>
        <w:rPr>
          <w:rFonts w:ascii="Calibri" w:eastAsia="Times New Roman" w:hAnsi="Calibri" w:cs="Calibri"/>
          <w:sz w:val="21"/>
          <w:szCs w:val="21"/>
        </w:rPr>
        <w:t>: https://investorrelations.bankofireland.com/capital-raising-2011/</w:t>
      </w:r>
    </w:p>
    <w:p w:rsidR="00000000" w:rsidRDefault="00A43425">
      <w:pPr>
        <w:numPr>
          <w:ilvl w:val="0"/>
          <w:numId w:val="15"/>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Irish Times, </w:t>
      </w:r>
      <w:r>
        <w:rPr>
          <w:rStyle w:val="Emphasis"/>
          <w:rFonts w:ascii="Calibri" w:eastAsia="Times New Roman" w:hAnsi="Calibri" w:cs="Calibri"/>
          <w:sz w:val="21"/>
          <w:szCs w:val="21"/>
        </w:rPr>
        <w:t>BoI to offer shares for €0</w:t>
      </w:r>
      <w:r>
        <w:rPr>
          <w:rStyle w:val="Emphasis"/>
          <w:rFonts w:ascii="Calibri" w:eastAsia="Times New Roman" w:hAnsi="Calibri" w:cs="Calibri"/>
          <w:sz w:val="21"/>
          <w:szCs w:val="21"/>
        </w:rPr>
        <w:t>.55 in €1.1bn rights issue</w:t>
      </w:r>
      <w:r>
        <w:rPr>
          <w:rFonts w:ascii="Calibri" w:eastAsia="Times New Roman" w:hAnsi="Calibri" w:cs="Calibri"/>
          <w:sz w:val="21"/>
          <w:szCs w:val="21"/>
        </w:rPr>
        <w:t>: https://www.irishtimes.com/business/boi-to-offer-shares-for-0-55-in-1-1bn-rights-issue-1.665352</w:t>
      </w:r>
    </w:p>
    <w:p w:rsidR="00000000" w:rsidRDefault="00A43425">
      <w:pPr>
        <w:numPr>
          <w:ilvl w:val="0"/>
          <w:numId w:val="15"/>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AIB (2015), approval of capital reorganisation measures (1-for-250 consolidation): https://www.aib.ie/content/dam/aib/group/Docs/Pre</w:t>
      </w:r>
      <w:r>
        <w:rPr>
          <w:rFonts w:ascii="Calibri" w:eastAsia="Times New Roman" w:hAnsi="Calibri" w:cs="Calibri"/>
          <w:sz w:val="21"/>
          <w:szCs w:val="21"/>
        </w:rPr>
        <w:t>ss%20Releases/2015/aib-approval-of-capital-reorganisation-measures.pdf</w:t>
      </w:r>
    </w:p>
    <w:p w:rsidR="00000000" w:rsidRDefault="00A43425">
      <w:pPr>
        <w:numPr>
          <w:ilvl w:val="0"/>
          <w:numId w:val="15"/>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Wikipedia, </w:t>
      </w:r>
      <w:r>
        <w:rPr>
          <w:rStyle w:val="Emphasis"/>
          <w:rFonts w:ascii="Calibri" w:eastAsia="Times New Roman" w:hAnsi="Calibri" w:cs="Calibri"/>
          <w:sz w:val="21"/>
          <w:szCs w:val="21"/>
        </w:rPr>
        <w:t>Euronext Dublin</w:t>
      </w:r>
      <w:r>
        <w:rPr>
          <w:rFonts w:ascii="Calibri" w:eastAsia="Times New Roman" w:hAnsi="Calibri" w:cs="Calibri"/>
          <w:sz w:val="21"/>
          <w:szCs w:val="21"/>
        </w:rPr>
        <w:t xml:space="preserve"> and </w:t>
      </w:r>
      <w:r>
        <w:rPr>
          <w:rStyle w:val="Emphasis"/>
          <w:rFonts w:ascii="Calibri" w:eastAsia="Times New Roman" w:hAnsi="Calibri" w:cs="Calibri"/>
          <w:sz w:val="21"/>
          <w:szCs w:val="21"/>
        </w:rPr>
        <w:t>ISEQ 20</w:t>
      </w:r>
      <w:r>
        <w:rPr>
          <w:rFonts w:ascii="Calibri" w:eastAsia="Times New Roman" w:hAnsi="Calibri" w:cs="Calibri"/>
          <w:sz w:val="21"/>
          <w:szCs w:val="21"/>
        </w:rPr>
        <w:t xml:space="preserve">; Wikidata, </w:t>
      </w:r>
      <w:r>
        <w:rPr>
          <w:rStyle w:val="Emphasis"/>
          <w:rFonts w:ascii="Calibri" w:eastAsia="Times New Roman" w:hAnsi="Calibri" w:cs="Calibri"/>
          <w:sz w:val="21"/>
          <w:szCs w:val="21"/>
        </w:rPr>
        <w:t>ISEQ Overall Index</w:t>
      </w:r>
      <w:r>
        <w:rPr>
          <w:rFonts w:ascii="Calibri" w:eastAsia="Times New Roman" w:hAnsi="Calibri" w:cs="Calibri"/>
          <w:sz w:val="21"/>
          <w:szCs w:val="21"/>
        </w:rPr>
        <w:t xml:space="preserve"> (start 4 Jan 1988).</w:t>
      </w:r>
    </w:p>
    <w:p w:rsidR="00000000" w:rsidRDefault="00A43425">
      <w:pPr>
        <w:pStyle w:val="NormalWeb"/>
        <w:rPr>
          <w:rFonts w:ascii="Calibri" w:hAnsi="Calibri" w:cs="Calibri"/>
          <w:sz w:val="21"/>
          <w:szCs w:val="21"/>
        </w:rPr>
      </w:pPr>
      <w:r>
        <w:rPr>
          <w:rStyle w:val="Strong"/>
          <w:rFonts w:ascii="Calibri" w:hAnsi="Calibri" w:cs="Calibri"/>
          <w:sz w:val="21"/>
          <w:szCs w:val="21"/>
        </w:rPr>
        <w:t>Academic references used here</w:t>
      </w:r>
      <w:r>
        <w:rPr>
          <w:rFonts w:ascii="Calibri" w:hAnsi="Calibri" w:cs="Calibri"/>
          <w:sz w:val="21"/>
          <w:szCs w:val="21"/>
        </w:rPr>
        <w:t xml:space="preserve"> (cards in the Literature Handbook):</w:t>
      </w:r>
    </w:p>
    <w:p w:rsidR="00000000" w:rsidRDefault="00A43425">
      <w:pPr>
        <w:numPr>
          <w:ilvl w:val="0"/>
          <w:numId w:val="16"/>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Cont (2001), stylised facts.</w:t>
      </w:r>
    </w:p>
    <w:p w:rsidR="00000000" w:rsidRDefault="00A43425">
      <w:pPr>
        <w:numPr>
          <w:ilvl w:val="0"/>
          <w:numId w:val="16"/>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C</w:t>
      </w:r>
      <w:r>
        <w:rPr>
          <w:rFonts w:ascii="Calibri" w:eastAsia="Times New Roman" w:hAnsi="Calibri" w:cs="Calibri"/>
          <w:sz w:val="21"/>
          <w:szCs w:val="21"/>
        </w:rPr>
        <w:t>orsi (2009), HAR.</w:t>
      </w:r>
    </w:p>
    <w:p w:rsidR="00000000" w:rsidRDefault="00A43425">
      <w:pPr>
        <w:numPr>
          <w:ilvl w:val="0"/>
          <w:numId w:val="16"/>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Corsi &amp; Renò (2012), leverage.</w:t>
      </w:r>
    </w:p>
    <w:p w:rsidR="00000000" w:rsidRDefault="00A43425">
      <w:pPr>
        <w:numPr>
          <w:ilvl w:val="0"/>
          <w:numId w:val="16"/>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Patton (2011), QLIKE.</w:t>
      </w:r>
    </w:p>
    <w:p w:rsidR="00000000" w:rsidRDefault="00A43425">
      <w:pPr>
        <w:numPr>
          <w:ilvl w:val="0"/>
          <w:numId w:val="16"/>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Forbes &amp; Rigobon (2002), correlation bias.</w:t>
      </w:r>
    </w:p>
    <w:p w:rsidR="00000000" w:rsidRDefault="00A43425">
      <w:pPr>
        <w:numPr>
          <w:ilvl w:val="0"/>
          <w:numId w:val="16"/>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Aas et al. (2021), SHAP with correlated features.</w:t>
      </w:r>
    </w:p>
    <w:p w:rsidR="00000000" w:rsidRDefault="00A43425">
      <w:pPr>
        <w:numPr>
          <w:ilvl w:val="0"/>
          <w:numId w:val="16"/>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Acharya, Drechsler &amp; Schnabl (2014), the Irish guarantee.</w:t>
      </w:r>
    </w:p>
    <w:p w:rsidR="00000000" w:rsidRDefault="00A43425">
      <w:pPr>
        <w:numPr>
          <w:ilvl w:val="0"/>
          <w:numId w:val="16"/>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Duan (1983), smearing — no card; a</w:t>
      </w:r>
      <w:r>
        <w:rPr>
          <w:rFonts w:ascii="Calibri" w:eastAsia="Times New Roman" w:hAnsi="Calibri" w:cs="Calibri"/>
          <w:sz w:val="21"/>
          <w:szCs w:val="21"/>
        </w:rPr>
        <w:t>dd one if you cite it.</w:t>
      </w:r>
    </w:p>
    <w:sectPr w:rsidR="00000000" w:rsidSect="00A43425">
      <w:pgSz w:w="11906" w:h="16838"/>
      <w:pgMar w:top="1080" w:right="1080" w:bottom="108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BA5490"/>
    <w:multiLevelType w:val="multilevel"/>
    <w:tmpl w:val="C6C4D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BA4237"/>
    <w:multiLevelType w:val="multilevel"/>
    <w:tmpl w:val="0EFA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2576E1"/>
    <w:multiLevelType w:val="multilevel"/>
    <w:tmpl w:val="EC3C4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3F4F3A"/>
    <w:multiLevelType w:val="multilevel"/>
    <w:tmpl w:val="3774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33003E"/>
    <w:multiLevelType w:val="multilevel"/>
    <w:tmpl w:val="E4B2F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C81CA7"/>
    <w:multiLevelType w:val="multilevel"/>
    <w:tmpl w:val="BEF8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CA37C4"/>
    <w:multiLevelType w:val="multilevel"/>
    <w:tmpl w:val="5364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91763B"/>
    <w:multiLevelType w:val="multilevel"/>
    <w:tmpl w:val="25C0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DD08FA"/>
    <w:multiLevelType w:val="multilevel"/>
    <w:tmpl w:val="371E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EF456F"/>
    <w:multiLevelType w:val="multilevel"/>
    <w:tmpl w:val="F67C9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2815DF"/>
    <w:multiLevelType w:val="multilevel"/>
    <w:tmpl w:val="8EA0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0E368B"/>
    <w:multiLevelType w:val="multilevel"/>
    <w:tmpl w:val="5326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5E5AC2"/>
    <w:multiLevelType w:val="multilevel"/>
    <w:tmpl w:val="2306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5D5A8D"/>
    <w:multiLevelType w:val="multilevel"/>
    <w:tmpl w:val="371E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AF7422"/>
    <w:multiLevelType w:val="multilevel"/>
    <w:tmpl w:val="1EF27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AB70D3"/>
    <w:multiLevelType w:val="multilevel"/>
    <w:tmpl w:val="48D0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9"/>
  </w:num>
  <w:num w:numId="4">
    <w:abstractNumId w:val="12"/>
  </w:num>
  <w:num w:numId="5">
    <w:abstractNumId w:val="10"/>
  </w:num>
  <w:num w:numId="6">
    <w:abstractNumId w:val="0"/>
  </w:num>
  <w:num w:numId="7">
    <w:abstractNumId w:val="14"/>
  </w:num>
  <w:num w:numId="8">
    <w:abstractNumId w:val="3"/>
  </w:num>
  <w:num w:numId="9">
    <w:abstractNumId w:val="8"/>
  </w:num>
  <w:num w:numId="10">
    <w:abstractNumId w:val="13"/>
  </w:num>
  <w:num w:numId="11">
    <w:abstractNumId w:val="6"/>
  </w:num>
  <w:num w:numId="12">
    <w:abstractNumId w:val="1"/>
  </w:num>
  <w:num w:numId="13">
    <w:abstractNumId w:val="7"/>
  </w:num>
  <w:num w:numId="14">
    <w:abstractNumId w:val="2"/>
  </w:num>
  <w:num w:numId="15">
    <w:abstractNumId w:val="15"/>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A43425"/>
    <w:rsid w:val="00A434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E6FB300-F96D-4FDB-8E82-391993897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color w:val="1F4E79"/>
      <w:kern w:val="36"/>
      <w:sz w:val="40"/>
      <w:szCs w:val="40"/>
    </w:rPr>
  </w:style>
  <w:style w:type="paragraph" w:styleId="Heading2">
    <w:name w:val="heading 2"/>
    <w:basedOn w:val="Normal"/>
    <w:link w:val="Heading2Char"/>
    <w:uiPriority w:val="9"/>
    <w:qFormat/>
    <w:pPr>
      <w:spacing w:before="320" w:after="100" w:afterAutospacing="1"/>
      <w:outlineLvl w:val="1"/>
    </w:pPr>
    <w:rPr>
      <w:b/>
      <w:bCs/>
      <w:color w:val="1F4E79"/>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8"/>
      <w:szCs w:val="1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semiHidden/>
    <w:unhideWhenUsed/>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6164366">
      <w:blockQuote w:val="1"/>
      <w:marLeft w:val="0"/>
      <w:marRight w:val="0"/>
      <w:marTop w:val="120"/>
      <w:marBottom w:val="120"/>
      <w:divBdr>
        <w:top w:val="none" w:sz="0" w:space="0" w:color="auto"/>
        <w:left w:val="single" w:sz="24" w:space="8" w:color="E0B000"/>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2925</Words>
  <Characters>16678</Characters>
  <Application>Microsoft Office Word</Application>
  <DocSecurity>0</DocSecurity>
  <Lines>138</Lines>
  <Paragraphs>39</Paragraphs>
  <ScaleCrop>false</ScaleCrop>
  <Company>HP</Company>
  <LinksUpToDate>false</LinksUpToDate>
  <CharactersWithSpaces>19564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2026-10-02T11:03:00Z</dcterms:created>
  <dcterms:modified xsi:type="dcterms:W3CDTF">2026-10-02T11:03:00Z</dcterms:modified>
</cp:coreProperties>
</file>