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44"/>
        </w:rPr>
        <w:t>This Time Is Different? — Chapter 2 Blueprint</w:t>
      </w:r>
    </w:p>
    <w:p>
      <w:r>
        <w:rPr>
          <w:color w:val="1F4E79"/>
          <w:sz w:val="26"/>
        </w:rPr>
        <w:t>Literature Review: structure, arguments, sources, hypotheses and writing plan</w:t>
      </w:r>
    </w:p>
    <w:p>
      <w:pPr>
        <w:spacing w:after="80"/>
      </w:pPr>
      <w:r>
        <w:rPr>
          <w:i/>
        </w:rPr>
        <w:t>Companion to the Research Plan v1.2 · 24 September 2026 · sample January 2003 – August 2023</w:t>
      </w:r>
    </w:p>
    <w:tbl>
      <w:tblPr>
        <w:tblW w:type="auto" w:w="0"/>
        <w:tblLook w:firstColumn="1" w:firstRow="1" w:lastColumn="0" w:lastRow="0" w:noHBand="0" w:noVBand="1" w:val="04A0"/>
      </w:tblPr>
      <w:tblGrid>
        <w:gridCol w:w="9972"/>
      </w:tblGrid>
      <w:tr>
        <w:tc>
          <w:tcPr>
            <w:tcW w:type="dxa" w:w="9972"/>
            <w:shd w:val="clear" w:color="auto" w:fill="FFF2CC"/>
          </w:tcPr>
          <w:p>
            <w:r>
              <w:rPr>
                <w:b/>
              </w:rPr>
              <w:t xml:space="preserve">How to use this: </w:t>
            </w:r>
            <w:r>
              <w:t>This blueprint tells you what each section must argue and which sources support it. It deliberately contains no ready-made paragraphs. Read the sources, form your own view and write every sentence yourself. ✔ marks references whose details were confirmed online in this session; confirm all others in the DBS library before citing.</w:t>
            </w:r>
          </w:p>
        </w:tc>
      </w:tr>
    </w:tbl>
    <w:p>
      <w:pPr>
        <w:spacing w:after="40"/>
      </w:pPr>
    </w:p>
    <w:p>
      <w:pPr>
        <w:pStyle w:val="Heading1"/>
      </w:pPr>
      <w:r>
        <w:rPr>
          <w:color w:val="1F4E79"/>
        </w:rPr>
        <w:t>1. The whole dissertation at a glance</w:t>
      </w:r>
    </w:p>
    <w:p>
      <w:pPr>
        <w:spacing w:after="80"/>
      </w:pPr>
      <w:r>
        <w:rPr>
          <w:i w:val="0"/>
        </w:rPr>
        <w:t>Word budgets assume about 15,000 words. Check the DBS handbook and scale every figure proportionally.</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587"/>
            <w:shd w:val="clear" w:color="auto" w:fill="1F4E79"/>
          </w:tcPr>
          <w:p>
            <w:r>
              <w:rPr>
                <w:b/>
                <w:color w:val="FFFFFF"/>
                <w:sz w:val="17"/>
              </w:rPr>
              <w:t>Chapter</w:t>
            </w:r>
          </w:p>
        </w:tc>
        <w:tc>
          <w:tcPr>
            <w:tcW w:type="dxa" w:w="1587"/>
            <w:shd w:val="clear" w:color="auto" w:fill="1F4E79"/>
          </w:tcPr>
          <w:p>
            <w:r>
              <w:rPr>
                <w:b/>
                <w:color w:val="FFFFFF"/>
                <w:sz w:val="17"/>
              </w:rPr>
              <w:t>Job it does</w:t>
            </w:r>
          </w:p>
        </w:tc>
        <w:tc>
          <w:tcPr>
            <w:tcW w:type="dxa" w:w="4195"/>
            <w:shd w:val="clear" w:color="auto" w:fill="1F4E79"/>
          </w:tcPr>
          <w:p>
            <w:r>
              <w:rPr>
                <w:b/>
                <w:color w:val="FFFFFF"/>
                <w:sz w:val="17"/>
              </w:rPr>
              <w:t>Main content</w:t>
            </w:r>
          </w:p>
        </w:tc>
        <w:tc>
          <w:tcPr>
            <w:tcW w:type="dxa" w:w="1020"/>
            <w:shd w:val="clear" w:color="auto" w:fill="1F4E79"/>
          </w:tcPr>
          <w:p>
            <w:r>
              <w:rPr>
                <w:b/>
                <w:color w:val="FFFFFF"/>
                <w:sz w:val="17"/>
              </w:rPr>
              <w:t>Words</w:t>
            </w:r>
          </w:p>
        </w:tc>
        <w:tc>
          <w:tcPr>
            <w:tcW w:type="dxa" w:w="1247"/>
            <w:shd w:val="clear" w:color="auto" w:fill="1F4E79"/>
          </w:tcPr>
          <w:p>
            <w:r>
              <w:rPr>
                <w:b/>
                <w:color w:val="FFFFFF"/>
                <w:sz w:val="17"/>
              </w:rPr>
              <w:t>Draft in</w:t>
            </w:r>
          </w:p>
        </w:tc>
      </w:tr>
      <w:tr>
        <w:tc>
          <w:tcPr>
            <w:tcW w:type="dxa" w:w="1587"/>
          </w:tcPr>
          <w:p>
            <w:r>
              <w:rPr>
                <w:sz w:val="17"/>
              </w:rPr>
              <w:t>Abstract</w:t>
            </w:r>
          </w:p>
        </w:tc>
        <w:tc>
          <w:tcPr>
            <w:tcW w:type="dxa" w:w="1587"/>
          </w:tcPr>
          <w:p>
            <w:r>
              <w:rPr>
                <w:sz w:val="17"/>
              </w:rPr>
              <w:t>Whole study in one paragraph</w:t>
            </w:r>
          </w:p>
        </w:tc>
        <w:tc>
          <w:tcPr>
            <w:tcW w:type="dxa" w:w="4195"/>
          </w:tcPr>
          <w:p>
            <w:r>
              <w:rPr>
                <w:sz w:val="17"/>
              </w:rPr>
              <w:t>Question, data, methods, three key findings, contribution</w:t>
            </w:r>
          </w:p>
        </w:tc>
        <w:tc>
          <w:tcPr>
            <w:tcW w:type="dxa" w:w="1020"/>
          </w:tcPr>
          <w:p>
            <w:r>
              <w:rPr>
                <w:sz w:val="17"/>
              </w:rPr>
              <w:t>300</w:t>
            </w:r>
          </w:p>
        </w:tc>
        <w:tc>
          <w:tcPr>
            <w:tcW w:type="dxa" w:w="1247"/>
          </w:tcPr>
          <w:p>
            <w:r>
              <w:rPr>
                <w:sz w:val="17"/>
              </w:rPr>
              <w:t>Week 11</w:t>
            </w:r>
          </w:p>
        </w:tc>
      </w:tr>
      <w:tr>
        <w:tc>
          <w:tcPr>
            <w:tcW w:type="dxa" w:w="1587"/>
          </w:tcPr>
          <w:p>
            <w:r>
              <w:rPr>
                <w:sz w:val="17"/>
              </w:rPr>
              <w:t>1 Introduction</w:t>
            </w:r>
          </w:p>
        </w:tc>
        <w:tc>
          <w:tcPr>
            <w:tcW w:type="dxa" w:w="1587"/>
          </w:tcPr>
          <w:p>
            <w:r>
              <w:rPr>
                <w:sz w:val="17"/>
              </w:rPr>
              <w:t>Why this matters</w:t>
            </w:r>
          </w:p>
        </w:tc>
        <w:tc>
          <w:tcPr>
            <w:tcW w:type="dxa" w:w="4195"/>
          </w:tcPr>
          <w:p>
            <w:r>
              <w:rPr>
                <w:sz w:val="17"/>
              </w:rPr>
              <w:t>Ireland as a small open economy hit by repeated crises; the forecasting and black-box problem; aim, RQ1–RQ4, contribution, structure</w:t>
            </w:r>
          </w:p>
        </w:tc>
        <w:tc>
          <w:tcPr>
            <w:tcW w:type="dxa" w:w="1020"/>
          </w:tcPr>
          <w:p>
            <w:r>
              <w:rPr>
                <w:sz w:val="17"/>
              </w:rPr>
              <w:t>1,500</w:t>
            </w:r>
          </w:p>
        </w:tc>
        <w:tc>
          <w:tcPr>
            <w:tcW w:type="dxa" w:w="1247"/>
          </w:tcPr>
          <w:p>
            <w:r>
              <w:rPr>
                <w:sz w:val="17"/>
              </w:rPr>
              <w:t>Week 11</w:t>
            </w:r>
          </w:p>
        </w:tc>
      </w:tr>
      <w:tr>
        <w:tc>
          <w:tcPr>
            <w:tcW w:type="dxa" w:w="1587"/>
          </w:tcPr>
          <w:p>
            <w:r>
              <w:rPr>
                <w:sz w:val="17"/>
              </w:rPr>
              <w:t>2 Literature Review</w:t>
            </w:r>
          </w:p>
        </w:tc>
        <w:tc>
          <w:tcPr>
            <w:tcW w:type="dxa" w:w="1587"/>
          </w:tcPr>
          <w:p>
            <w:r>
              <w:rPr>
                <w:sz w:val="17"/>
              </w:rPr>
              <w:t>What is known, what is not</w:t>
            </w:r>
          </w:p>
        </w:tc>
        <w:tc>
          <w:tcPr>
            <w:tcW w:type="dxa" w:w="4195"/>
          </w:tcPr>
          <w:p>
            <w:r>
              <w:rPr>
                <w:sz w:val="17"/>
              </w:rPr>
              <w:t>Crisis theory → three crises &amp; Ireland → transmission → volatility forecasting → explainable AI → gap and hypotheses</w:t>
            </w:r>
          </w:p>
        </w:tc>
        <w:tc>
          <w:tcPr>
            <w:tcW w:type="dxa" w:w="1020"/>
          </w:tcPr>
          <w:p>
            <w:r>
              <w:rPr>
                <w:sz w:val="17"/>
              </w:rPr>
              <w:t>4,500–5,000</w:t>
            </w:r>
          </w:p>
        </w:tc>
        <w:tc>
          <w:tcPr>
            <w:tcW w:type="dxa" w:w="1247"/>
          </w:tcPr>
          <w:p>
            <w:r>
              <w:rPr>
                <w:sz w:val="17"/>
              </w:rPr>
              <w:t>Weeks 1–5 (polish week 10)</w:t>
            </w:r>
          </w:p>
        </w:tc>
      </w:tr>
      <w:tr>
        <w:tc>
          <w:tcPr>
            <w:tcW w:type="dxa" w:w="1587"/>
          </w:tcPr>
          <w:p>
            <w:r>
              <w:rPr>
                <w:sz w:val="17"/>
              </w:rPr>
              <w:t>3 Methodology</w:t>
            </w:r>
          </w:p>
        </w:tc>
        <w:tc>
          <w:tcPr>
            <w:tcW w:type="dxa" w:w="1587"/>
          </w:tcPr>
          <w:p>
            <w:r>
              <w:rPr>
                <w:sz w:val="17"/>
              </w:rPr>
              <w:t>How, and why this way</w:t>
            </w:r>
          </w:p>
        </w:tc>
        <w:tc>
          <w:tcPr>
            <w:tcW w:type="dxa" w:w="4195"/>
          </w:tcPr>
          <w:p>
            <w:r>
              <w:rPr>
                <w:sz w:val="17"/>
              </w:rPr>
              <w:t>Philosophy, CRISP-DM, data, target, alignment, models, walk-forward, tests, SHAP, ethics, AI-use declaration</w:t>
            </w:r>
          </w:p>
        </w:tc>
        <w:tc>
          <w:tcPr>
            <w:tcW w:type="dxa" w:w="1020"/>
          </w:tcPr>
          <w:p>
            <w:r>
              <w:rPr>
                <w:sz w:val="17"/>
              </w:rPr>
              <w:t>3,500</w:t>
            </w:r>
          </w:p>
        </w:tc>
        <w:tc>
          <w:tcPr>
            <w:tcW w:type="dxa" w:w="1247"/>
          </w:tcPr>
          <w:p>
            <w:r>
              <w:rPr>
                <w:sz w:val="17"/>
              </w:rPr>
              <w:t>Week 9</w:t>
            </w:r>
          </w:p>
        </w:tc>
      </w:tr>
      <w:tr>
        <w:tc>
          <w:tcPr>
            <w:tcW w:type="dxa" w:w="1587"/>
          </w:tcPr>
          <w:p>
            <w:r>
              <w:rPr>
                <w:sz w:val="17"/>
              </w:rPr>
              <w:t>4 Results</w:t>
            </w:r>
          </w:p>
        </w:tc>
        <w:tc>
          <w:tcPr>
            <w:tcW w:type="dxa" w:w="1587"/>
          </w:tcPr>
          <w:p>
            <w:r>
              <w:rPr>
                <w:sz w:val="17"/>
              </w:rPr>
              <w:t>What was found</w:t>
            </w:r>
          </w:p>
        </w:tc>
        <w:tc>
          <w:tcPr>
            <w:tcW w:type="dxa" w:w="4195"/>
          </w:tcPr>
          <w:p>
            <w:r>
              <w:rPr>
                <w:sz w:val="17"/>
              </w:rPr>
              <w:t>Descriptives, RQ1 accuracy tables, RQ3 frozen models, RQ2 fingerprints, RQ4 stability, validation events, robustness</w:t>
            </w:r>
          </w:p>
        </w:tc>
        <w:tc>
          <w:tcPr>
            <w:tcW w:type="dxa" w:w="1020"/>
          </w:tcPr>
          <w:p>
            <w:r>
              <w:rPr>
                <w:sz w:val="17"/>
              </w:rPr>
              <w:t>3,000</w:t>
            </w:r>
          </w:p>
        </w:tc>
        <w:tc>
          <w:tcPr>
            <w:tcW w:type="dxa" w:w="1247"/>
          </w:tcPr>
          <w:p>
            <w:r>
              <w:rPr>
                <w:sz w:val="17"/>
              </w:rPr>
              <w:t>Week 9</w:t>
            </w:r>
          </w:p>
        </w:tc>
      </w:tr>
      <w:tr>
        <w:tc>
          <w:tcPr>
            <w:tcW w:type="dxa" w:w="1587"/>
          </w:tcPr>
          <w:p>
            <w:r>
              <w:rPr>
                <w:sz w:val="17"/>
              </w:rPr>
              <w:t>5 Discussion</w:t>
            </w:r>
          </w:p>
        </w:tc>
        <w:tc>
          <w:tcPr>
            <w:tcW w:type="dxa" w:w="1587"/>
          </w:tcPr>
          <w:p>
            <w:r>
              <w:rPr>
                <w:sz w:val="17"/>
              </w:rPr>
              <w:t>What it means</w:t>
            </w:r>
          </w:p>
        </w:tc>
        <w:tc>
          <w:tcPr>
            <w:tcW w:type="dxa" w:w="4195"/>
          </w:tcPr>
          <w:p>
            <w:r>
              <w:rPr>
                <w:sz w:val="17"/>
              </w:rPr>
              <w:t>Findings against hypotheses and literature; history lens; implications for investors, regulators, researchers</w:t>
            </w:r>
          </w:p>
        </w:tc>
        <w:tc>
          <w:tcPr>
            <w:tcW w:type="dxa" w:w="1020"/>
          </w:tcPr>
          <w:p>
            <w:r>
              <w:rPr>
                <w:sz w:val="17"/>
              </w:rPr>
              <w:t>2,000</w:t>
            </w:r>
          </w:p>
        </w:tc>
        <w:tc>
          <w:tcPr>
            <w:tcW w:type="dxa" w:w="1247"/>
          </w:tcPr>
          <w:p>
            <w:r>
              <w:rPr>
                <w:sz w:val="17"/>
              </w:rPr>
              <w:t>Week 10</w:t>
            </w:r>
          </w:p>
        </w:tc>
      </w:tr>
      <w:tr>
        <w:tc>
          <w:tcPr>
            <w:tcW w:type="dxa" w:w="1587"/>
          </w:tcPr>
          <w:p>
            <w:r>
              <w:rPr>
                <w:sz w:val="17"/>
              </w:rPr>
              <w:t>6 Conclusion</w:t>
            </w:r>
          </w:p>
        </w:tc>
        <w:tc>
          <w:tcPr>
            <w:tcW w:type="dxa" w:w="1587"/>
          </w:tcPr>
          <w:p>
            <w:r>
              <w:rPr>
                <w:sz w:val="17"/>
              </w:rPr>
              <w:t>Answer and next steps</w:t>
            </w:r>
          </w:p>
        </w:tc>
        <w:tc>
          <w:tcPr>
            <w:tcW w:type="dxa" w:w="4195"/>
          </w:tcPr>
          <w:p>
            <w:r>
              <w:rPr>
                <w:sz w:val="17"/>
              </w:rPr>
              <w:t>Answers to RQ1–RQ4, contribution, limitations, future research (the PhD extension)</w:t>
            </w:r>
          </w:p>
        </w:tc>
        <w:tc>
          <w:tcPr>
            <w:tcW w:type="dxa" w:w="1020"/>
          </w:tcPr>
          <w:p>
            <w:r>
              <w:rPr>
                <w:sz w:val="17"/>
              </w:rPr>
              <w:t>1,000</w:t>
            </w:r>
          </w:p>
        </w:tc>
        <w:tc>
          <w:tcPr>
            <w:tcW w:type="dxa" w:w="1247"/>
          </w:tcPr>
          <w:p>
            <w:r>
              <w:rPr>
                <w:sz w:val="17"/>
              </w:rPr>
              <w:t>Week 11</w:t>
            </w:r>
          </w:p>
        </w:tc>
      </w:tr>
      <w:tr>
        <w:tc>
          <w:tcPr>
            <w:tcW w:type="dxa" w:w="1587"/>
          </w:tcPr>
          <w:p>
            <w:r>
              <w:rPr>
                <w:sz w:val="17"/>
              </w:rPr>
              <w:t>References &amp; appendices</w:t>
            </w:r>
          </w:p>
        </w:tc>
        <w:tc>
          <w:tcPr>
            <w:tcW w:type="dxa" w:w="1587"/>
          </w:tcPr>
          <w:p>
            <w:r>
              <w:rPr>
                <w:sz w:val="17"/>
              </w:rPr>
              <w:t>Evidence of rigour</w:t>
            </w:r>
          </w:p>
        </w:tc>
        <w:tc>
          <w:tcPr>
            <w:tcW w:type="dxa" w:w="4195"/>
          </w:tcPr>
          <w:p>
            <w:r>
              <w:rPr>
                <w:sz w:val="17"/>
              </w:rPr>
              <w:t>Harvard references; code listing; data-quality report; extra tables</w:t>
            </w:r>
          </w:p>
        </w:tc>
        <w:tc>
          <w:tcPr>
            <w:tcW w:type="dxa" w:w="1020"/>
          </w:tcPr>
          <w:p>
            <w:r>
              <w:rPr>
                <w:sz w:val="17"/>
              </w:rPr>
              <w:t>—</w:t>
            </w:r>
          </w:p>
        </w:tc>
        <w:tc>
          <w:tcPr>
            <w:tcW w:type="dxa" w:w="1247"/>
          </w:tcPr>
          <w:p>
            <w:r>
              <w:rPr>
                <w:sz w:val="17"/>
              </w:rPr>
              <w:t>Throughout</w:t>
            </w:r>
          </w:p>
        </w:tc>
      </w:tr>
    </w:tbl>
    <w:p>
      <w:pPr>
        <w:spacing w:after="40"/>
      </w:pPr>
    </w:p>
    <w:p>
      <w:pPr>
        <w:pStyle w:val="Heading1"/>
      </w:pPr>
      <w:r>
        <w:rPr>
          <w:color w:val="1F4E79"/>
        </w:rPr>
        <w:t>2. What Chapter 2 must achieve</w:t>
      </w:r>
    </w:p>
    <w:p>
      <w:pPr>
        <w:pStyle w:val="ListBullet"/>
        <w:spacing w:after="20"/>
      </w:pPr>
      <w:r>
        <w:rPr>
          <w:b/>
        </w:rPr>
        <w:t xml:space="preserve">Show command of three fields: </w:t>
      </w:r>
      <w:r>
        <w:t>financial crises, volatility econometrics, and explainable machine learning.</w:t>
      </w:r>
    </w:p>
    <w:p>
      <w:pPr>
        <w:pStyle w:val="ListBullet"/>
        <w:spacing w:after="20"/>
      </w:pPr>
      <w:r>
        <w:rPr>
          <w:b/>
        </w:rPr>
        <w:t xml:space="preserve">Build a theoretical lens: </w:t>
      </w:r>
      <w:r>
        <w:t>why crises recur, and why their origin should shape how they spread.</w:t>
      </w:r>
    </w:p>
    <w:p>
      <w:pPr>
        <w:pStyle w:val="ListBullet"/>
        <w:spacing w:after="20"/>
      </w:pPr>
      <w:r>
        <w:rPr>
          <w:b/>
        </w:rPr>
        <w:t xml:space="preserve">Evaluate methods critically: </w:t>
      </w:r>
      <w:r>
        <w:t>what GARCH, HAR, LSTM and SHAP can and cannot do.</w:t>
      </w:r>
    </w:p>
    <w:p>
      <w:pPr>
        <w:pStyle w:val="ListBullet"/>
        <w:spacing w:after="20"/>
      </w:pPr>
      <w:r>
        <w:rPr>
          <w:b/>
        </w:rPr>
        <w:t xml:space="preserve">Identify a precise gap: </w:t>
      </w:r>
      <w:r>
        <w:t>not ‘nobody has studied this’, but exactly which combination is missing.</w:t>
      </w:r>
    </w:p>
    <w:p>
      <w:pPr>
        <w:pStyle w:val="ListBullet"/>
        <w:spacing w:after="20"/>
      </w:pPr>
      <w:r>
        <w:rPr>
          <w:b/>
        </w:rPr>
        <w:t xml:space="preserve">Derive the hypotheses: </w:t>
      </w:r>
      <w:r>
        <w:t>by the end, RQ1–RQ4 and their hypotheses should look like the obvious next step.</w:t>
      </w:r>
    </w:p>
    <w:p>
      <w:pPr>
        <w:spacing w:after="80"/>
      </w:pPr>
      <w:r>
        <w:rPr>
          <w:i w:val="0"/>
        </w:rPr>
        <w:t>The chapter works like a funnel, from broad theory to your exact question:</w:t>
      </w:r>
    </w:p>
    <w:tbl>
      <w:tblPr>
        <w:tblStyle w:val="TableGrid"/>
        <w:tblW w:type="auto" w:w="0"/>
        <w:jc w:val="center"/>
        <w:tblLook w:firstColumn="1" w:firstRow="1" w:lastColumn="0" w:lastRow="0" w:noHBand="0" w:noVBand="1" w:val="04A0"/>
      </w:tblPr>
      <w:tblGrid>
        <w:gridCol w:w="3324"/>
        <w:gridCol w:w="3324"/>
        <w:gridCol w:w="3324"/>
      </w:tblGrid>
      <w:tr>
        <w:tc>
          <w:tcPr>
            <w:tcW w:type="dxa" w:w="680"/>
            <w:shd w:val="clear" w:color="auto" w:fill="1F4E79"/>
          </w:tcPr>
          <w:p>
            <w:r>
              <w:rPr>
                <w:b/>
                <w:color w:val="FFFFFF"/>
                <w:sz w:val="17"/>
              </w:rPr>
              <w:t>Step</w:t>
            </w:r>
          </w:p>
        </w:tc>
        <w:tc>
          <w:tcPr>
            <w:tcW w:type="dxa" w:w="2835"/>
            <w:shd w:val="clear" w:color="auto" w:fill="1F4E79"/>
          </w:tcPr>
          <w:p>
            <w:r>
              <w:rPr>
                <w:b/>
                <w:color w:val="FFFFFF"/>
                <w:sz w:val="17"/>
              </w:rPr>
              <w:t>Section</w:t>
            </w:r>
          </w:p>
        </w:tc>
        <w:tc>
          <w:tcPr>
            <w:tcW w:type="dxa" w:w="6123"/>
            <w:shd w:val="clear" w:color="auto" w:fill="1F4E79"/>
          </w:tcPr>
          <w:p>
            <w:r>
              <w:rPr>
                <w:b/>
                <w:color w:val="FFFFFF"/>
                <w:sz w:val="17"/>
              </w:rPr>
              <w:t>Question it answers</w:t>
            </w:r>
          </w:p>
        </w:tc>
      </w:tr>
      <w:tr>
        <w:tc>
          <w:tcPr>
            <w:tcW w:type="dxa" w:w="680"/>
          </w:tcPr>
          <w:p>
            <w:r>
              <w:rPr>
                <w:sz w:val="17"/>
              </w:rPr>
              <w:t>1</w:t>
            </w:r>
          </w:p>
        </w:tc>
        <w:tc>
          <w:tcPr>
            <w:tcW w:type="dxa" w:w="2835"/>
          </w:tcPr>
          <w:p>
            <w:r>
              <w:rPr>
                <w:sz w:val="17"/>
              </w:rPr>
              <w:t>2.2 Why crises recur</w:t>
            </w:r>
          </w:p>
        </w:tc>
        <w:tc>
          <w:tcPr>
            <w:tcW w:type="dxa" w:w="6123"/>
          </w:tcPr>
          <w:p>
            <w:r>
              <w:rPr>
                <w:sz w:val="17"/>
              </w:rPr>
              <w:t>Why should crises differ from each other at all?</w:t>
            </w:r>
          </w:p>
        </w:tc>
      </w:tr>
      <w:tr>
        <w:tc>
          <w:tcPr>
            <w:tcW w:type="dxa" w:w="680"/>
          </w:tcPr>
          <w:p>
            <w:r>
              <w:rPr>
                <w:sz w:val="17"/>
              </w:rPr>
              <w:t>2</w:t>
            </w:r>
          </w:p>
        </w:tc>
        <w:tc>
          <w:tcPr>
            <w:tcW w:type="dxa" w:w="2835"/>
          </w:tcPr>
          <w:p>
            <w:r>
              <w:rPr>
                <w:sz w:val="17"/>
              </w:rPr>
              <w:t>2.3 Three crises and Ireland</w:t>
            </w:r>
          </w:p>
        </w:tc>
        <w:tc>
          <w:tcPr>
            <w:tcW w:type="dxa" w:w="6123"/>
          </w:tcPr>
          <w:p>
            <w:r>
              <w:rPr>
                <w:sz w:val="17"/>
              </w:rPr>
              <w:t>How did each crisis start, and what happened in Ireland?</w:t>
            </w:r>
          </w:p>
        </w:tc>
      </w:tr>
      <w:tr>
        <w:tc>
          <w:tcPr>
            <w:tcW w:type="dxa" w:w="680"/>
          </w:tcPr>
          <w:p>
            <w:r>
              <w:rPr>
                <w:sz w:val="17"/>
              </w:rPr>
              <w:t>3</w:t>
            </w:r>
          </w:p>
        </w:tc>
        <w:tc>
          <w:tcPr>
            <w:tcW w:type="dxa" w:w="2835"/>
          </w:tcPr>
          <w:p>
            <w:r>
              <w:rPr>
                <w:sz w:val="17"/>
              </w:rPr>
              <w:t>2.4 How shocks travel</w:t>
            </w:r>
          </w:p>
        </w:tc>
        <w:tc>
          <w:tcPr>
            <w:tcW w:type="dxa" w:w="6123"/>
          </w:tcPr>
          <w:p>
            <w:r>
              <w:rPr>
                <w:sz w:val="17"/>
              </w:rPr>
              <w:t>How do we know a shock came from abroad, and where from?</w:t>
            </w:r>
          </w:p>
        </w:tc>
      </w:tr>
      <w:tr>
        <w:tc>
          <w:tcPr>
            <w:tcW w:type="dxa" w:w="680"/>
          </w:tcPr>
          <w:p>
            <w:r>
              <w:rPr>
                <w:sz w:val="17"/>
              </w:rPr>
              <w:t>4</w:t>
            </w:r>
          </w:p>
        </w:tc>
        <w:tc>
          <w:tcPr>
            <w:tcW w:type="dxa" w:w="2835"/>
          </w:tcPr>
          <w:p>
            <w:r>
              <w:rPr>
                <w:sz w:val="17"/>
              </w:rPr>
              <w:t>2.5 Forecasting volatility</w:t>
            </w:r>
          </w:p>
        </w:tc>
        <w:tc>
          <w:tcPr>
            <w:tcW w:type="dxa" w:w="6123"/>
          </w:tcPr>
          <w:p>
            <w:r>
              <w:rPr>
                <w:sz w:val="17"/>
              </w:rPr>
              <w:t>Which models forecast risk best, especially in crises?</w:t>
            </w:r>
          </w:p>
        </w:tc>
      </w:tr>
      <w:tr>
        <w:tc>
          <w:tcPr>
            <w:tcW w:type="dxa" w:w="680"/>
          </w:tcPr>
          <w:p>
            <w:r>
              <w:rPr>
                <w:sz w:val="17"/>
              </w:rPr>
              <w:t>5</w:t>
            </w:r>
          </w:p>
        </w:tc>
        <w:tc>
          <w:tcPr>
            <w:tcW w:type="dxa" w:w="2835"/>
          </w:tcPr>
          <w:p>
            <w:r>
              <w:rPr>
                <w:sz w:val="17"/>
              </w:rPr>
              <w:t>2.6 Explaining ML forecasts</w:t>
            </w:r>
          </w:p>
        </w:tc>
        <w:tc>
          <w:tcPr>
            <w:tcW w:type="dxa" w:w="6123"/>
          </w:tcPr>
          <w:p>
            <w:r>
              <w:rPr>
                <w:sz w:val="17"/>
              </w:rPr>
              <w:t>Can we see what drives a deep-learning forecast?</w:t>
            </w:r>
          </w:p>
        </w:tc>
      </w:tr>
      <w:tr>
        <w:tc>
          <w:tcPr>
            <w:tcW w:type="dxa" w:w="680"/>
          </w:tcPr>
          <w:p>
            <w:r>
              <w:rPr>
                <w:sz w:val="17"/>
              </w:rPr>
              <w:t>6</w:t>
            </w:r>
          </w:p>
        </w:tc>
        <w:tc>
          <w:tcPr>
            <w:tcW w:type="dxa" w:w="2835"/>
          </w:tcPr>
          <w:p>
            <w:r>
              <w:rPr>
                <w:sz w:val="17"/>
              </w:rPr>
              <w:t>2.7 Gap and hypotheses</w:t>
            </w:r>
          </w:p>
        </w:tc>
        <w:tc>
          <w:tcPr>
            <w:tcW w:type="dxa" w:w="6123"/>
          </w:tcPr>
          <w:p>
            <w:r>
              <w:rPr>
                <w:sz w:val="17"/>
              </w:rPr>
              <w:t>What is missing, and what exactly will this study test?</w:t>
            </w:r>
          </w:p>
        </w:tc>
      </w:tr>
    </w:tbl>
    <w:p>
      <w:pPr>
        <w:spacing w:after="40"/>
      </w:pPr>
    </w:p>
    <w:p>
      <w:pPr>
        <w:pStyle w:val="Heading1"/>
      </w:pPr>
      <w:r>
        <w:rPr>
          <w:color w:val="1F4E79"/>
        </w:rPr>
        <w:t>3. Search strategy (do this in weeks 0–2; summarise it in section 2.1)</w:t>
      </w:r>
    </w:p>
    <w:p>
      <w:pPr>
        <w:pStyle w:val="ListBullet"/>
        <w:spacing w:after="20"/>
      </w:pPr>
      <w:r>
        <w:rPr>
          <w:b/>
        </w:rPr>
        <w:t xml:space="preserve">Databases: </w:t>
      </w:r>
      <w:r>
        <w:t>DBS library e-resources (check which of ScienceDirect, Wiley, Oxford Academic, JSTOR and EBSCO DBS subscribes to), Google Scholar, SSRN, RePEc/IDEAS, arXiv (preprints only, flagged).</w:t>
      </w:r>
    </w:p>
    <w:p>
      <w:pPr>
        <w:pStyle w:val="ListBullet"/>
        <w:spacing w:after="20"/>
      </w:pPr>
      <w:r>
        <w:rPr>
          <w:b/>
        </w:rPr>
        <w:t xml:space="preserve">Grey literature allowed: </w:t>
      </w:r>
      <w:r>
        <w:t>central-bank and official reports (Honohan 2010; Regling &amp; Watson 2010; Nyberg 2011) and major working-paper series (NBER, ECB, UCD).</w:t>
      </w:r>
    </w:p>
    <w:p>
      <w:pPr>
        <w:pStyle w:val="ListBullet"/>
        <w:spacing w:after="20"/>
      </w:pPr>
      <w:r>
        <w:rPr>
          <w:b/>
        </w:rPr>
        <w:t xml:space="preserve">Time range: </w:t>
      </w:r>
      <w:r>
        <w:t>1970 onwards for theory and classic methods; 2003–2026 for crisis evidence.</w:t>
      </w:r>
    </w:p>
    <w:p>
      <w:pPr>
        <w:pStyle w:val="ListBullet"/>
        <w:spacing w:after="20"/>
      </w:pPr>
      <w:r>
        <w:rPr>
          <w:b/>
        </w:rPr>
        <w:t xml:space="preserve">Inclusion: </w:t>
      </w:r>
      <w:r>
        <w:t>peer-reviewed journals first; working papers only if widely cited or official; English.</w:t>
      </w:r>
    </w:p>
    <w:p>
      <w:pPr>
        <w:pStyle w:val="ListBullet"/>
        <w:spacing w:after="20"/>
      </w:pPr>
      <w:r>
        <w:rPr>
          <w:b/>
        </w:rPr>
        <w:t xml:space="preserve">Chaining: </w:t>
      </w:r>
      <w:r>
        <w:t>for each key paper, check its reference list (backward) and ‘cited by’ in Google Scholar (forward). This is how you find the newest work.</w:t>
      </w:r>
    </w:p>
    <w:p>
      <w:pPr>
        <w:pStyle w:val="ListBullet"/>
        <w:spacing w:after="20"/>
      </w:pPr>
      <w:r>
        <w:rPr>
          <w:b/>
        </w:rPr>
        <w:t xml:space="preserve">Record-keeping: </w:t>
      </w:r>
      <w:r>
        <w:t>Zotero with Harvard style; one note per paper using the synthesis matrix (section 6).</w:t>
      </w:r>
    </w:p>
    <w:tbl>
      <w:tblPr>
        <w:tblStyle w:val="TableGrid"/>
        <w:tblW w:type="auto" w:w="0"/>
        <w:jc w:val="center"/>
        <w:tblLook w:firstColumn="1" w:firstRow="1" w:lastColumn="0" w:lastRow="0" w:noHBand="0" w:noVBand="1" w:val="04A0"/>
      </w:tblPr>
      <w:tblGrid>
        <w:gridCol w:w="4986"/>
        <w:gridCol w:w="4986"/>
      </w:tblGrid>
      <w:tr>
        <w:tc>
          <w:tcPr>
            <w:tcW w:type="dxa" w:w="1984"/>
            <w:shd w:val="clear" w:color="auto" w:fill="1F4E79"/>
          </w:tcPr>
          <w:p>
            <w:r>
              <w:rPr>
                <w:b/>
                <w:color w:val="FFFFFF"/>
                <w:sz w:val="17"/>
              </w:rPr>
              <w:t>Theme</w:t>
            </w:r>
          </w:p>
        </w:tc>
        <w:tc>
          <w:tcPr>
            <w:tcW w:type="dxa" w:w="7654"/>
            <w:shd w:val="clear" w:color="auto" w:fill="1F4E79"/>
          </w:tcPr>
          <w:p>
            <w:r>
              <w:rPr>
                <w:b/>
                <w:color w:val="FFFFFF"/>
                <w:sz w:val="17"/>
              </w:rPr>
              <w:t>Search string (paste into Scholar / database)</w:t>
            </w:r>
          </w:p>
        </w:tc>
      </w:tr>
      <w:tr>
        <w:tc>
          <w:tcPr>
            <w:tcW w:type="dxa" w:w="1984"/>
          </w:tcPr>
          <w:p>
            <w:r>
              <w:rPr>
                <w:sz w:val="17"/>
              </w:rPr>
              <w:t>Volatility + ML</w:t>
            </w:r>
          </w:p>
        </w:tc>
        <w:tc>
          <w:tcPr>
            <w:tcW w:type="dxa" w:w="7654"/>
          </w:tcPr>
          <w:p>
            <w:r>
              <w:rPr>
                <w:sz w:val="17"/>
              </w:rPr>
              <w:t>("volatility forecasting" OR "realized volatility") AND (LSTM OR "neural network" OR "deep learning")</w:t>
            </w:r>
          </w:p>
        </w:tc>
      </w:tr>
      <w:tr>
        <w:tc>
          <w:tcPr>
            <w:tcW w:type="dxa" w:w="1984"/>
          </w:tcPr>
          <w:p>
            <w:r>
              <w:rPr>
                <w:sz w:val="17"/>
              </w:rPr>
              <w:t>Transmission + Ireland</w:t>
            </w:r>
          </w:p>
        </w:tc>
        <w:tc>
          <w:tcPr>
            <w:tcW w:type="dxa" w:w="7654"/>
          </w:tcPr>
          <w:p>
            <w:r>
              <w:rPr>
                <w:sz w:val="17"/>
              </w:rPr>
              <w:t>(contagion OR spillover* OR "volatility transmission") AND (Ireland OR Irish OR ISEQ OR "small open economy")</w:t>
            </w:r>
          </w:p>
        </w:tc>
      </w:tr>
      <w:tr>
        <w:tc>
          <w:tcPr>
            <w:tcW w:type="dxa" w:w="1984"/>
          </w:tcPr>
          <w:p>
            <w:r>
              <w:rPr>
                <w:sz w:val="17"/>
              </w:rPr>
              <w:t>Explainability</w:t>
            </w:r>
          </w:p>
        </w:tc>
        <w:tc>
          <w:tcPr>
            <w:tcW w:type="dxa" w:w="7654"/>
          </w:tcPr>
          <w:p>
            <w:r>
              <w:rPr>
                <w:sz w:val="17"/>
              </w:rPr>
              <w:t>(SHAP OR Shapley OR "explainable AI" OR "integrated gradients") AND (volatility OR finance OR "time series")</w:t>
            </w:r>
          </w:p>
        </w:tc>
      </w:tr>
      <w:tr>
        <w:tc>
          <w:tcPr>
            <w:tcW w:type="dxa" w:w="1984"/>
          </w:tcPr>
          <w:p>
            <w:r>
              <w:rPr>
                <w:sz w:val="17"/>
              </w:rPr>
              <w:t>Irish crisis</w:t>
            </w:r>
          </w:p>
        </w:tc>
        <w:tc>
          <w:tcPr>
            <w:tcW w:type="dxa" w:w="7654"/>
          </w:tcPr>
          <w:p>
            <w:r>
              <w:rPr>
                <w:sz w:val="17"/>
              </w:rPr>
              <w:t>("Irish banking crisis" OR "Irish sovereign" OR "bank guarantee") AND (equity OR stock OR contagion)</w:t>
            </w:r>
          </w:p>
        </w:tc>
      </w:tr>
      <w:tr>
        <w:tc>
          <w:tcPr>
            <w:tcW w:type="dxa" w:w="1984"/>
          </w:tcPr>
          <w:p>
            <w:r>
              <w:rPr>
                <w:sz w:val="17"/>
              </w:rPr>
              <w:t>Other events</w:t>
            </w:r>
          </w:p>
        </w:tc>
        <w:tc>
          <w:tcPr>
            <w:tcW w:type="dxa" w:w="7654"/>
          </w:tcPr>
          <w:p>
            <w:r>
              <w:rPr>
                <w:sz w:val="17"/>
              </w:rPr>
              <w:t>(COVID-19 OR Brexit OR "Ukraine") AND (contagion OR "volatility spillover")</w:t>
            </w:r>
          </w:p>
        </w:tc>
      </w:tr>
    </w:tbl>
    <w:p>
      <w:pPr>
        <w:spacing w:after="40"/>
      </w:pPr>
    </w:p>
    <w:p>
      <w:pPr>
        <w:pStyle w:val="Heading1"/>
      </w:pPr>
      <w:r>
        <w:rPr>
          <w:color w:val="1F4E79"/>
        </w:rPr>
        <w:t>4. Section-by-section blueprint</w:t>
      </w:r>
    </w:p>
    <w:p>
      <w:pPr>
        <w:pStyle w:val="Heading2"/>
      </w:pPr>
      <w:r>
        <w:rPr>
          <w:color w:val="1F4E79"/>
        </w:rPr>
        <w:t>2.1 Introduction to the chapter  (~250 words)</w:t>
      </w:r>
    </w:p>
    <w:p>
      <w:pPr>
        <w:spacing w:after="80"/>
      </w:pPr>
      <w:r>
        <w:rPr>
          <w:b/>
        </w:rPr>
        <w:t xml:space="preserve">Purpose: </w:t>
      </w:r>
      <w:r>
        <w:rPr>
          <w:i w:val="0"/>
        </w:rPr>
        <w:t>Tell the reader what the chapter does, how the literature was found, and in what order it is reviewed.</w:t>
      </w:r>
    </w:p>
    <w:p>
      <w:pPr>
        <w:spacing w:after="80"/>
      </w:pPr>
      <w:r>
        <w:rPr>
          <w:b/>
        </w:rPr>
        <w:t>Points to cover (ideas to argue in your own words):</w:t>
      </w:r>
      <w:r>
        <w:rPr>
          <w:i w:val="0"/>
        </w:rPr>
      </w:r>
    </w:p>
    <w:p>
      <w:pPr>
        <w:pStyle w:val="ListBullet"/>
        <w:spacing w:after="20"/>
      </w:pPr>
      <w:r>
        <w:t>Scope: three crises (2007–09, 2010–12, 2020), the Irish market, 2003–2023.</w:t>
      </w:r>
    </w:p>
    <w:p>
      <w:pPr>
        <w:pStyle w:val="ListBullet"/>
        <w:spacing w:after="20"/>
      </w:pPr>
      <w:r>
        <w:t>Search strategy in two or three sentences (databases, keywords, inclusion rules).</w:t>
      </w:r>
    </w:p>
    <w:p>
      <w:pPr>
        <w:pStyle w:val="ListBullet"/>
        <w:spacing w:after="20"/>
      </w:pPr>
      <w:r>
        <w:t>Roadmap: one sentence per section 2.2–2.7.</w:t>
      </w:r>
    </w:p>
    <w:p>
      <w:pPr>
        <w:spacing w:after="80"/>
      </w:pPr>
      <w:r>
        <w:rPr>
          <w:b/>
        </w:rPr>
        <w:t>Sources and how to use them:</w:t>
      </w:r>
      <w:r>
        <w:rPr>
          <w:i w:val="0"/>
        </w:rPr>
      </w:r>
    </w:p>
    <w:tbl>
      <w:tblPr>
        <w:tblStyle w:val="TableGrid"/>
        <w:tblW w:type="auto" w:w="0"/>
        <w:jc w:val="center"/>
        <w:tblLook w:firstColumn="1" w:firstRow="1" w:lastColumn="0" w:lastRow="0" w:noHBand="0" w:noVBand="1" w:val="04A0"/>
      </w:tblPr>
      <w:tblGrid>
        <w:gridCol w:w="4986"/>
        <w:gridCol w:w="4986"/>
      </w:tblGrid>
      <w:tr>
        <w:tc>
          <w:tcPr>
            <w:tcW w:type="dxa" w:w="3685"/>
            <w:shd w:val="clear" w:color="auto" w:fill="1F4E79"/>
          </w:tcPr>
          <w:p>
            <w:r>
              <w:rPr>
                <w:b/>
                <w:color w:val="FFFFFF"/>
                <w:sz w:val="17"/>
              </w:rPr>
              <w:t>Source</w:t>
            </w:r>
          </w:p>
        </w:tc>
        <w:tc>
          <w:tcPr>
            <w:tcW w:type="dxa" w:w="5953"/>
            <w:shd w:val="clear" w:color="auto" w:fill="1F4E79"/>
          </w:tcPr>
          <w:p>
            <w:r>
              <w:rPr>
                <w:b/>
                <w:color w:val="FFFFFF"/>
                <w:sz w:val="17"/>
              </w:rPr>
              <w:t>Use it to…</w:t>
            </w:r>
          </w:p>
        </w:tc>
      </w:tr>
      <w:tr>
        <w:tc>
          <w:tcPr>
            <w:tcW w:type="dxa" w:w="3685"/>
          </w:tcPr>
          <w:p>
            <w:r>
              <w:rPr>
                <w:sz w:val="17"/>
              </w:rPr>
              <w:t>—</w:t>
            </w:r>
          </w:p>
        </w:tc>
        <w:tc>
          <w:tcPr>
            <w:tcW w:type="dxa" w:w="5953"/>
          </w:tcPr>
          <w:p>
            <w:r>
              <w:rPr>
                <w:sz w:val="17"/>
              </w:rPr>
              <w:t>No citations needed beyond the search description.</w:t>
            </w:r>
          </w:p>
        </w:tc>
      </w:tr>
    </w:tbl>
    <w:p>
      <w:pPr>
        <w:spacing w:after="40"/>
      </w:pPr>
    </w:p>
    <w:p>
      <w:pPr>
        <w:spacing w:after="80"/>
      </w:pPr>
      <w:r>
        <w:rPr>
          <w:b/>
        </w:rPr>
        <w:t xml:space="preserve">Critical angle: </w:t>
      </w:r>
      <w:r>
        <w:rPr>
          <w:i w:val="0"/>
        </w:rPr>
        <w:t>None needed here; keep it short.</w:t>
      </w:r>
    </w:p>
    <w:p>
      <w:pPr>
        <w:spacing w:after="80"/>
      </w:pPr>
      <w:r>
        <w:rPr>
          <w:b/>
        </w:rPr>
        <w:t xml:space="preserve">Feeds into: </w:t>
      </w:r>
      <w:r>
        <w:rPr>
          <w:i w:val="0"/>
        </w:rPr>
        <w:t>Signals rigour to the examiner before the content starts.</w:t>
      </w:r>
    </w:p>
    <w:p>
      <w:pPr>
        <w:spacing w:after="80"/>
      </w:pPr>
      <w:r>
        <w:rPr>
          <w:b/>
        </w:rPr>
        <w:t xml:space="preserve">Avoid: </w:t>
      </w:r>
      <w:r>
        <w:rPr>
          <w:i/>
        </w:rPr>
        <w:t>Starting with dictionary definitions or general statements about ‘the importance of finance’.</w:t>
      </w:r>
    </w:p>
    <w:p>
      <w:pPr>
        <w:pStyle w:val="Heading2"/>
      </w:pPr>
      <w:r>
        <w:rPr>
          <w:color w:val="1F4E79"/>
        </w:rPr>
        <w:t>2.2 Why financial crises recur: the theoretical lens  (~700 words)</w:t>
      </w:r>
    </w:p>
    <w:p>
      <w:pPr>
        <w:spacing w:after="80"/>
      </w:pPr>
      <w:r>
        <w:rPr>
          <w:b/>
        </w:rPr>
        <w:t xml:space="preserve">Purpose: </w:t>
      </w:r>
      <w:r>
        <w:rPr>
          <w:i w:val="0"/>
        </w:rPr>
        <w:t>Give the theories that make ‘this time is different?’ a real question, and show why crisis origin should matter for transmission.</w:t>
      </w:r>
    </w:p>
    <w:p>
      <w:pPr>
        <w:spacing w:after="80"/>
      </w:pPr>
      <w:r>
        <w:rPr>
          <w:b/>
        </w:rPr>
        <w:t>Points to cover (ideas to argue in your own words):</w:t>
      </w:r>
      <w:r>
        <w:rPr>
          <w:i w:val="0"/>
        </w:rPr>
      </w:r>
    </w:p>
    <w:p>
      <w:pPr>
        <w:pStyle w:val="ListBullet"/>
        <w:spacing w:after="20"/>
      </w:pPr>
      <w:r>
        <w:t>Efficient Market Hypothesis: returns should be close to unpredictable, but volatility clusters and is forecastable. So forecasting volatility is consistent with market efficiency. Make this point explicitly.</w:t>
      </w:r>
    </w:p>
    <w:p>
      <w:pPr>
        <w:pStyle w:val="ListBullet"/>
        <w:spacing w:after="20"/>
      </w:pPr>
      <w:r>
        <w:t>Minsky’s Financial Instability Hypothesis: long calm periods encourage leverage and fragility (hedge → speculative → Ponzi finance). Ireland’s 2003–07 credit boom is a textbook case, and your 2003–07 training data is exactly that calm boom.</w:t>
      </w:r>
    </w:p>
    <w:p>
      <w:pPr>
        <w:pStyle w:val="ListBullet"/>
        <w:spacing w:after="20"/>
      </w:pPr>
      <w:r>
        <w:t>Kindleberger’s anatomy of crises (displacement, boom, euphoria, distress, panic).</w:t>
      </w:r>
    </w:p>
    <w:p>
      <w:pPr>
        <w:pStyle w:val="ListBullet"/>
        <w:spacing w:after="20"/>
      </w:pPr>
      <w:r>
        <w:t>Reinhart &amp; Rogoff: every boom is claimed to be ‘different’; crises recur and cluster; typology of banking, sovereign-debt and external crises.</w:t>
      </w:r>
    </w:p>
    <w:p>
      <w:pPr>
        <w:pStyle w:val="ListBullet"/>
        <w:spacing w:after="20"/>
      </w:pPr>
      <w:r>
        <w:t>Synthesis: the theories disagree on predictability but agree that crises differ in origin and mechanism. That gives a testable expectation: transmission channels should differ by origin (RQ2), and models trained in calm periods should fail in crises (RQ3).</w:t>
      </w:r>
    </w:p>
    <w:p>
      <w:pPr>
        <w:spacing w:after="80"/>
      </w:pPr>
      <w:r>
        <w:rPr>
          <w:b/>
        </w:rPr>
        <w:t>Sources and how to use them:</w:t>
      </w:r>
      <w:r>
        <w:rPr>
          <w:i w:val="0"/>
        </w:rPr>
      </w:r>
    </w:p>
    <w:tbl>
      <w:tblPr>
        <w:tblStyle w:val="TableGrid"/>
        <w:tblW w:type="auto" w:w="0"/>
        <w:jc w:val="center"/>
        <w:tblLook w:firstColumn="1" w:firstRow="1" w:lastColumn="0" w:lastRow="0" w:noHBand="0" w:noVBand="1" w:val="04A0"/>
      </w:tblPr>
      <w:tblGrid>
        <w:gridCol w:w="4986"/>
        <w:gridCol w:w="4986"/>
      </w:tblGrid>
      <w:tr>
        <w:tc>
          <w:tcPr>
            <w:tcW w:type="dxa" w:w="3685"/>
            <w:shd w:val="clear" w:color="auto" w:fill="1F4E79"/>
          </w:tcPr>
          <w:p>
            <w:r>
              <w:rPr>
                <w:b/>
                <w:color w:val="FFFFFF"/>
                <w:sz w:val="17"/>
              </w:rPr>
              <w:t>Source</w:t>
            </w:r>
          </w:p>
        </w:tc>
        <w:tc>
          <w:tcPr>
            <w:tcW w:type="dxa" w:w="5953"/>
            <w:shd w:val="clear" w:color="auto" w:fill="1F4E79"/>
          </w:tcPr>
          <w:p>
            <w:r>
              <w:rPr>
                <w:b/>
                <w:color w:val="FFFFFF"/>
                <w:sz w:val="17"/>
              </w:rPr>
              <w:t>Use it to…</w:t>
            </w:r>
          </w:p>
        </w:tc>
      </w:tr>
      <w:tr>
        <w:tc>
          <w:tcPr>
            <w:tcW w:type="dxa" w:w="3685"/>
          </w:tcPr>
          <w:p>
            <w:r>
              <w:rPr>
                <w:sz w:val="17"/>
              </w:rPr>
              <w:t>Fama (1970) J. Finance 25(2)</w:t>
            </w:r>
          </w:p>
        </w:tc>
        <w:tc>
          <w:tcPr>
            <w:tcW w:type="dxa" w:w="5953"/>
          </w:tcPr>
          <w:p>
            <w:r>
              <w:rPr>
                <w:sz w:val="17"/>
              </w:rPr>
              <w:t>state the efficiency baseline</w:t>
            </w:r>
          </w:p>
        </w:tc>
      </w:tr>
      <w:tr>
        <w:tc>
          <w:tcPr>
            <w:tcW w:type="dxa" w:w="3685"/>
          </w:tcPr>
          <w:p>
            <w:r>
              <w:rPr>
                <w:sz w:val="17"/>
              </w:rPr>
              <w:t>Cont (2001) Quantitative Finance 1(2)</w:t>
            </w:r>
          </w:p>
        </w:tc>
        <w:tc>
          <w:tcPr>
            <w:tcW w:type="dxa" w:w="5953"/>
          </w:tcPr>
          <w:p>
            <w:r>
              <w:rPr>
                <w:sz w:val="17"/>
              </w:rPr>
              <w:t>volatility clustering: why volatility is forecastable</w:t>
            </w:r>
          </w:p>
        </w:tc>
      </w:tr>
      <w:tr>
        <w:tc>
          <w:tcPr>
            <w:tcW w:type="dxa" w:w="3685"/>
          </w:tcPr>
          <w:p>
            <w:r>
              <w:rPr>
                <w:sz w:val="17"/>
              </w:rPr>
              <w:t>Minsky (1986); Minsky (1992) Levy WP 74</w:t>
            </w:r>
          </w:p>
        </w:tc>
        <w:tc>
          <w:tcPr>
            <w:tcW w:type="dxa" w:w="5953"/>
          </w:tcPr>
          <w:p>
            <w:r>
              <w:rPr>
                <w:sz w:val="17"/>
              </w:rPr>
              <w:t>stability breeds instability; the RQ3 logic</w:t>
            </w:r>
          </w:p>
        </w:tc>
      </w:tr>
      <w:tr>
        <w:tc>
          <w:tcPr>
            <w:tcW w:type="dxa" w:w="3685"/>
          </w:tcPr>
          <w:p>
            <w:r>
              <w:rPr>
                <w:sz w:val="17"/>
              </w:rPr>
              <w:t>Kindleberger &amp; Aliber (2015)</w:t>
            </w:r>
          </w:p>
        </w:tc>
        <w:tc>
          <w:tcPr>
            <w:tcW w:type="dxa" w:w="5953"/>
          </w:tcPr>
          <w:p>
            <w:r>
              <w:rPr>
                <w:sz w:val="17"/>
              </w:rPr>
              <w:t>crisis anatomy; recurring pattern</w:t>
            </w:r>
          </w:p>
        </w:tc>
      </w:tr>
      <w:tr>
        <w:tc>
          <w:tcPr>
            <w:tcW w:type="dxa" w:w="3685"/>
          </w:tcPr>
          <w:p>
            <w:r>
              <w:rPr>
                <w:sz w:val="17"/>
              </w:rPr>
              <w:t>Reinhart &amp; Rogoff (2009)</w:t>
            </w:r>
          </w:p>
        </w:tc>
        <w:tc>
          <w:tcPr>
            <w:tcW w:type="dxa" w:w="5953"/>
          </w:tcPr>
          <w:p>
            <w:r>
              <w:rPr>
                <w:sz w:val="17"/>
              </w:rPr>
              <w:t>title, typology, ‘this time is different’ syndrome</w:t>
            </w:r>
          </w:p>
        </w:tc>
      </w:tr>
      <w:tr>
        <w:tc>
          <w:tcPr>
            <w:tcW w:type="dxa" w:w="3685"/>
          </w:tcPr>
          <w:p>
            <w:r>
              <w:rPr>
                <w:sz w:val="17"/>
              </w:rPr>
              <w:t>Kelly (2009) ✔</w:t>
            </w:r>
          </w:p>
        </w:tc>
        <w:tc>
          <w:tcPr>
            <w:tcW w:type="dxa" w:w="5953"/>
          </w:tcPr>
          <w:p>
            <w:r>
              <w:rPr>
                <w:sz w:val="17"/>
              </w:rPr>
              <w:t>bridge to Ireland: Minsky dynamics in the Irish credit boom</w:t>
            </w:r>
          </w:p>
        </w:tc>
      </w:tr>
    </w:tbl>
    <w:p>
      <w:pPr>
        <w:spacing w:after="40"/>
      </w:pPr>
    </w:p>
    <w:p>
      <w:pPr>
        <w:spacing w:after="80"/>
      </w:pPr>
      <w:r>
        <w:rPr>
          <w:b/>
        </w:rPr>
        <w:t xml:space="preserve">Critical angle: </w:t>
      </w:r>
      <w:r>
        <w:rPr>
          <w:i w:val="0"/>
        </w:rPr>
        <w:t>These theories are mostly historical and qualitative. Few studies test them with forecasting models. Say that this is the opening your study uses.</w:t>
      </w:r>
    </w:p>
    <w:p>
      <w:pPr>
        <w:spacing w:after="80"/>
      </w:pPr>
      <w:r>
        <w:rPr>
          <w:b/>
        </w:rPr>
        <w:t xml:space="preserve">Feeds into: </w:t>
      </w:r>
      <w:r>
        <w:rPr>
          <w:i w:val="0"/>
        </w:rPr>
        <w:t>RQ2 (origins differ), RQ3 (Minsky test).</w:t>
      </w:r>
    </w:p>
    <w:p>
      <w:pPr>
        <w:spacing w:after="80"/>
      </w:pPr>
      <w:r>
        <w:rPr>
          <w:b/>
        </w:rPr>
        <w:t xml:space="preserve">Avoid: </w:t>
      </w:r>
      <w:r>
        <w:rPr>
          <w:i/>
        </w:rPr>
        <w:t>Writing a history essay. Every theory paragraph must end with what it implies for your study.</w:t>
      </w:r>
    </w:p>
    <w:p>
      <w:pPr>
        <w:pStyle w:val="Heading2"/>
      </w:pPr>
      <w:r>
        <w:rPr>
          <w:color w:val="1F4E79"/>
        </w:rPr>
        <w:t>2.3 Three crises and the Irish market  (~1000 words)</w:t>
      </w:r>
    </w:p>
    <w:p>
      <w:pPr>
        <w:spacing w:after="80"/>
      </w:pPr>
      <w:r>
        <w:rPr>
          <w:b/>
        </w:rPr>
        <w:t xml:space="preserve">Purpose: </w:t>
      </w:r>
      <w:r>
        <w:rPr>
          <w:i w:val="0"/>
        </w:rPr>
        <w:t>Establish each crisis’s origin and mechanism, and what it meant for Ireland. This is where your history reading shows, and where each crisis-specific hypothesis gets its basis.</w:t>
      </w:r>
    </w:p>
    <w:p>
      <w:pPr>
        <w:spacing w:after="80"/>
      </w:pPr>
      <w:r>
        <w:rPr>
          <w:b/>
        </w:rPr>
        <w:t>Points to cover (ideas to argue in your own words):</w:t>
      </w:r>
      <w:r>
        <w:rPr>
          <w:i w:val="0"/>
        </w:rPr>
      </w:r>
    </w:p>
    <w:p>
      <w:pPr>
        <w:pStyle w:val="ListBullet"/>
        <w:spacing w:after="20"/>
      </w:pPr>
      <w:r>
        <w:t>2.3.1 Ireland as a small open economy with an internationally integrated stock market, historically sensitive to UK and US shocks.</w:t>
      </w:r>
    </w:p>
    <w:p>
      <w:pPr>
        <w:pStyle w:val="ListBullet"/>
        <w:spacing w:after="20"/>
      </w:pPr>
      <w:r>
        <w:t>2.3.2 GFC (2007–09): US credit origin and global spread. In Ireland it met a home-grown property and credit bubble, the September 2008 bank guarantee, and a banking collapse. Key point from Bekaert et al.: contagion from the US was small, but contagion from domestic markets was large where fundamentals were weak. So expect both the US and the domestic channel to matter.</w:t>
      </w:r>
    </w:p>
    <w:p>
      <w:pPr>
        <w:pStyle w:val="ListBullet"/>
        <w:spacing w:after="20"/>
      </w:pPr>
      <w:r>
        <w:t>2.3.3 Irish sovereign debt crisis (2010–12): the bank–sovereign loop (bailouts raised sovereign risk, which weakened banks); euro-area dimension; troika programme (November 2010); strong Irish–European equity contagion that eased after intervention (Corbet &amp; Twomey). So expect euro and domestic channels.</w:t>
      </w:r>
    </w:p>
    <w:p>
      <w:pPr>
        <w:pStyle w:val="ListBullet"/>
        <w:spacing w:after="20"/>
      </w:pPr>
      <w:r>
        <w:t>2.3.4 COVID-19 (2020): an exogenous shock hitting all markets at once; contagion concentrated in financial firms. So expect all three channels (domestic, US, euro) to rise together.</w:t>
      </w:r>
    </w:p>
    <w:p>
      <w:pPr>
        <w:pStyle w:val="ListBullet"/>
        <w:spacing w:after="20"/>
      </w:pPr>
      <w:r>
        <w:t>2.3.5 Validation events, briefly: the 2022 war and energy shock (euro channel) in the main model, and Brexit 2016 (UK origin) in the FTSE-for-DAX robustness run. Report the competing Brexit evidence honestly.</w:t>
      </w:r>
    </w:p>
    <w:p>
      <w:pPr>
        <w:pStyle w:val="ListBullet"/>
        <w:spacing w:after="20"/>
      </w:pPr>
      <w:r>
        <w:t>Close with a comparison table: crisis × origin × mechanism × expected channel. It becomes the basis of H2 in section 2.7.</w:t>
      </w:r>
    </w:p>
    <w:p>
      <w:pPr>
        <w:spacing w:after="80"/>
      </w:pPr>
      <w:r>
        <w:rPr>
          <w:b/>
        </w:rPr>
        <w:t>Sources and how to use them:</w:t>
      </w:r>
      <w:r>
        <w:rPr>
          <w:i w:val="0"/>
        </w:rPr>
      </w:r>
    </w:p>
    <w:tbl>
      <w:tblPr>
        <w:tblStyle w:val="TableGrid"/>
        <w:tblW w:type="auto" w:w="0"/>
        <w:jc w:val="center"/>
        <w:tblLook w:firstColumn="1" w:firstRow="1" w:lastColumn="0" w:lastRow="0" w:noHBand="0" w:noVBand="1" w:val="04A0"/>
      </w:tblPr>
      <w:tblGrid>
        <w:gridCol w:w="4986"/>
        <w:gridCol w:w="4986"/>
      </w:tblGrid>
      <w:tr>
        <w:tc>
          <w:tcPr>
            <w:tcW w:type="dxa" w:w="3685"/>
            <w:shd w:val="clear" w:color="auto" w:fill="1F4E79"/>
          </w:tcPr>
          <w:p>
            <w:r>
              <w:rPr>
                <w:b/>
                <w:color w:val="FFFFFF"/>
                <w:sz w:val="17"/>
              </w:rPr>
              <w:t>Source</w:t>
            </w:r>
          </w:p>
        </w:tc>
        <w:tc>
          <w:tcPr>
            <w:tcW w:type="dxa" w:w="5953"/>
            <w:shd w:val="clear" w:color="auto" w:fill="1F4E79"/>
          </w:tcPr>
          <w:p>
            <w:r>
              <w:rPr>
                <w:b/>
                <w:color w:val="FFFFFF"/>
                <w:sz w:val="17"/>
              </w:rPr>
              <w:t>Use it to…</w:t>
            </w:r>
          </w:p>
        </w:tc>
      </w:tr>
      <w:tr>
        <w:tc>
          <w:tcPr>
            <w:tcW w:type="dxa" w:w="3685"/>
          </w:tcPr>
          <w:p>
            <w:r>
              <w:rPr>
                <w:sz w:val="17"/>
              </w:rPr>
              <w:t>Kearney (1998) J. Financial Research 21(1) ✔ partial</w:t>
            </w:r>
          </w:p>
        </w:tc>
        <w:tc>
          <w:tcPr>
            <w:tcW w:type="dxa" w:w="5953"/>
          </w:tcPr>
          <w:p>
            <w:r>
              <w:rPr>
                <w:sz w:val="17"/>
              </w:rPr>
              <w:t>Irish market as a small integrated market; causes of Irish volatility</w:t>
            </w:r>
          </w:p>
        </w:tc>
      </w:tr>
      <w:tr>
        <w:tc>
          <w:tcPr>
            <w:tcW w:type="dxa" w:w="3685"/>
          </w:tcPr>
          <w:p>
            <w:r>
              <w:rPr>
                <w:sz w:val="17"/>
              </w:rPr>
              <w:t>Twomey (1998) Economic and Social Review ✔ partial</w:t>
            </w:r>
          </w:p>
        </w:tc>
        <w:tc>
          <w:tcPr>
            <w:tcW w:type="dxa" w:w="5953"/>
          </w:tcPr>
          <w:p>
            <w:r>
              <w:rPr>
                <w:sz w:val="17"/>
              </w:rPr>
              <w:t>UK → Irish spillovers</w:t>
            </w:r>
          </w:p>
        </w:tc>
      </w:tr>
      <w:tr>
        <w:tc>
          <w:tcPr>
            <w:tcW w:type="dxa" w:w="3685"/>
          </w:tcPr>
          <w:p>
            <w:r>
              <w:rPr>
                <w:sz w:val="17"/>
              </w:rPr>
              <w:t>Brunnermeier (2009) JEP 23(1)</w:t>
            </w:r>
          </w:p>
        </w:tc>
        <w:tc>
          <w:tcPr>
            <w:tcW w:type="dxa" w:w="5953"/>
          </w:tcPr>
          <w:p>
            <w:r>
              <w:rPr>
                <w:sz w:val="17"/>
              </w:rPr>
              <w:t>GFC mechanism</w:t>
            </w:r>
          </w:p>
        </w:tc>
      </w:tr>
      <w:tr>
        <w:tc>
          <w:tcPr>
            <w:tcW w:type="dxa" w:w="3685"/>
          </w:tcPr>
          <w:p>
            <w:r>
              <w:rPr>
                <w:sz w:val="17"/>
              </w:rPr>
              <w:t>Bekaert, Ehrmann, Fratzscher &amp; Mehl (2014) JF 69(6) ✔</w:t>
            </w:r>
          </w:p>
        </w:tc>
        <w:tc>
          <w:tcPr>
            <w:tcW w:type="dxa" w:w="5953"/>
          </w:tcPr>
          <w:p>
            <w:r>
              <w:rPr>
                <w:sz w:val="17"/>
              </w:rPr>
              <w:t>US vs domestic contagion in the GFC</w:t>
            </w:r>
          </w:p>
        </w:tc>
      </w:tr>
      <w:tr>
        <w:tc>
          <w:tcPr>
            <w:tcW w:type="dxa" w:w="3685"/>
          </w:tcPr>
          <w:p>
            <w:r>
              <w:rPr>
                <w:sz w:val="17"/>
              </w:rPr>
              <w:t>Kelly (2009) ✔; Honohan (2010); Regling &amp; Watson (2010); Nyberg (2011)</w:t>
            </w:r>
          </w:p>
        </w:tc>
        <w:tc>
          <w:tcPr>
            <w:tcW w:type="dxa" w:w="5953"/>
          </w:tcPr>
          <w:p>
            <w:r>
              <w:rPr>
                <w:sz w:val="17"/>
              </w:rPr>
              <w:t>Irish crisis was substantially home-grown</w:t>
            </w:r>
          </w:p>
        </w:tc>
      </w:tr>
      <w:tr>
        <w:tc>
          <w:tcPr>
            <w:tcW w:type="dxa" w:w="3685"/>
          </w:tcPr>
          <w:p>
            <w:r>
              <w:rPr>
                <w:sz w:val="17"/>
              </w:rPr>
              <w:t>Acharya, Drechsler &amp; Schnabl (2014) JF 69(6) ✔</w:t>
            </w:r>
          </w:p>
        </w:tc>
        <w:tc>
          <w:tcPr>
            <w:tcW w:type="dxa" w:w="5953"/>
          </w:tcPr>
          <w:p>
            <w:r>
              <w:rPr>
                <w:sz w:val="17"/>
              </w:rPr>
              <w:t>bank–sovereign loop; Ireland’s guarantee</w:t>
            </w:r>
          </w:p>
        </w:tc>
      </w:tr>
      <w:tr>
        <w:tc>
          <w:tcPr>
            <w:tcW w:type="dxa" w:w="3685"/>
          </w:tcPr>
          <w:p>
            <w:r>
              <w:rPr>
                <w:sz w:val="17"/>
              </w:rPr>
              <w:t>Lane (2012) JEP 26(3); Whelan (2014) J. Macroeconomics 39(B) ✔</w:t>
            </w:r>
          </w:p>
        </w:tc>
        <w:tc>
          <w:tcPr>
            <w:tcW w:type="dxa" w:w="5953"/>
          </w:tcPr>
          <w:p>
            <w:r>
              <w:rPr>
                <w:sz w:val="17"/>
              </w:rPr>
              <w:t>euro crisis; Irish crisis and recovery</w:t>
            </w:r>
          </w:p>
        </w:tc>
      </w:tr>
      <w:tr>
        <w:tc>
          <w:tcPr>
            <w:tcW w:type="dxa" w:w="3685"/>
          </w:tcPr>
          <w:p>
            <w:r>
              <w:rPr>
                <w:sz w:val="17"/>
              </w:rPr>
              <w:t>Corbet &amp; Twomey (2015) EFAJ 2015(3) ✔</w:t>
            </w:r>
          </w:p>
        </w:tc>
        <w:tc>
          <w:tcPr>
            <w:tcW w:type="dxa" w:w="5953"/>
          </w:tcPr>
          <w:p>
            <w:r>
              <w:rPr>
                <w:sz w:val="17"/>
              </w:rPr>
              <w:t>Irish–European equity contagion, DCC-GARCH</w:t>
            </w:r>
          </w:p>
        </w:tc>
      </w:tr>
      <w:tr>
        <w:tc>
          <w:tcPr>
            <w:tcW w:type="dxa" w:w="3685"/>
          </w:tcPr>
          <w:p>
            <w:r>
              <w:rPr>
                <w:sz w:val="17"/>
              </w:rPr>
              <w:t>Baker et al. (2020) RAPS 10(4); Akhtaruzzaman, Boubaker &amp; Sensoy (2021) FRL 38 ✔</w:t>
            </w:r>
          </w:p>
        </w:tc>
        <w:tc>
          <w:tcPr>
            <w:tcW w:type="dxa" w:w="5953"/>
          </w:tcPr>
          <w:p>
            <w:r>
              <w:rPr>
                <w:sz w:val="17"/>
              </w:rPr>
              <w:t>COVID shock and contagion</w:t>
            </w:r>
          </w:p>
        </w:tc>
      </w:tr>
      <w:tr>
        <w:tc>
          <w:tcPr>
            <w:tcW w:type="dxa" w:w="3685"/>
          </w:tcPr>
          <w:p>
            <w:r>
              <w:rPr>
                <w:sz w:val="17"/>
              </w:rPr>
              <w:t>Li (2020) Economic Modelling 84 ✔</w:t>
            </w:r>
          </w:p>
        </w:tc>
        <w:tc>
          <w:tcPr>
            <w:tcW w:type="dxa" w:w="5953"/>
          </w:tcPr>
          <w:p>
            <w:r>
              <w:rPr>
                <w:sz w:val="17"/>
              </w:rPr>
              <w:t>Brexit: UK influence on European markets fell during the campaign; co-volatility persisted after the vote</w:t>
            </w:r>
          </w:p>
        </w:tc>
      </w:tr>
      <w:tr>
        <w:tc>
          <w:tcPr>
            <w:tcW w:type="dxa" w:w="3685"/>
          </w:tcPr>
          <w:p>
            <w:r>
              <w:rPr>
                <w:sz w:val="17"/>
              </w:rPr>
              <w:t>Boungou &amp; Yatié (2022) Economics Letters 215 ✔</w:t>
            </w:r>
          </w:p>
        </w:tc>
        <w:tc>
          <w:tcPr>
            <w:tcW w:type="dxa" w:w="5953"/>
          </w:tcPr>
          <w:p>
            <w:r>
              <w:rPr>
                <w:sz w:val="17"/>
              </w:rPr>
              <w:t>war shock hit world markets, strongest in the first two weeks</w:t>
            </w:r>
          </w:p>
        </w:tc>
      </w:tr>
      <w:tr>
        <w:tc>
          <w:tcPr>
            <w:tcW w:type="dxa" w:w="3685"/>
          </w:tcPr>
          <w:p>
            <w:r>
              <w:rPr>
                <w:sz w:val="17"/>
              </w:rPr>
              <w:t>Tooze (2018)</w:t>
            </w:r>
          </w:p>
        </w:tc>
        <w:tc>
          <w:tcPr>
            <w:tcW w:type="dxa" w:w="5953"/>
          </w:tcPr>
          <w:p>
            <w:r>
              <w:rPr>
                <w:sz w:val="17"/>
              </w:rPr>
              <w:t>narrative that links the GFC and the euro crisis</w:t>
            </w:r>
          </w:p>
        </w:tc>
      </w:tr>
    </w:tbl>
    <w:p>
      <w:pPr>
        <w:spacing w:after="40"/>
      </w:pPr>
    </w:p>
    <w:p>
      <w:pPr>
        <w:spacing w:after="80"/>
      </w:pPr>
      <w:r>
        <w:rPr>
          <w:b/>
        </w:rPr>
        <w:t xml:space="preserve">Critical angle: </w:t>
      </w:r>
      <w:r>
        <w:rPr>
          <w:i w:val="0"/>
        </w:rPr>
        <w:t>Most studies analyse one crisis at a time, with different methods and markets, so their findings cannot be compared directly. A single framework applied to several crises is missing (part of the gap). Note also that Li (2020) suggests the UK was not always the dominant transmitter around Brexit: your UK hypothesis could fail, and saying so in advance is a strength.</w:t>
      </w:r>
    </w:p>
    <w:p>
      <w:pPr>
        <w:spacing w:after="80"/>
      </w:pPr>
      <w:r>
        <w:rPr>
          <w:b/>
        </w:rPr>
        <w:t xml:space="preserve">Feeds into: </w:t>
      </w:r>
      <w:r>
        <w:rPr>
          <w:i w:val="0"/>
        </w:rPr>
        <w:t>H2a–H2e (fingerprints), and why Ireland is a good laboratory.</w:t>
      </w:r>
    </w:p>
    <w:p>
      <w:pPr>
        <w:spacing w:after="80"/>
      </w:pPr>
      <w:r>
        <w:rPr>
          <w:b/>
        </w:rPr>
        <w:t xml:space="preserve">Avoid: </w:t>
      </w:r>
      <w:r>
        <w:rPr>
          <w:i/>
        </w:rPr>
        <w:t>Retelling events without analysis, and making claims about Ireland without an Irish source.</w:t>
      </w:r>
    </w:p>
    <w:p>
      <w:pPr>
        <w:pStyle w:val="Heading2"/>
      </w:pPr>
      <w:r>
        <w:rPr>
          <w:color w:val="1F4E79"/>
        </w:rPr>
        <w:t>2.4 How shocks travel: contagion, interdependence and volatility transmission  (~700 words)</w:t>
      </w:r>
    </w:p>
    <w:p>
      <w:pPr>
        <w:spacing w:after="80"/>
      </w:pPr>
      <w:r>
        <w:rPr>
          <w:b/>
        </w:rPr>
        <w:t xml:space="preserve">Purpose: </w:t>
      </w:r>
      <w:r>
        <w:rPr>
          <w:i w:val="0"/>
        </w:rPr>
        <w:t>Define the concepts precisely and review how transmission has been measured, ending with the limits of existing methods.</w:t>
      </w:r>
    </w:p>
    <w:p>
      <w:pPr>
        <w:spacing w:after="80"/>
      </w:pPr>
      <w:r>
        <w:rPr>
          <w:b/>
        </w:rPr>
        <w:t>Points to cover (ideas to argue in your own words):</w:t>
      </w:r>
      <w:r>
        <w:rPr>
          <w:i w:val="0"/>
        </w:rPr>
      </w:r>
    </w:p>
    <w:p>
      <w:pPr>
        <w:pStyle w:val="ListBullet"/>
        <w:spacing w:after="20"/>
      </w:pPr>
      <w:r>
        <w:t>Definitions: interdependence (normal linkages) vs contagion (a crisis-period increase beyond normal linkages). Correlations rise mechanically when volatility is high, which biases naive contagion tests.</w:t>
      </w:r>
    </w:p>
    <w:p>
      <w:pPr>
        <w:pStyle w:val="ListBullet"/>
        <w:spacing w:after="20"/>
      </w:pPr>
      <w:r>
        <w:t>Classic evidence on volatility transmission between markets, including the role of trading hours (which also justifies your time-zone design).</w:t>
      </w:r>
    </w:p>
    <w:p>
      <w:pPr>
        <w:pStyle w:val="ListBullet"/>
        <w:spacing w:after="20"/>
      </w:pPr>
      <w:r>
        <w:t>‘Heat waves vs meteor showers’: is volatility driven by domestic news or by news travelling across markets? This maps directly onto your domestic vs foreign channels.</w:t>
      </w:r>
    </w:p>
    <w:p>
      <w:pPr>
        <w:pStyle w:val="ListBullet"/>
        <w:spacing w:after="20"/>
      </w:pPr>
      <w:r>
        <w:t>Measurement toolkit: correlation and DCC-GARCH, BEKK, factor models, spillover indices (Diebold–Yilmaz), and recent deep-learning early-warning approaches.</w:t>
      </w:r>
    </w:p>
    <w:p>
      <w:pPr>
        <w:pStyle w:val="ListBullet"/>
        <w:spacing w:after="20"/>
      </w:pPr>
      <w:r>
        <w:t>Synthesis: the methods measure co-movement, are mostly linear or pre-specified, and are not built to forecast. Results depend on the method chosen.</w:t>
      </w:r>
    </w:p>
    <w:p>
      <w:pPr>
        <w:spacing w:after="80"/>
      </w:pPr>
      <w:r>
        <w:rPr>
          <w:b/>
        </w:rPr>
        <w:t>Sources and how to use them:</w:t>
      </w:r>
      <w:r>
        <w:rPr>
          <w:i w:val="0"/>
        </w:rPr>
      </w:r>
    </w:p>
    <w:tbl>
      <w:tblPr>
        <w:tblStyle w:val="TableGrid"/>
        <w:tblW w:type="auto" w:w="0"/>
        <w:jc w:val="center"/>
        <w:tblLook w:firstColumn="1" w:firstRow="1" w:lastColumn="0" w:lastRow="0" w:noHBand="0" w:noVBand="1" w:val="04A0"/>
      </w:tblPr>
      <w:tblGrid>
        <w:gridCol w:w="4986"/>
        <w:gridCol w:w="4986"/>
      </w:tblGrid>
      <w:tr>
        <w:tc>
          <w:tcPr>
            <w:tcW w:type="dxa" w:w="3685"/>
            <w:shd w:val="clear" w:color="auto" w:fill="1F4E79"/>
          </w:tcPr>
          <w:p>
            <w:r>
              <w:rPr>
                <w:b/>
                <w:color w:val="FFFFFF"/>
                <w:sz w:val="17"/>
              </w:rPr>
              <w:t>Source</w:t>
            </w:r>
          </w:p>
        </w:tc>
        <w:tc>
          <w:tcPr>
            <w:tcW w:type="dxa" w:w="5953"/>
            <w:shd w:val="clear" w:color="auto" w:fill="1F4E79"/>
          </w:tcPr>
          <w:p>
            <w:r>
              <w:rPr>
                <w:b/>
                <w:color w:val="FFFFFF"/>
                <w:sz w:val="17"/>
              </w:rPr>
              <w:t>Use it to…</w:t>
            </w:r>
          </w:p>
        </w:tc>
      </w:tr>
      <w:tr>
        <w:tc>
          <w:tcPr>
            <w:tcW w:type="dxa" w:w="3685"/>
          </w:tcPr>
          <w:p>
            <w:r>
              <w:rPr>
                <w:sz w:val="17"/>
              </w:rPr>
              <w:t>Forbes &amp; Rigobon (2002) JF 57(5)</w:t>
            </w:r>
          </w:p>
        </w:tc>
        <w:tc>
          <w:tcPr>
            <w:tcW w:type="dxa" w:w="5953"/>
          </w:tcPr>
          <w:p>
            <w:r>
              <w:rPr>
                <w:sz w:val="17"/>
              </w:rPr>
              <w:t>the correlation bias; contagion vs interdependence</w:t>
            </w:r>
          </w:p>
        </w:tc>
      </w:tr>
      <w:tr>
        <w:tc>
          <w:tcPr>
            <w:tcW w:type="dxa" w:w="3685"/>
          </w:tcPr>
          <w:p>
            <w:r>
              <w:rPr>
                <w:sz w:val="17"/>
              </w:rPr>
              <w:t>Pericoli &amp; Sbracia (2003) J. Econ. Surveys 17(4)</w:t>
            </w:r>
          </w:p>
        </w:tc>
        <w:tc>
          <w:tcPr>
            <w:tcW w:type="dxa" w:w="5953"/>
          </w:tcPr>
          <w:p>
            <w:r>
              <w:rPr>
                <w:sz w:val="17"/>
              </w:rPr>
              <w:t>definitions of contagion</w:t>
            </w:r>
          </w:p>
        </w:tc>
      </w:tr>
      <w:tr>
        <w:tc>
          <w:tcPr>
            <w:tcW w:type="dxa" w:w="3685"/>
          </w:tcPr>
          <w:p>
            <w:r>
              <w:rPr>
                <w:sz w:val="17"/>
              </w:rPr>
              <w:t>King &amp; Wadhwani (1990) RFS 3(1)</w:t>
            </w:r>
          </w:p>
        </w:tc>
        <w:tc>
          <w:tcPr>
            <w:tcW w:type="dxa" w:w="5953"/>
          </w:tcPr>
          <w:p>
            <w:r>
              <w:rPr>
                <w:sz w:val="17"/>
              </w:rPr>
              <w:t>transmission of volatility between markets</w:t>
            </w:r>
          </w:p>
        </w:tc>
      </w:tr>
      <w:tr>
        <w:tc>
          <w:tcPr>
            <w:tcW w:type="dxa" w:w="3685"/>
          </w:tcPr>
          <w:p>
            <w:r>
              <w:rPr>
                <w:sz w:val="17"/>
              </w:rPr>
              <w:t>Hamao, Masulis &amp; Ng (1990) RFS 3(2) ✔</w:t>
            </w:r>
          </w:p>
        </w:tc>
        <w:tc>
          <w:tcPr>
            <w:tcW w:type="dxa" w:w="5953"/>
          </w:tcPr>
          <w:p>
            <w:r>
              <w:rPr>
                <w:sz w:val="17"/>
              </w:rPr>
              <w:t>volatility spillovers across time zones</w:t>
            </w:r>
          </w:p>
        </w:tc>
      </w:tr>
      <w:tr>
        <w:tc>
          <w:tcPr>
            <w:tcW w:type="dxa" w:w="3685"/>
          </w:tcPr>
          <w:p>
            <w:r>
              <w:rPr>
                <w:sz w:val="17"/>
              </w:rPr>
              <w:t>Engle, Ito &amp; Lin (1990) Econometrica 58(3)</w:t>
            </w:r>
          </w:p>
        </w:tc>
        <w:tc>
          <w:tcPr>
            <w:tcW w:type="dxa" w:w="5953"/>
          </w:tcPr>
          <w:p>
            <w:r>
              <w:rPr>
                <w:sz w:val="17"/>
              </w:rPr>
              <w:t>domestic (heat wave) vs foreign (meteor shower) volatility</w:t>
            </w:r>
          </w:p>
        </w:tc>
      </w:tr>
      <w:tr>
        <w:tc>
          <w:tcPr>
            <w:tcW w:type="dxa" w:w="3685"/>
          </w:tcPr>
          <w:p>
            <w:r>
              <w:rPr>
                <w:sz w:val="17"/>
              </w:rPr>
              <w:t>Kearney (2000) Global Finance Journal 11 ✔</w:t>
            </w:r>
          </w:p>
        </w:tc>
        <w:tc>
          <w:tcPr>
            <w:tcW w:type="dxa" w:w="5953"/>
          </w:tcPr>
          <w:p>
            <w:r>
              <w:rPr>
                <w:sz w:val="17"/>
              </w:rPr>
              <w:t>international volatility transmission</w:t>
            </w:r>
          </w:p>
        </w:tc>
      </w:tr>
      <w:tr>
        <w:tc>
          <w:tcPr>
            <w:tcW w:type="dxa" w:w="3685"/>
          </w:tcPr>
          <w:p>
            <w:r>
              <w:rPr>
                <w:sz w:val="17"/>
              </w:rPr>
              <w:t>Bekaert, Harvey &amp; Ng (2005) J. Business 78(1)</w:t>
            </w:r>
          </w:p>
        </w:tc>
        <w:tc>
          <w:tcPr>
            <w:tcW w:type="dxa" w:w="5953"/>
          </w:tcPr>
          <w:p>
            <w:r>
              <w:rPr>
                <w:sz w:val="17"/>
              </w:rPr>
              <w:t>integration vs contagion (factor approach)</w:t>
            </w:r>
          </w:p>
        </w:tc>
      </w:tr>
      <w:tr>
        <w:tc>
          <w:tcPr>
            <w:tcW w:type="dxa" w:w="3685"/>
          </w:tcPr>
          <w:p>
            <w:r>
              <w:rPr>
                <w:sz w:val="17"/>
              </w:rPr>
              <w:t>Dungey et al. (2005) Quantitative Finance 5(1)</w:t>
            </w:r>
          </w:p>
        </w:tc>
        <w:tc>
          <w:tcPr>
            <w:tcW w:type="dxa" w:w="5953"/>
          </w:tcPr>
          <w:p>
            <w:r>
              <w:rPr>
                <w:sz w:val="17"/>
              </w:rPr>
              <w:t>review of contagion methods</w:t>
            </w:r>
          </w:p>
        </w:tc>
      </w:tr>
      <w:tr>
        <w:tc>
          <w:tcPr>
            <w:tcW w:type="dxa" w:w="3685"/>
          </w:tcPr>
          <w:p>
            <w:r>
              <w:rPr>
                <w:sz w:val="17"/>
              </w:rPr>
              <w:t>Diebold &amp; Yilmaz (2009; 2012)</w:t>
            </w:r>
          </w:p>
        </w:tc>
        <w:tc>
          <w:tcPr>
            <w:tcW w:type="dxa" w:w="5953"/>
          </w:tcPr>
          <w:p>
            <w:r>
              <w:rPr>
                <w:sz w:val="17"/>
              </w:rPr>
              <w:t>spillover index (name it as the PhD validation step)</w:t>
            </w:r>
          </w:p>
        </w:tc>
      </w:tr>
      <w:tr>
        <w:tc>
          <w:tcPr>
            <w:tcW w:type="dxa" w:w="3685"/>
          </w:tcPr>
          <w:p>
            <w:r>
              <w:rPr>
                <w:sz w:val="17"/>
              </w:rPr>
              <w:t>Sahiner (2023) Computational Economics ✔</w:t>
            </w:r>
          </w:p>
        </w:tc>
        <w:tc>
          <w:tcPr>
            <w:tcW w:type="dxa" w:w="5953"/>
          </w:tcPr>
          <w:p>
            <w:r>
              <w:rPr>
                <w:sz w:val="17"/>
              </w:rPr>
              <w:t>closest prior work: spillovers across major crashes with econometrics plus deep learning</w:t>
            </w:r>
          </w:p>
        </w:tc>
      </w:tr>
    </w:tbl>
    <w:p>
      <w:pPr>
        <w:spacing w:after="40"/>
      </w:pPr>
    </w:p>
    <w:p>
      <w:pPr>
        <w:spacing w:after="80"/>
      </w:pPr>
      <w:r>
        <w:rPr>
          <w:b/>
        </w:rPr>
        <w:t xml:space="preserve">Critical angle: </w:t>
      </w:r>
      <w:r>
        <w:rPr>
          <w:i w:val="0"/>
        </w:rPr>
        <w:t>No single method is agreed; each captures a different notion of transmission. None uses the explanations of a forecasting model as evidence about channels. That is your methodological contribution.</w:t>
      </w:r>
    </w:p>
    <w:p>
      <w:pPr>
        <w:spacing w:after="80"/>
      </w:pPr>
      <w:r>
        <w:rPr>
          <w:b/>
        </w:rPr>
        <w:t xml:space="preserve">Feeds into: </w:t>
      </w:r>
      <w:r>
        <w:rPr>
          <w:i w:val="0"/>
        </w:rPr>
        <w:t>RQ2; the time-zone alignment in Chapter 3.</w:t>
      </w:r>
    </w:p>
    <w:p>
      <w:pPr>
        <w:spacing w:after="80"/>
      </w:pPr>
      <w:r>
        <w:rPr>
          <w:b/>
        </w:rPr>
        <w:t xml:space="preserve">Avoid: </w:t>
      </w:r>
      <w:r>
        <w:rPr>
          <w:i/>
        </w:rPr>
        <w:t>Using ‘contagion’ loosely. Define it once and use it consistently; call your SHAP result ‘transmission fingerprints’, not proof of contagion.</w:t>
      </w:r>
    </w:p>
    <w:p>
      <w:pPr>
        <w:pStyle w:val="Heading2"/>
      </w:pPr>
      <w:r>
        <w:rPr>
          <w:color w:val="1F4E79"/>
        </w:rPr>
        <w:t>2.5 Forecasting volatility: from GARCH to deep learning  (~900 words)</w:t>
      </w:r>
    </w:p>
    <w:p>
      <w:pPr>
        <w:spacing w:after="80"/>
      </w:pPr>
      <w:r>
        <w:rPr>
          <w:b/>
        </w:rPr>
        <w:t xml:space="preserve">Purpose: </w:t>
      </w:r>
      <w:r>
        <w:rPr>
          <w:i w:val="0"/>
        </w:rPr>
        <w:t>Review the forecasting models and evaluation methods, and establish why the LSTM is worth testing against strong benchmarks.</w:t>
      </w:r>
    </w:p>
    <w:p>
      <w:pPr>
        <w:spacing w:after="80"/>
      </w:pPr>
      <w:r>
        <w:rPr>
          <w:b/>
        </w:rPr>
        <w:t>Points to cover (ideas to argue in your own words):</w:t>
      </w:r>
      <w:r>
        <w:rPr>
          <w:i w:val="0"/>
        </w:rPr>
      </w:r>
    </w:p>
    <w:p>
      <w:pPr>
        <w:pStyle w:val="ListBullet"/>
        <w:spacing w:after="20"/>
      </w:pPr>
      <w:r>
        <w:t>Stylised facts that make volatility forecastable (clustering, persistence, fat tails).</w:t>
      </w:r>
    </w:p>
    <w:p>
      <w:pPr>
        <w:pStyle w:val="ListBullet"/>
        <w:spacing w:after="20"/>
      </w:pPr>
      <w:r>
        <w:t>ARCH and GARCH; why GARCH(1,1) is famously hard to beat.</w:t>
      </w:r>
    </w:p>
    <w:p>
      <w:pPr>
        <w:pStyle w:val="ListBullet"/>
        <w:spacing w:after="20"/>
      </w:pPr>
      <w:r>
        <w:t>Realised variance and why the choice of proxy matters; range-based estimators (mention here, and explain your data-driven choice in Chapter 3).</w:t>
      </w:r>
    </w:p>
    <w:p>
      <w:pPr>
        <w:pStyle w:val="ListBullet"/>
        <w:spacing w:after="20"/>
      </w:pPr>
      <w:r>
        <w:t>HAR: a simple long-memory model that is the standard realised-volatility benchmark.</w:t>
      </w:r>
    </w:p>
    <w:p>
      <w:pPr>
        <w:pStyle w:val="ListBullet"/>
        <w:spacing w:after="20"/>
      </w:pPr>
      <w:r>
        <w:t>Evaluating forecasts when volatility is only measured with noise: QLIKE, Diebold–Mariano and the HLN correction.</w:t>
      </w:r>
    </w:p>
    <w:p>
      <w:pPr>
        <w:pStyle w:val="ListBullet"/>
        <w:spacing w:after="20"/>
      </w:pPr>
      <w:r>
        <w:t>LSTM: why gated memory suits volatility; evidence in finance; hybrids with GARCH; evidence that LSTMs beat other networks and do well in high-volatility periods; evidence that ML is competitive with and can beat HAR.</w:t>
      </w:r>
    </w:p>
    <w:p>
      <w:pPr>
        <w:pStyle w:val="ListBullet"/>
        <w:spacing w:after="20"/>
      </w:pPr>
      <w:r>
        <w:t>Correct validation for time series (no random shuffling).</w:t>
      </w:r>
    </w:p>
    <w:p>
      <w:pPr>
        <w:pStyle w:val="ListBullet"/>
        <w:spacing w:after="20"/>
      </w:pPr>
      <w:r>
        <w:t>Synthesis: ML gains are real but modest and period-dependent; most evidence is on US indices; crisis-by-crisis evaluation in a small market is rare; the models are black boxes.</w:t>
      </w:r>
    </w:p>
    <w:p>
      <w:pPr>
        <w:spacing w:after="80"/>
      </w:pPr>
      <w:r>
        <w:rPr>
          <w:b/>
        </w:rPr>
        <w:t>Sources and how to use them:</w:t>
      </w:r>
      <w:r>
        <w:rPr>
          <w:i w:val="0"/>
        </w:rPr>
      </w:r>
    </w:p>
    <w:tbl>
      <w:tblPr>
        <w:tblStyle w:val="TableGrid"/>
        <w:tblW w:type="auto" w:w="0"/>
        <w:jc w:val="center"/>
        <w:tblLook w:firstColumn="1" w:firstRow="1" w:lastColumn="0" w:lastRow="0" w:noHBand="0" w:noVBand="1" w:val="04A0"/>
      </w:tblPr>
      <w:tblGrid>
        <w:gridCol w:w="4986"/>
        <w:gridCol w:w="4986"/>
      </w:tblGrid>
      <w:tr>
        <w:tc>
          <w:tcPr>
            <w:tcW w:type="dxa" w:w="3685"/>
            <w:shd w:val="clear" w:color="auto" w:fill="1F4E79"/>
          </w:tcPr>
          <w:p>
            <w:r>
              <w:rPr>
                <w:b/>
                <w:color w:val="FFFFFF"/>
                <w:sz w:val="17"/>
              </w:rPr>
              <w:t>Source</w:t>
            </w:r>
          </w:p>
        </w:tc>
        <w:tc>
          <w:tcPr>
            <w:tcW w:type="dxa" w:w="5953"/>
            <w:shd w:val="clear" w:color="auto" w:fill="1F4E79"/>
          </w:tcPr>
          <w:p>
            <w:r>
              <w:rPr>
                <w:b/>
                <w:color w:val="FFFFFF"/>
                <w:sz w:val="17"/>
              </w:rPr>
              <w:t>Use it to…</w:t>
            </w:r>
          </w:p>
        </w:tc>
      </w:tr>
      <w:tr>
        <w:tc>
          <w:tcPr>
            <w:tcW w:type="dxa" w:w="3685"/>
          </w:tcPr>
          <w:p>
            <w:r>
              <w:rPr>
                <w:sz w:val="17"/>
              </w:rPr>
              <w:t>Cont (2001)</w:t>
            </w:r>
          </w:p>
        </w:tc>
        <w:tc>
          <w:tcPr>
            <w:tcW w:type="dxa" w:w="5953"/>
          </w:tcPr>
          <w:p>
            <w:r>
              <w:rPr>
                <w:sz w:val="17"/>
              </w:rPr>
              <w:t>stylised facts</w:t>
            </w:r>
          </w:p>
        </w:tc>
      </w:tr>
      <w:tr>
        <w:tc>
          <w:tcPr>
            <w:tcW w:type="dxa" w:w="3685"/>
          </w:tcPr>
          <w:p>
            <w:r>
              <w:rPr>
                <w:sz w:val="17"/>
              </w:rPr>
              <w:t>Engle (1982); Bollerslev (1986)</w:t>
            </w:r>
          </w:p>
        </w:tc>
        <w:tc>
          <w:tcPr>
            <w:tcW w:type="dxa" w:w="5953"/>
          </w:tcPr>
          <w:p>
            <w:r>
              <w:rPr>
                <w:sz w:val="17"/>
              </w:rPr>
              <w:t>ARCH and GARCH</w:t>
            </w:r>
          </w:p>
        </w:tc>
      </w:tr>
      <w:tr>
        <w:tc>
          <w:tcPr>
            <w:tcW w:type="dxa" w:w="3685"/>
          </w:tcPr>
          <w:p>
            <w:r>
              <w:rPr>
                <w:sz w:val="17"/>
              </w:rPr>
              <w:t>Hansen &amp; Lunde (2005) JAE 20(7)</w:t>
            </w:r>
          </w:p>
        </w:tc>
        <w:tc>
          <w:tcPr>
            <w:tcW w:type="dxa" w:w="5953"/>
          </w:tcPr>
          <w:p>
            <w:r>
              <w:rPr>
                <w:sz w:val="17"/>
              </w:rPr>
              <w:t>GARCH(1,1) hard to beat: sets the bar</w:t>
            </w:r>
          </w:p>
        </w:tc>
      </w:tr>
      <w:tr>
        <w:tc>
          <w:tcPr>
            <w:tcW w:type="dxa" w:w="3685"/>
          </w:tcPr>
          <w:p>
            <w:r>
              <w:rPr>
                <w:sz w:val="17"/>
              </w:rPr>
              <w:t>Andersen &amp; Bollerslev (1998); Andersen et al. (2003)</w:t>
            </w:r>
          </w:p>
        </w:tc>
        <w:tc>
          <w:tcPr>
            <w:tcW w:type="dxa" w:w="5953"/>
          </w:tcPr>
          <w:p>
            <w:r>
              <w:rPr>
                <w:sz w:val="17"/>
              </w:rPr>
              <w:t>realised variance; noisy proxies</w:t>
            </w:r>
          </w:p>
        </w:tc>
      </w:tr>
      <w:tr>
        <w:tc>
          <w:tcPr>
            <w:tcW w:type="dxa" w:w="3685"/>
          </w:tcPr>
          <w:p>
            <w:r>
              <w:rPr>
                <w:sz w:val="17"/>
              </w:rPr>
              <w:t>Parkinson (1980); Garman &amp; Klass (1980)</w:t>
            </w:r>
          </w:p>
        </w:tc>
        <w:tc>
          <w:tcPr>
            <w:tcW w:type="dxa" w:w="5953"/>
          </w:tcPr>
          <w:p>
            <w:r>
              <w:rPr>
                <w:sz w:val="17"/>
              </w:rPr>
              <w:t>range estimators</w:t>
            </w:r>
          </w:p>
        </w:tc>
      </w:tr>
      <w:tr>
        <w:tc>
          <w:tcPr>
            <w:tcW w:type="dxa" w:w="3685"/>
          </w:tcPr>
          <w:p>
            <w:r>
              <w:rPr>
                <w:sz w:val="17"/>
              </w:rPr>
              <w:t>Corsi (2009) JFEC 7(2)</w:t>
            </w:r>
          </w:p>
        </w:tc>
        <w:tc>
          <w:tcPr>
            <w:tcW w:type="dxa" w:w="5953"/>
          </w:tcPr>
          <w:p>
            <w:r>
              <w:rPr>
                <w:sz w:val="17"/>
              </w:rPr>
              <w:t>HAR benchmark</w:t>
            </w:r>
          </w:p>
        </w:tc>
      </w:tr>
      <w:tr>
        <w:tc>
          <w:tcPr>
            <w:tcW w:type="dxa" w:w="3685"/>
          </w:tcPr>
          <w:p>
            <w:r>
              <w:rPr>
                <w:sz w:val="17"/>
              </w:rPr>
              <w:t>Patton (2011) J. Econometrics 160(1) ✔</w:t>
            </w:r>
          </w:p>
        </w:tc>
        <w:tc>
          <w:tcPr>
            <w:tcW w:type="dxa" w:w="5953"/>
          </w:tcPr>
          <w:p>
            <w:r>
              <w:rPr>
                <w:sz w:val="17"/>
              </w:rPr>
              <w:t>robust loss functions; QLIKE</w:t>
            </w:r>
          </w:p>
        </w:tc>
      </w:tr>
      <w:tr>
        <w:tc>
          <w:tcPr>
            <w:tcW w:type="dxa" w:w="3685"/>
          </w:tcPr>
          <w:p>
            <w:r>
              <w:rPr>
                <w:sz w:val="17"/>
              </w:rPr>
              <w:t>Diebold &amp; Mariano (1995); Harvey, Leybourne &amp; Newbold (1997)</w:t>
            </w:r>
          </w:p>
        </w:tc>
        <w:tc>
          <w:tcPr>
            <w:tcW w:type="dxa" w:w="5953"/>
          </w:tcPr>
          <w:p>
            <w:r>
              <w:rPr>
                <w:sz w:val="17"/>
              </w:rPr>
              <w:t>forecast comparison tests</w:t>
            </w:r>
          </w:p>
        </w:tc>
      </w:tr>
      <w:tr>
        <w:tc>
          <w:tcPr>
            <w:tcW w:type="dxa" w:w="3685"/>
          </w:tcPr>
          <w:p>
            <w:r>
              <w:rPr>
                <w:sz w:val="17"/>
              </w:rPr>
              <w:t>Hochreiter &amp; Schmidhuber (1997)</w:t>
            </w:r>
          </w:p>
        </w:tc>
        <w:tc>
          <w:tcPr>
            <w:tcW w:type="dxa" w:w="5953"/>
          </w:tcPr>
          <w:p>
            <w:r>
              <w:rPr>
                <w:sz w:val="17"/>
              </w:rPr>
              <w:t>LSTM</w:t>
            </w:r>
          </w:p>
        </w:tc>
      </w:tr>
      <w:tr>
        <w:tc>
          <w:tcPr>
            <w:tcW w:type="dxa" w:w="3685"/>
          </w:tcPr>
          <w:p>
            <w:r>
              <w:rPr>
                <w:sz w:val="17"/>
              </w:rPr>
              <w:t>Fischer &amp; Krauss (2018) EJOR 270(2)</w:t>
            </w:r>
          </w:p>
        </w:tc>
        <w:tc>
          <w:tcPr>
            <w:tcW w:type="dxa" w:w="5953"/>
          </w:tcPr>
          <w:p>
            <w:r>
              <w:rPr>
                <w:sz w:val="17"/>
              </w:rPr>
              <w:t>LSTM in financial markets</w:t>
            </w:r>
          </w:p>
        </w:tc>
      </w:tr>
      <w:tr>
        <w:tc>
          <w:tcPr>
            <w:tcW w:type="dxa" w:w="3685"/>
          </w:tcPr>
          <w:p>
            <w:r>
              <w:rPr>
                <w:sz w:val="17"/>
              </w:rPr>
              <w:t>Kim &amp; Won (2018) ESWA 103</w:t>
            </w:r>
          </w:p>
        </w:tc>
        <w:tc>
          <w:tcPr>
            <w:tcW w:type="dxa" w:w="5953"/>
          </w:tcPr>
          <w:p>
            <w:r>
              <w:rPr>
                <w:sz w:val="17"/>
              </w:rPr>
              <w:t>LSTM–GARCH hybrids</w:t>
            </w:r>
          </w:p>
        </w:tc>
      </w:tr>
      <w:tr>
        <w:tc>
          <w:tcPr>
            <w:tcW w:type="dxa" w:w="3685"/>
          </w:tcPr>
          <w:p>
            <w:r>
              <w:rPr>
                <w:sz w:val="17"/>
              </w:rPr>
              <w:t>Bucci (2020) JFEC 18(3) ✔</w:t>
            </w:r>
          </w:p>
        </w:tc>
        <w:tc>
          <w:tcPr>
            <w:tcW w:type="dxa" w:w="5953"/>
          </w:tcPr>
          <w:p>
            <w:r>
              <w:rPr>
                <w:sz w:val="17"/>
              </w:rPr>
              <w:t>monthly S&amp;P 500 data: LSTM and NARX best in MSE and QLIKE, also in 2007–09</w:t>
            </w:r>
          </w:p>
        </w:tc>
      </w:tr>
      <w:tr>
        <w:tc>
          <w:tcPr>
            <w:tcW w:type="dxa" w:w="3685"/>
          </w:tcPr>
          <w:p>
            <w:r>
              <w:rPr>
                <w:sz w:val="17"/>
              </w:rPr>
              <w:t>Christensen, Siggaard &amp; Veliyev (2023) JFEC 21(5) ✔</w:t>
            </w:r>
          </w:p>
        </w:tc>
        <w:tc>
          <w:tcPr>
            <w:tcW w:type="dxa" w:w="5953"/>
          </w:tcPr>
          <w:p>
            <w:r>
              <w:rPr>
                <w:sz w:val="17"/>
              </w:rPr>
              <w:t>ML competitive with and beating HAR; gains grow with horizon</w:t>
            </w:r>
          </w:p>
        </w:tc>
      </w:tr>
      <w:tr>
        <w:tc>
          <w:tcPr>
            <w:tcW w:type="dxa" w:w="3685"/>
          </w:tcPr>
          <w:p>
            <w:r>
              <w:rPr>
                <w:sz w:val="17"/>
              </w:rPr>
              <w:t>Bergmeir &amp; Benítez (2012) Information Sciences 191</w:t>
            </w:r>
          </w:p>
        </w:tc>
        <w:tc>
          <w:tcPr>
            <w:tcW w:type="dxa" w:w="5953"/>
          </w:tcPr>
          <w:p>
            <w:r>
              <w:rPr>
                <w:sz w:val="17"/>
              </w:rPr>
              <w:t>time-series validation</w:t>
            </w:r>
          </w:p>
        </w:tc>
      </w:tr>
    </w:tbl>
    <w:p>
      <w:pPr>
        <w:spacing w:after="40"/>
      </w:pPr>
    </w:p>
    <w:p>
      <w:pPr>
        <w:spacing w:after="80"/>
      </w:pPr>
      <w:r>
        <w:rPr>
          <w:b/>
        </w:rPr>
        <w:t xml:space="preserve">Critical angle: </w:t>
      </w:r>
      <w:r>
        <w:rPr>
          <w:i w:val="0"/>
        </w:rPr>
        <w:t>Evidence is mixed: Hansen &amp; Lunde point one way, Bucci and Christensen et al. the other. Present this as a genuine open question. It justifies RQ1 and makes a negative result publishable.</w:t>
      </w:r>
    </w:p>
    <w:p>
      <w:pPr>
        <w:spacing w:after="80"/>
      </w:pPr>
      <w:r>
        <w:rPr>
          <w:b/>
        </w:rPr>
        <w:t xml:space="preserve">Feeds into: </w:t>
      </w:r>
      <w:r>
        <w:rPr>
          <w:i w:val="0"/>
        </w:rPr>
        <w:t>RQ1 and H1; RQ3 (crisis performance); the evaluation design in Chapter 3.</w:t>
      </w:r>
    </w:p>
    <w:p>
      <w:pPr>
        <w:spacing w:after="80"/>
      </w:pPr>
      <w:r>
        <w:rPr>
          <w:b/>
        </w:rPr>
        <w:t xml:space="preserve">Avoid: </w:t>
      </w:r>
      <w:r>
        <w:rPr>
          <w:i/>
        </w:rPr>
        <w:t>Explaining every model mathematically here. Put equations in Chapter 3; here, compare what studies found.</w:t>
      </w:r>
    </w:p>
    <w:p>
      <w:pPr>
        <w:pStyle w:val="Heading2"/>
      </w:pPr>
      <w:r>
        <w:rPr>
          <w:color w:val="1F4E79"/>
        </w:rPr>
        <w:t>2.6 Explaining machine-learning forecasts  (~700 words)</w:t>
      </w:r>
    </w:p>
    <w:p>
      <w:pPr>
        <w:spacing w:after="80"/>
      </w:pPr>
      <w:r>
        <w:rPr>
          <w:b/>
        </w:rPr>
        <w:t xml:space="preserve">Purpose: </w:t>
      </w:r>
      <w:r>
        <w:rPr>
          <w:i w:val="0"/>
        </w:rPr>
        <w:t>Introduce SHAP and its relatives, weigh their limits honestly, and show that explanations are rarely used to test economic mechanisms.</w:t>
      </w:r>
    </w:p>
    <w:p>
      <w:pPr>
        <w:spacing w:after="80"/>
      </w:pPr>
      <w:r>
        <w:rPr>
          <w:b/>
        </w:rPr>
        <w:t>Points to cover (ideas to argue in your own words):</w:t>
      </w:r>
      <w:r>
        <w:rPr>
          <w:i w:val="0"/>
        </w:rPr>
      </w:r>
    </w:p>
    <w:p>
      <w:pPr>
        <w:pStyle w:val="ListBullet"/>
        <w:spacing w:after="20"/>
      </w:pPr>
      <w:r>
        <w:t>Shapley values and SHAP: fair attribution of a prediction to inputs; properties (local accuracy, consistency).</w:t>
      </w:r>
    </w:p>
    <w:p>
      <w:pPr>
        <w:pStyle w:val="ListBullet"/>
        <w:spacing w:after="20"/>
      </w:pPr>
      <w:r>
        <w:t>Gradient-based attribution for neural networks: Integrated Gradients and expected gradients (GradientSHAP). Explain why they suit an LSTM better than KernelSHAP.</w:t>
      </w:r>
    </w:p>
    <w:p>
      <w:pPr>
        <w:pStyle w:val="ListBullet"/>
        <w:spacing w:after="20"/>
      </w:pPr>
      <w:r>
        <w:t>Limits: correlated inputs split credit arbitrarily; explanations can be unstable; explanation is not causation. Present the counter-argument that high-stakes decisions should use interpretable models, and note that your HAR and GARCH benchmarks are interpretable, so the study compares both worlds.</w:t>
      </w:r>
    </w:p>
    <w:p>
      <w:pPr>
        <w:pStyle w:val="ListBullet"/>
        <w:spacing w:after="20"/>
      </w:pPr>
      <w:r>
        <w:t>Applications in finance: mostly feature rankings in credit and fraud models; in volatility, recent work uses SHAP descriptively (for example, identifying VIX and geopolitical risk as drivers).</w:t>
      </w:r>
    </w:p>
    <w:p>
      <w:pPr>
        <w:pStyle w:val="ListBullet"/>
        <w:spacing w:after="20"/>
      </w:pPr>
      <w:r>
        <w:t>Synthesis: explanations are used to describe models, rarely as falsifiable evidence about how economic shocks are transmitted.</w:t>
      </w:r>
    </w:p>
    <w:p>
      <w:pPr>
        <w:spacing w:after="80"/>
      </w:pPr>
      <w:r>
        <w:rPr>
          <w:b/>
        </w:rPr>
        <w:t>Sources and how to use them:</w:t>
      </w:r>
      <w:r>
        <w:rPr>
          <w:i w:val="0"/>
        </w:rPr>
      </w:r>
    </w:p>
    <w:tbl>
      <w:tblPr>
        <w:tblStyle w:val="TableGrid"/>
        <w:tblW w:type="auto" w:w="0"/>
        <w:jc w:val="center"/>
        <w:tblLook w:firstColumn="1" w:firstRow="1" w:lastColumn="0" w:lastRow="0" w:noHBand="0" w:noVBand="1" w:val="04A0"/>
      </w:tblPr>
      <w:tblGrid>
        <w:gridCol w:w="4986"/>
        <w:gridCol w:w="4986"/>
      </w:tblGrid>
      <w:tr>
        <w:tc>
          <w:tcPr>
            <w:tcW w:type="dxa" w:w="3685"/>
            <w:shd w:val="clear" w:color="auto" w:fill="1F4E79"/>
          </w:tcPr>
          <w:p>
            <w:r>
              <w:rPr>
                <w:b/>
                <w:color w:val="FFFFFF"/>
                <w:sz w:val="17"/>
              </w:rPr>
              <w:t>Source</w:t>
            </w:r>
          </w:p>
        </w:tc>
        <w:tc>
          <w:tcPr>
            <w:tcW w:type="dxa" w:w="5953"/>
            <w:shd w:val="clear" w:color="auto" w:fill="1F4E79"/>
          </w:tcPr>
          <w:p>
            <w:r>
              <w:rPr>
                <w:b/>
                <w:color w:val="FFFFFF"/>
                <w:sz w:val="17"/>
              </w:rPr>
              <w:t>Use it to…</w:t>
            </w:r>
          </w:p>
        </w:tc>
      </w:tr>
      <w:tr>
        <w:tc>
          <w:tcPr>
            <w:tcW w:type="dxa" w:w="3685"/>
          </w:tcPr>
          <w:p>
            <w:r>
              <w:rPr>
                <w:sz w:val="17"/>
              </w:rPr>
              <w:t>Lundberg &amp; Lee (2017) NeurIPS</w:t>
            </w:r>
          </w:p>
        </w:tc>
        <w:tc>
          <w:tcPr>
            <w:tcW w:type="dxa" w:w="5953"/>
          </w:tcPr>
          <w:p>
            <w:r>
              <w:rPr>
                <w:sz w:val="17"/>
              </w:rPr>
              <w:t>SHAP framework</w:t>
            </w:r>
          </w:p>
        </w:tc>
      </w:tr>
      <w:tr>
        <w:tc>
          <w:tcPr>
            <w:tcW w:type="dxa" w:w="3685"/>
          </w:tcPr>
          <w:p>
            <w:r>
              <w:rPr>
                <w:sz w:val="17"/>
              </w:rPr>
              <w:t>Sundararajan, Taly &amp; Yan (2017) ICML</w:t>
            </w:r>
          </w:p>
        </w:tc>
        <w:tc>
          <w:tcPr>
            <w:tcW w:type="dxa" w:w="5953"/>
          </w:tcPr>
          <w:p>
            <w:r>
              <w:rPr>
                <w:sz w:val="17"/>
              </w:rPr>
              <w:t>Integrated Gradients</w:t>
            </w:r>
          </w:p>
        </w:tc>
      </w:tr>
      <w:tr>
        <w:tc>
          <w:tcPr>
            <w:tcW w:type="dxa" w:w="3685"/>
          </w:tcPr>
          <w:p>
            <w:r>
              <w:rPr>
                <w:sz w:val="17"/>
              </w:rPr>
              <w:t>Erion et al. (2021) Nature Machine Intelligence 3</w:t>
            </w:r>
          </w:p>
        </w:tc>
        <w:tc>
          <w:tcPr>
            <w:tcW w:type="dxa" w:w="5953"/>
          </w:tcPr>
          <w:p>
            <w:r>
              <w:rPr>
                <w:sz w:val="17"/>
              </w:rPr>
              <w:t>expected gradients = GradientSHAP</w:t>
            </w:r>
          </w:p>
        </w:tc>
      </w:tr>
      <w:tr>
        <w:tc>
          <w:tcPr>
            <w:tcW w:type="dxa" w:w="3685"/>
          </w:tcPr>
          <w:p>
            <w:r>
              <w:rPr>
                <w:sz w:val="17"/>
              </w:rPr>
              <w:t>Aas, Jullum &amp; Løland (2021) Artificial Intelligence 298</w:t>
            </w:r>
          </w:p>
        </w:tc>
        <w:tc>
          <w:tcPr>
            <w:tcW w:type="dxa" w:w="5953"/>
          </w:tcPr>
          <w:p>
            <w:r>
              <w:rPr>
                <w:sz w:val="17"/>
              </w:rPr>
              <w:t>dependent (correlated) features</w:t>
            </w:r>
          </w:p>
        </w:tc>
      </w:tr>
      <w:tr>
        <w:tc>
          <w:tcPr>
            <w:tcW w:type="dxa" w:w="3685"/>
          </w:tcPr>
          <w:p>
            <w:r>
              <w:rPr>
                <w:sz w:val="17"/>
              </w:rPr>
              <w:t>Kumar et al. (2020) ICML</w:t>
            </w:r>
          </w:p>
        </w:tc>
        <w:tc>
          <w:tcPr>
            <w:tcW w:type="dxa" w:w="5953"/>
          </w:tcPr>
          <w:p>
            <w:r>
              <w:rPr>
                <w:sz w:val="17"/>
              </w:rPr>
              <w:t>problems with Shapley-based importance</w:t>
            </w:r>
          </w:p>
        </w:tc>
      </w:tr>
      <w:tr>
        <w:tc>
          <w:tcPr>
            <w:tcW w:type="dxa" w:w="3685"/>
          </w:tcPr>
          <w:p>
            <w:r>
              <w:rPr>
                <w:sz w:val="17"/>
              </w:rPr>
              <w:t>Rudin (2019) Nature Machine Intelligence 1</w:t>
            </w:r>
          </w:p>
        </w:tc>
        <w:tc>
          <w:tcPr>
            <w:tcW w:type="dxa" w:w="5953"/>
          </w:tcPr>
          <w:p>
            <w:r>
              <w:rPr>
                <w:sz w:val="17"/>
              </w:rPr>
              <w:t>the case against explaining black boxes</w:t>
            </w:r>
          </w:p>
        </w:tc>
      </w:tr>
      <w:tr>
        <w:tc>
          <w:tcPr>
            <w:tcW w:type="dxa" w:w="3685"/>
          </w:tcPr>
          <w:p>
            <w:r>
              <w:rPr>
                <w:sz w:val="17"/>
              </w:rPr>
              <w:t>Molnar, Interpretable Machine Learning</w:t>
            </w:r>
          </w:p>
        </w:tc>
        <w:tc>
          <w:tcPr>
            <w:tcW w:type="dxa" w:w="5953"/>
          </w:tcPr>
          <w:p>
            <w:r>
              <w:rPr>
                <w:sz w:val="17"/>
              </w:rPr>
              <w:t>clear background for your own understanding</w:t>
            </w:r>
          </w:p>
        </w:tc>
      </w:tr>
      <w:tr>
        <w:tc>
          <w:tcPr>
            <w:tcW w:type="dxa" w:w="3685"/>
          </w:tcPr>
          <w:p>
            <w:r>
              <w:rPr>
                <w:sz w:val="17"/>
              </w:rPr>
              <w:t>Ahmed (2026) SSRN preprint ✔</w:t>
            </w:r>
          </w:p>
        </w:tc>
        <w:tc>
          <w:tcPr>
            <w:tcW w:type="dxa" w:w="5953"/>
          </w:tcPr>
          <w:p>
            <w:r>
              <w:rPr>
                <w:sz w:val="17"/>
              </w:rPr>
              <w:t>recent LSTM-SHAP volatility work; flag as not peer-reviewed</w:t>
            </w:r>
          </w:p>
        </w:tc>
      </w:tr>
    </w:tbl>
    <w:p>
      <w:pPr>
        <w:spacing w:after="40"/>
      </w:pPr>
    </w:p>
    <w:p>
      <w:pPr>
        <w:spacing w:after="80"/>
      </w:pPr>
      <w:r>
        <w:rPr>
          <w:b/>
        </w:rPr>
        <w:t xml:space="preserve">Critical angle: </w:t>
      </w:r>
      <w:r>
        <w:rPr>
          <w:i w:val="0"/>
        </w:rPr>
        <w:t>Treat SHAP as a tool with known weaknesses. The response in your design (grouping, seed stability, validation events) comes directly from these criticisms. Say so; it shows the design is literature-led.</w:t>
      </w:r>
    </w:p>
    <w:p>
      <w:pPr>
        <w:spacing w:after="80"/>
      </w:pPr>
      <w:r>
        <w:rPr>
          <w:b/>
        </w:rPr>
        <w:t xml:space="preserve">Feeds into: </w:t>
      </w:r>
      <w:r>
        <w:rPr>
          <w:i w:val="0"/>
        </w:rPr>
        <w:t>RQ2 and RQ4; the explainability design in Chapter 3.</w:t>
      </w:r>
    </w:p>
    <w:p>
      <w:pPr>
        <w:spacing w:after="80"/>
      </w:pPr>
      <w:r>
        <w:rPr>
          <w:b/>
        </w:rPr>
        <w:t xml:space="preserve">Avoid: </w:t>
      </w:r>
      <w:r>
        <w:rPr>
          <w:i/>
        </w:rPr>
        <w:t>Presenting SHAP as the ‘truth’ about the market.</w:t>
      </w:r>
    </w:p>
    <w:p>
      <w:pPr>
        <w:pStyle w:val="Heading2"/>
      </w:pPr>
      <w:r>
        <w:rPr>
          <w:color w:val="1F4E79"/>
        </w:rPr>
        <w:t>2.7 Synthesis, research gap and hypotheses  (~500 words)</w:t>
      </w:r>
    </w:p>
    <w:p>
      <w:pPr>
        <w:spacing w:after="80"/>
      </w:pPr>
      <w:r>
        <w:rPr>
          <w:b/>
        </w:rPr>
        <w:t xml:space="preserve">Purpose: </w:t>
      </w:r>
      <w:r>
        <w:rPr>
          <w:i w:val="0"/>
        </w:rPr>
        <w:t>Pull the strands together, state the gap precisely, and derive RQ1–RQ4 and the hypotheses.</w:t>
      </w:r>
    </w:p>
    <w:p>
      <w:pPr>
        <w:spacing w:after="80"/>
      </w:pPr>
      <w:r>
        <w:rPr>
          <w:b/>
        </w:rPr>
        <w:t>Points to cover (ideas to argue in your own words):</w:t>
      </w:r>
      <w:r>
        <w:rPr>
          <w:i w:val="0"/>
        </w:rPr>
      </w:r>
    </w:p>
    <w:p>
      <w:pPr>
        <w:pStyle w:val="ListBullet"/>
        <w:spacing w:after="20"/>
      </w:pPr>
      <w:r>
        <w:t>A short synthesis of what is known in each strand.</w:t>
      </w:r>
    </w:p>
    <w:p>
      <w:pPr>
        <w:pStyle w:val="ListBullet"/>
        <w:spacing w:after="20"/>
      </w:pPr>
      <w:r>
        <w:t>The gap as a combination: (1) no common framework comparing transmission across crises of different origin for a small open economy; (2) forecasting studies rarely evaluate crisis by crisis or test whether models survive a new type of crisis; (3) explanations are rarely used as falsifiable evidence about transmission.</w:t>
      </w:r>
    </w:p>
    <w:p>
      <w:pPr>
        <w:pStyle w:val="ListBullet"/>
        <w:spacing w:after="20"/>
      </w:pPr>
      <w:r>
        <w:t>RQ1–RQ4, each followed by its hypothesis and the literature it rests on (table in section 5 below).</w:t>
      </w:r>
    </w:p>
    <w:p>
      <w:pPr>
        <w:spacing w:after="80"/>
      </w:pPr>
      <w:r>
        <w:rPr>
          <w:b/>
        </w:rPr>
        <w:t>Sources and how to use them:</w:t>
      </w:r>
      <w:r>
        <w:rPr>
          <w:i w:val="0"/>
        </w:rPr>
      </w:r>
    </w:p>
    <w:tbl>
      <w:tblPr>
        <w:tblStyle w:val="TableGrid"/>
        <w:tblW w:type="auto" w:w="0"/>
        <w:jc w:val="center"/>
        <w:tblLook w:firstColumn="1" w:firstRow="1" w:lastColumn="0" w:lastRow="0" w:noHBand="0" w:noVBand="1" w:val="04A0"/>
      </w:tblPr>
      <w:tblGrid>
        <w:gridCol w:w="4986"/>
        <w:gridCol w:w="4986"/>
      </w:tblGrid>
      <w:tr>
        <w:tc>
          <w:tcPr>
            <w:tcW w:type="dxa" w:w="3685"/>
            <w:shd w:val="clear" w:color="auto" w:fill="1F4E79"/>
          </w:tcPr>
          <w:p>
            <w:r>
              <w:rPr>
                <w:b/>
                <w:color w:val="FFFFFF"/>
                <w:sz w:val="17"/>
              </w:rPr>
              <w:t>Source</w:t>
            </w:r>
          </w:p>
        </w:tc>
        <w:tc>
          <w:tcPr>
            <w:tcW w:type="dxa" w:w="5953"/>
            <w:shd w:val="clear" w:color="auto" w:fill="1F4E79"/>
          </w:tcPr>
          <w:p>
            <w:r>
              <w:rPr>
                <w:b/>
                <w:color w:val="FFFFFF"/>
                <w:sz w:val="17"/>
              </w:rPr>
              <w:t>Use it to…</w:t>
            </w:r>
          </w:p>
        </w:tc>
      </w:tr>
      <w:tr>
        <w:tc>
          <w:tcPr>
            <w:tcW w:type="dxa" w:w="3685"/>
          </w:tcPr>
          <w:p>
            <w:r>
              <w:rPr>
                <w:sz w:val="17"/>
              </w:rPr>
              <w:t>All sections above</w:t>
            </w:r>
          </w:p>
        </w:tc>
        <w:tc>
          <w:tcPr>
            <w:tcW w:type="dxa" w:w="5953"/>
          </w:tcPr>
          <w:p>
            <w:r>
              <w:rPr>
                <w:sz w:val="17"/>
              </w:rPr>
              <w:t>each hypothesis must cite at least two sources</w:t>
            </w:r>
          </w:p>
        </w:tc>
      </w:tr>
    </w:tbl>
    <w:p>
      <w:pPr>
        <w:spacing w:after="40"/>
      </w:pPr>
    </w:p>
    <w:p>
      <w:pPr>
        <w:spacing w:after="80"/>
      </w:pPr>
      <w:r>
        <w:rPr>
          <w:b/>
        </w:rPr>
        <w:t xml:space="preserve">Critical angle: </w:t>
      </w:r>
      <w:r>
        <w:rPr>
          <w:i w:val="0"/>
        </w:rPr>
        <w:t>Be modest and precise. ‘Prior work has not combined X, Y and Z for Ireland’ is defensible; ‘this has never been studied’ is not.</w:t>
      </w:r>
    </w:p>
    <w:p>
      <w:pPr>
        <w:spacing w:after="80"/>
      </w:pPr>
      <w:r>
        <w:rPr>
          <w:b/>
        </w:rPr>
        <w:t xml:space="preserve">Feeds into: </w:t>
      </w:r>
      <w:r>
        <w:rPr>
          <w:i w:val="0"/>
        </w:rPr>
        <w:t>Chapter 3 (how each hypothesis is tested).</w:t>
      </w:r>
    </w:p>
    <w:p>
      <w:pPr>
        <w:spacing w:after="80"/>
      </w:pPr>
      <w:r>
        <w:rPr>
          <w:b/>
        </w:rPr>
        <w:t xml:space="preserve">Avoid: </w:t>
      </w:r>
      <w:r>
        <w:rPr>
          <w:i/>
        </w:rPr>
        <w:t>A vague gap such as ‘few studies have looked at this’, or hypotheses that appear from nowhere.</w:t>
      </w:r>
    </w:p>
    <w:p>
      <w:pPr>
        <w:pStyle w:val="Heading2"/>
      </w:pPr>
      <w:r>
        <w:rPr>
          <w:color w:val="1F4E79"/>
        </w:rPr>
        <w:t>2.8 Chapter summary  (~150 words)</w:t>
      </w:r>
    </w:p>
    <w:p>
      <w:pPr>
        <w:spacing w:after="80"/>
      </w:pPr>
      <w:r>
        <w:rPr>
          <w:b/>
        </w:rPr>
        <w:t xml:space="preserve">Purpose: </w:t>
      </w:r>
      <w:r>
        <w:rPr>
          <w:i w:val="0"/>
        </w:rPr>
        <w:t>Three or four sentences: what was established and what Chapter 3 does next.</w:t>
      </w:r>
    </w:p>
    <w:p>
      <w:pPr>
        <w:spacing w:after="80"/>
      </w:pPr>
      <w:r>
        <w:rPr>
          <w:b/>
        </w:rPr>
        <w:t>Points to cover (ideas to argue in your own words):</w:t>
      </w:r>
      <w:r>
        <w:rPr>
          <w:i w:val="0"/>
        </w:rPr>
      </w:r>
    </w:p>
    <w:p>
      <w:pPr>
        <w:pStyle w:val="ListBullet"/>
        <w:spacing w:after="20"/>
      </w:pPr>
      <w:r>
        <w:t>What is known; what is missing; what this study will test.</w:t>
      </w:r>
    </w:p>
    <w:p>
      <w:pPr>
        <w:spacing w:after="80"/>
      </w:pPr>
      <w:r>
        <w:rPr>
          <w:b/>
        </w:rPr>
        <w:t>Sources and how to use them:</w:t>
      </w:r>
      <w:r>
        <w:rPr>
          <w:i w:val="0"/>
        </w:rPr>
      </w:r>
    </w:p>
    <w:tbl>
      <w:tblPr>
        <w:tblStyle w:val="TableGrid"/>
        <w:tblW w:type="auto" w:w="0"/>
        <w:jc w:val="center"/>
        <w:tblLook w:firstColumn="1" w:firstRow="1" w:lastColumn="0" w:lastRow="0" w:noHBand="0" w:noVBand="1" w:val="04A0"/>
      </w:tblPr>
      <w:tblGrid>
        <w:gridCol w:w="4986"/>
        <w:gridCol w:w="4986"/>
      </w:tblGrid>
      <w:tr>
        <w:tc>
          <w:tcPr>
            <w:tcW w:type="dxa" w:w="3685"/>
            <w:shd w:val="clear" w:color="auto" w:fill="1F4E79"/>
          </w:tcPr>
          <w:p>
            <w:r>
              <w:rPr>
                <w:b/>
                <w:color w:val="FFFFFF"/>
                <w:sz w:val="17"/>
              </w:rPr>
              <w:t>Source</w:t>
            </w:r>
          </w:p>
        </w:tc>
        <w:tc>
          <w:tcPr>
            <w:tcW w:type="dxa" w:w="5953"/>
            <w:shd w:val="clear" w:color="auto" w:fill="1F4E79"/>
          </w:tcPr>
          <w:p>
            <w:r>
              <w:rPr>
                <w:b/>
                <w:color w:val="FFFFFF"/>
                <w:sz w:val="17"/>
              </w:rPr>
              <w:t>Use it to…</w:t>
            </w:r>
          </w:p>
        </w:tc>
      </w:tr>
      <w:tr>
        <w:tc>
          <w:tcPr>
            <w:tcW w:type="dxa" w:w="3685"/>
          </w:tcPr>
          <w:p>
            <w:r>
              <w:rPr>
                <w:sz w:val="17"/>
              </w:rPr>
              <w:t>—</w:t>
            </w:r>
          </w:p>
        </w:tc>
        <w:tc>
          <w:tcPr>
            <w:tcW w:type="dxa" w:w="5953"/>
          </w:tcPr>
          <w:p>
            <w:r>
              <w:rPr>
                <w:sz w:val="17"/>
              </w:rPr>
              <w:t>No new citations.</w:t>
            </w:r>
          </w:p>
        </w:tc>
      </w:tr>
    </w:tbl>
    <w:p>
      <w:pPr>
        <w:spacing w:after="40"/>
      </w:pPr>
    </w:p>
    <w:p>
      <w:pPr>
        <w:spacing w:after="80"/>
      </w:pPr>
      <w:r>
        <w:rPr>
          <w:b/>
        </w:rPr>
        <w:t xml:space="preserve">Critical angle: </w:t>
      </w:r>
      <w:r>
        <w:rPr>
          <w:i w:val="0"/>
        </w:rPr>
        <w:t>None.</w:t>
      </w:r>
    </w:p>
    <w:p>
      <w:pPr>
        <w:spacing w:after="80"/>
      </w:pPr>
      <w:r>
        <w:rPr>
          <w:b/>
        </w:rPr>
        <w:t xml:space="preserve">Feeds into: </w:t>
      </w:r>
      <w:r>
        <w:rPr>
          <w:i w:val="0"/>
        </w:rPr>
        <w:t>Transition to Chapter 3.</w:t>
      </w:r>
    </w:p>
    <w:p>
      <w:pPr>
        <w:spacing w:after="80"/>
      </w:pPr>
      <w:r>
        <w:rPr>
          <w:b/>
        </w:rPr>
        <w:t xml:space="preserve">Avoid: </w:t>
      </w:r>
      <w:r>
        <w:rPr>
          <w:i/>
        </w:rPr>
        <w:t>Introducing new material in the summary.</w:t>
      </w:r>
    </w:p>
    <w:p>
      <w:pPr>
        <w:pStyle w:val="Heading1"/>
      </w:pPr>
      <w:r>
        <w:rPr>
          <w:color w:val="1F4E79"/>
        </w:rPr>
        <w:t>5. Hypothesis derivation table</w:t>
      </w:r>
    </w:p>
    <w:p>
      <w:pPr>
        <w:spacing w:after="80"/>
      </w:pPr>
      <w:r>
        <w:rPr>
          <w:i w:val="0"/>
        </w:rPr>
        <w:t>Put a version of this table in section 2.7 (in your own words) and commit the hypotheses to Git before running any model.</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4"/>
            <w:shd w:val="clear" w:color="auto" w:fill="1F4E79"/>
          </w:tcPr>
          <w:p>
            <w:r>
              <w:rPr>
                <w:b/>
                <w:color w:val="FFFFFF"/>
                <w:sz w:val="17"/>
              </w:rPr>
              <w:t>Hypothesis</w:t>
            </w:r>
          </w:p>
        </w:tc>
        <w:tc>
          <w:tcPr>
            <w:tcW w:type="dxa" w:w="2608"/>
            <w:shd w:val="clear" w:color="auto" w:fill="1F4E79"/>
          </w:tcPr>
          <w:p>
            <w:r>
              <w:rPr>
                <w:b/>
                <w:color w:val="FFFFFF"/>
                <w:sz w:val="17"/>
              </w:rPr>
              <w:t>Literature basis</w:t>
            </w:r>
          </w:p>
        </w:tc>
        <w:tc>
          <w:tcPr>
            <w:tcW w:type="dxa" w:w="2154"/>
            <w:shd w:val="clear" w:color="auto" w:fill="1F4E79"/>
          </w:tcPr>
          <w:p>
            <w:r>
              <w:rPr>
                <w:b/>
                <w:color w:val="FFFFFF"/>
                <w:sz w:val="17"/>
              </w:rPr>
              <w:t>Expected result</w:t>
            </w:r>
          </w:p>
        </w:tc>
        <w:tc>
          <w:tcPr>
            <w:tcW w:type="dxa" w:w="2381"/>
            <w:shd w:val="clear" w:color="auto" w:fill="1F4E79"/>
          </w:tcPr>
          <w:p>
            <w:r>
              <w:rPr>
                <w:b/>
                <w:color w:val="FFFFFF"/>
                <w:sz w:val="17"/>
              </w:rPr>
              <w:t>What would contradict it</w:t>
            </w:r>
          </w:p>
        </w:tc>
      </w:tr>
      <w:tr>
        <w:tc>
          <w:tcPr>
            <w:tcW w:type="dxa" w:w="2494"/>
          </w:tcPr>
          <w:p>
            <w:r>
              <w:rPr>
                <w:sz w:val="17"/>
              </w:rPr>
              <w:t>H1 (RQ1): LSTM beats GARCH and HAR out-of-sample (QLIKE)</w:t>
            </w:r>
          </w:p>
        </w:tc>
        <w:tc>
          <w:tcPr>
            <w:tcW w:type="dxa" w:w="2608"/>
          </w:tcPr>
          <w:p>
            <w:r>
              <w:rPr>
                <w:sz w:val="17"/>
              </w:rPr>
              <w:t>For: Bucci (2020); Christensen et al. (2023). Against: Hansen &amp; Lunde (2005)</w:t>
            </w:r>
          </w:p>
        </w:tc>
        <w:tc>
          <w:tcPr>
            <w:tcW w:type="dxa" w:w="2154"/>
          </w:tcPr>
          <w:p>
            <w:r>
              <w:rPr>
                <w:sz w:val="17"/>
              </w:rPr>
              <w:t>Modest LSTM gain, larger in crises</w:t>
            </w:r>
          </w:p>
        </w:tc>
        <w:tc>
          <w:tcPr>
            <w:tcW w:type="dxa" w:w="2381"/>
          </w:tcPr>
          <w:p>
            <w:r>
              <w:rPr>
                <w:sz w:val="17"/>
              </w:rPr>
              <w:t>DM-HLN not significant, or a benchmark wins</w:t>
            </w:r>
          </w:p>
        </w:tc>
      </w:tr>
      <w:tr>
        <w:tc>
          <w:tcPr>
            <w:tcW w:type="dxa" w:w="2494"/>
          </w:tcPr>
          <w:p>
            <w:r>
              <w:rPr>
                <w:sz w:val="17"/>
              </w:rPr>
              <w:t>H2a GFC: US channel rises most; domestic also high</w:t>
            </w:r>
          </w:p>
        </w:tc>
        <w:tc>
          <w:tcPr>
            <w:tcW w:type="dxa" w:w="2608"/>
          </w:tcPr>
          <w:p>
            <w:r>
              <w:rPr>
                <w:sz w:val="17"/>
              </w:rPr>
              <w:t>Brunnermeier (2009); Bekaert et al. (2014); Kelly (2009); Honohan (2010)</w:t>
            </w:r>
          </w:p>
        </w:tc>
        <w:tc>
          <w:tcPr>
            <w:tcW w:type="dxa" w:w="2154"/>
          </w:tcPr>
          <w:p>
            <w:r>
              <w:rPr>
                <w:sz w:val="17"/>
              </w:rPr>
              <w:t>US and domestic shares above calm levels</w:t>
            </w:r>
          </w:p>
        </w:tc>
        <w:tc>
          <w:tcPr>
            <w:tcW w:type="dxa" w:w="2381"/>
          </w:tcPr>
          <w:p>
            <w:r>
              <w:rPr>
                <w:sz w:val="17"/>
              </w:rPr>
              <w:t>Euro channel dominates</w:t>
            </w:r>
          </w:p>
        </w:tc>
      </w:tr>
      <w:tr>
        <w:tc>
          <w:tcPr>
            <w:tcW w:type="dxa" w:w="2494"/>
          </w:tcPr>
          <w:p>
            <w:r>
              <w:rPr>
                <w:sz w:val="17"/>
              </w:rPr>
              <w:t>H2b Irish debt crisis: euro + domestic rise; US share below its GFC level</w:t>
            </w:r>
          </w:p>
        </w:tc>
        <w:tc>
          <w:tcPr>
            <w:tcW w:type="dxa" w:w="2608"/>
          </w:tcPr>
          <w:p>
            <w:r>
              <w:rPr>
                <w:sz w:val="17"/>
              </w:rPr>
              <w:t>Lane (2012); Acharya et al. (2014); Corbet &amp; Twomey (2015)</w:t>
            </w:r>
          </w:p>
        </w:tc>
        <w:tc>
          <w:tcPr>
            <w:tcW w:type="dxa" w:w="2154"/>
          </w:tcPr>
          <w:p>
            <w:r>
              <w:rPr>
                <w:sz w:val="17"/>
              </w:rPr>
              <w:t>Euro/domestic shares highest</w:t>
            </w:r>
          </w:p>
        </w:tc>
        <w:tc>
          <w:tcPr>
            <w:tcW w:type="dxa" w:w="2381"/>
          </w:tcPr>
          <w:p>
            <w:r>
              <w:rPr>
                <w:sz w:val="17"/>
              </w:rPr>
              <w:t>US share as high as in the GFC</w:t>
            </w:r>
          </w:p>
        </w:tc>
      </w:tr>
      <w:tr>
        <w:tc>
          <w:tcPr>
            <w:tcW w:type="dxa" w:w="2494"/>
          </w:tcPr>
          <w:p>
            <w:r>
              <w:rPr>
                <w:sz w:val="17"/>
              </w:rPr>
              <w:t>H2c COVID: all three channels rise together</w:t>
            </w:r>
          </w:p>
        </w:tc>
        <w:tc>
          <w:tcPr>
            <w:tcW w:type="dxa" w:w="2608"/>
          </w:tcPr>
          <w:p>
            <w:r>
              <w:rPr>
                <w:sz w:val="17"/>
              </w:rPr>
              <w:t>Baker et al. (2020); Akhtaruzzaman et al. (2021)</w:t>
            </w:r>
          </w:p>
        </w:tc>
        <w:tc>
          <w:tcPr>
            <w:tcW w:type="dxa" w:w="2154"/>
          </w:tcPr>
          <w:p>
            <w:r>
              <w:rPr>
                <w:sz w:val="17"/>
              </w:rPr>
              <w:t>Broad, simultaneous increase</w:t>
            </w:r>
          </w:p>
        </w:tc>
        <w:tc>
          <w:tcPr>
            <w:tcW w:type="dxa" w:w="2381"/>
          </w:tcPr>
          <w:p>
            <w:r>
              <w:rPr>
                <w:sz w:val="17"/>
              </w:rPr>
              <w:t>One channel dominates</w:t>
            </w:r>
          </w:p>
        </w:tc>
      </w:tr>
      <w:tr>
        <w:tc>
          <w:tcPr>
            <w:tcW w:type="dxa" w:w="2494"/>
          </w:tcPr>
          <w:p>
            <w:r>
              <w:rPr>
                <w:sz w:val="17"/>
              </w:rPr>
              <w:t>H2d Brexit (FTSE robustness run): UK channel rises</w:t>
            </w:r>
          </w:p>
        </w:tc>
        <w:tc>
          <w:tcPr>
            <w:tcW w:type="dxa" w:w="2608"/>
          </w:tcPr>
          <w:p>
            <w:r>
              <w:rPr>
                <w:sz w:val="17"/>
              </w:rPr>
              <w:t>Twomey (1998); Kearney (1998). Competing: Li (2020)</w:t>
            </w:r>
          </w:p>
        </w:tc>
        <w:tc>
          <w:tcPr>
            <w:tcW w:type="dxa" w:w="2154"/>
          </w:tcPr>
          <w:p>
            <w:r>
              <w:rPr>
                <w:sz w:val="17"/>
              </w:rPr>
              <w:t>UK share above calm</w:t>
            </w:r>
          </w:p>
        </w:tc>
        <w:tc>
          <w:tcPr>
            <w:tcW w:type="dxa" w:w="2381"/>
          </w:tcPr>
          <w:p>
            <w:r>
              <w:rPr>
                <w:sz w:val="17"/>
              </w:rPr>
              <w:t>No UK rise (consistent with Li 2020)</w:t>
            </w:r>
          </w:p>
        </w:tc>
      </w:tr>
      <w:tr>
        <w:tc>
          <w:tcPr>
            <w:tcW w:type="dxa" w:w="2494"/>
          </w:tcPr>
          <w:p>
            <w:r>
              <w:rPr>
                <w:sz w:val="17"/>
              </w:rPr>
              <w:t>H2e 2022 shock: euro channel rises</w:t>
            </w:r>
          </w:p>
        </w:tc>
        <w:tc>
          <w:tcPr>
            <w:tcW w:type="dxa" w:w="2608"/>
          </w:tcPr>
          <w:p>
            <w:r>
              <w:rPr>
                <w:sz w:val="17"/>
              </w:rPr>
              <w:t>Boungou &amp; Yatié (2022)</w:t>
            </w:r>
          </w:p>
        </w:tc>
        <w:tc>
          <w:tcPr>
            <w:tcW w:type="dxa" w:w="2154"/>
          </w:tcPr>
          <w:p>
            <w:r>
              <w:rPr>
                <w:sz w:val="17"/>
              </w:rPr>
              <w:t>Euro share above calm</w:t>
            </w:r>
          </w:p>
        </w:tc>
        <w:tc>
          <w:tcPr>
            <w:tcW w:type="dxa" w:w="2381"/>
          </w:tcPr>
          <w:p>
            <w:r>
              <w:rPr>
                <w:sz w:val="17"/>
              </w:rPr>
              <w:t>US channel dominates</w:t>
            </w:r>
          </w:p>
        </w:tc>
      </w:tr>
      <w:tr>
        <w:tc>
          <w:tcPr>
            <w:tcW w:type="dxa" w:w="2494"/>
          </w:tcPr>
          <w:p>
            <w:r>
              <w:rPr>
                <w:sz w:val="17"/>
              </w:rPr>
              <w:t>H3 (RQ3): frozen GFC model degrades most; Irish debt-crisis model least; COVID in between</w:t>
            </w:r>
          </w:p>
        </w:tc>
        <w:tc>
          <w:tcPr>
            <w:tcW w:type="dxa" w:w="2608"/>
          </w:tcPr>
          <w:p>
            <w:r>
              <w:rPr>
                <w:sz w:val="17"/>
              </w:rPr>
              <w:t>Minsky (1992); Kindleberger &amp; Aliber (2015); Reinhart &amp; Rogoff (2009)</w:t>
            </w:r>
          </w:p>
        </w:tc>
        <w:tc>
          <w:tcPr>
            <w:tcW w:type="dxa" w:w="2154"/>
          </w:tcPr>
          <w:p>
            <w:r>
              <w:rPr>
                <w:sz w:val="17"/>
              </w:rPr>
              <w:t>Ranking of QLIKE ratios as stated</w:t>
            </w:r>
          </w:p>
        </w:tc>
        <w:tc>
          <w:tcPr>
            <w:tcW w:type="dxa" w:w="2381"/>
          </w:tcPr>
          <w:p>
            <w:r>
              <w:rPr>
                <w:sz w:val="17"/>
              </w:rPr>
              <w:t>Different ranking</w:t>
            </w:r>
          </w:p>
        </w:tc>
      </w:tr>
      <w:tr>
        <w:tc>
          <w:tcPr>
            <w:tcW w:type="dxa" w:w="2494"/>
          </w:tcPr>
          <w:p>
            <w:r>
              <w:rPr>
                <w:sz w:val="17"/>
              </w:rPr>
              <w:t>H4 (RQ4): channel rankings stable across 5 seeds (mean Spearman ≥ 0.8)</w:t>
            </w:r>
          </w:p>
        </w:tc>
        <w:tc>
          <w:tcPr>
            <w:tcW w:type="dxa" w:w="2608"/>
          </w:tcPr>
          <w:p>
            <w:r>
              <w:rPr>
                <w:sz w:val="17"/>
              </w:rPr>
              <w:t>Kumar et al. (2020); Aas et al. (2021)</w:t>
            </w:r>
          </w:p>
        </w:tc>
        <w:tc>
          <w:tcPr>
            <w:tcW w:type="dxa" w:w="2154"/>
          </w:tcPr>
          <w:p>
            <w:r>
              <w:rPr>
                <w:sz w:val="17"/>
              </w:rPr>
              <w:t>Stable rankings</w:t>
            </w:r>
          </w:p>
        </w:tc>
        <w:tc>
          <w:tcPr>
            <w:tcW w:type="dxa" w:w="2381"/>
          </w:tcPr>
          <w:p>
            <w:r>
              <w:rPr>
                <w:sz w:val="17"/>
              </w:rPr>
              <w:t>Rankings change with the seed</w:t>
            </w:r>
          </w:p>
        </w:tc>
      </w:tr>
    </w:tbl>
    <w:p>
      <w:pPr>
        <w:spacing w:after="40"/>
      </w:pPr>
    </w:p>
    <w:p>
      <w:pPr>
        <w:pStyle w:val="Heading1"/>
      </w:pPr>
      <w:r>
        <w:rPr>
          <w:color w:val="1F4E79"/>
        </w:rPr>
        <w:t>6. Synthesis matrix — build it as you read</w:t>
      </w:r>
    </w:p>
    <w:p>
      <w:pPr>
        <w:spacing w:after="80"/>
      </w:pPr>
      <w:r>
        <w:rPr>
          <w:i w:val="0"/>
        </w:rPr>
        <w:t>Keep one row per paper in Excel or Zotero notes. Write each section of the chapter from the matrix, grouping rows by theme, never by author. The example rows use facts confirmed online in this session; check them when you read the papers.</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361"/>
            <w:shd w:val="clear" w:color="auto" w:fill="1F4E79"/>
          </w:tcPr>
          <w:p>
            <w:r>
              <w:rPr>
                <w:b/>
                <w:color w:val="FFFFFF"/>
                <w:sz w:val="15"/>
              </w:rPr>
              <w:t>Study</w:t>
            </w:r>
          </w:p>
        </w:tc>
        <w:tc>
          <w:tcPr>
            <w:tcW w:type="dxa" w:w="1587"/>
            <w:shd w:val="clear" w:color="auto" w:fill="1F4E79"/>
          </w:tcPr>
          <w:p>
            <w:r>
              <w:rPr>
                <w:b/>
                <w:color w:val="FFFFFF"/>
                <w:sz w:val="15"/>
              </w:rPr>
              <w:t>Market &amp; period</w:t>
            </w:r>
          </w:p>
        </w:tc>
        <w:tc>
          <w:tcPr>
            <w:tcW w:type="dxa" w:w="907"/>
            <w:shd w:val="clear" w:color="auto" w:fill="1F4E79"/>
          </w:tcPr>
          <w:p>
            <w:r>
              <w:rPr>
                <w:b/>
                <w:color w:val="FFFFFF"/>
                <w:sz w:val="15"/>
              </w:rPr>
              <w:t>Crisis</w:t>
            </w:r>
          </w:p>
        </w:tc>
        <w:tc>
          <w:tcPr>
            <w:tcW w:type="dxa" w:w="1361"/>
            <w:shd w:val="clear" w:color="auto" w:fill="1F4E79"/>
          </w:tcPr>
          <w:p>
            <w:r>
              <w:rPr>
                <w:b/>
                <w:color w:val="FFFFFF"/>
                <w:sz w:val="15"/>
              </w:rPr>
              <w:t>Method</w:t>
            </w:r>
          </w:p>
        </w:tc>
        <w:tc>
          <w:tcPr>
            <w:tcW w:type="dxa" w:w="1928"/>
            <w:shd w:val="clear" w:color="auto" w:fill="1F4E79"/>
          </w:tcPr>
          <w:p>
            <w:r>
              <w:rPr>
                <w:b/>
                <w:color w:val="FFFFFF"/>
                <w:sz w:val="15"/>
              </w:rPr>
              <w:t>Main finding</w:t>
            </w:r>
          </w:p>
        </w:tc>
        <w:tc>
          <w:tcPr>
            <w:tcW w:type="dxa" w:w="1247"/>
            <w:shd w:val="clear" w:color="auto" w:fill="1F4E79"/>
          </w:tcPr>
          <w:p>
            <w:r>
              <w:rPr>
                <w:b/>
                <w:color w:val="FFFFFF"/>
                <w:sz w:val="15"/>
              </w:rPr>
              <w:t>Relevance</w:t>
            </w:r>
          </w:p>
        </w:tc>
        <w:tc>
          <w:tcPr>
            <w:tcW w:type="dxa" w:w="1247"/>
            <w:shd w:val="clear" w:color="auto" w:fill="1F4E79"/>
          </w:tcPr>
          <w:p>
            <w:r>
              <w:rPr>
                <w:b/>
                <w:color w:val="FFFFFF"/>
                <w:sz w:val="15"/>
              </w:rPr>
              <w:t>Limitation</w:t>
            </w:r>
          </w:p>
        </w:tc>
      </w:tr>
      <w:tr>
        <w:tc>
          <w:tcPr>
            <w:tcW w:type="dxa" w:w="1361"/>
          </w:tcPr>
          <w:p>
            <w:r>
              <w:rPr>
                <w:sz w:val="15"/>
              </w:rPr>
              <w:t>Corbet &amp; Twomey (2015)</w:t>
            </w:r>
          </w:p>
        </w:tc>
        <w:tc>
          <w:tcPr>
            <w:tcW w:type="dxa" w:w="1587"/>
          </w:tcPr>
          <w:p>
            <w:r>
              <w:rPr>
                <w:sz w:val="15"/>
              </w:rPr>
              <w:t>Irish &amp; European equities, 2007–10 vs post-troika</w:t>
            </w:r>
          </w:p>
        </w:tc>
        <w:tc>
          <w:tcPr>
            <w:tcW w:type="dxa" w:w="907"/>
          </w:tcPr>
          <w:p>
            <w:r>
              <w:rPr>
                <w:sz w:val="15"/>
              </w:rPr>
              <w:t>Irish crisis</w:t>
            </w:r>
          </w:p>
        </w:tc>
        <w:tc>
          <w:tcPr>
            <w:tcW w:type="dxa" w:w="1361"/>
          </w:tcPr>
          <w:p>
            <w:r>
              <w:rPr>
                <w:sz w:val="15"/>
              </w:rPr>
              <w:t>DCC-GARCH</w:t>
            </w:r>
          </w:p>
        </w:tc>
        <w:tc>
          <w:tcPr>
            <w:tcW w:type="dxa" w:w="1928"/>
          </w:tcPr>
          <w:p>
            <w:r>
              <w:rPr>
                <w:sz w:val="15"/>
              </w:rPr>
              <w:t>Strong Irish–European contagion that eased after troika intervention</w:t>
            </w:r>
          </w:p>
        </w:tc>
        <w:tc>
          <w:tcPr>
            <w:tcW w:type="dxa" w:w="1247"/>
          </w:tcPr>
          <w:p>
            <w:r>
              <w:rPr>
                <w:sz w:val="15"/>
              </w:rPr>
              <w:t>H2b; compare your euro-crisis channel</w:t>
            </w:r>
          </w:p>
        </w:tc>
        <w:tc>
          <w:tcPr>
            <w:tcW w:type="dxa" w:w="1247"/>
          </w:tcPr>
          <w:p>
            <w:r>
              <w:rPr>
                <w:sz w:val="15"/>
              </w:rPr>
              <w:t>Correlation-based; no forecasting</w:t>
            </w:r>
          </w:p>
        </w:tc>
      </w:tr>
      <w:tr>
        <w:tc>
          <w:tcPr>
            <w:tcW w:type="dxa" w:w="1361"/>
          </w:tcPr>
          <w:p>
            <w:r>
              <w:rPr>
                <w:sz w:val="15"/>
              </w:rPr>
              <w:t>Bekaert et al. (2014)</w:t>
            </w:r>
          </w:p>
        </w:tc>
        <w:tc>
          <w:tcPr>
            <w:tcW w:type="dxa" w:w="1587"/>
          </w:tcPr>
          <w:p>
            <w:r>
              <w:rPr>
                <w:sz w:val="15"/>
              </w:rPr>
              <w:t>Country-industry portfolios, 55 countries</w:t>
            </w:r>
          </w:p>
        </w:tc>
        <w:tc>
          <w:tcPr>
            <w:tcW w:type="dxa" w:w="907"/>
          </w:tcPr>
          <w:p>
            <w:r>
              <w:rPr>
                <w:sz w:val="15"/>
              </w:rPr>
              <w:t>GFC</w:t>
            </w:r>
          </w:p>
        </w:tc>
        <w:tc>
          <w:tcPr>
            <w:tcW w:type="dxa" w:w="1361"/>
          </w:tcPr>
          <w:p>
            <w:r>
              <w:rPr>
                <w:sz w:val="15"/>
              </w:rPr>
              <w:t>Factor model</w:t>
            </w:r>
          </w:p>
        </w:tc>
        <w:tc>
          <w:tcPr>
            <w:tcW w:type="dxa" w:w="1928"/>
          </w:tcPr>
          <w:p>
            <w:r>
              <w:rPr>
                <w:sz w:val="15"/>
              </w:rPr>
              <w:t>Contagion from the US small; domestic contagion large where fundamentals weak</w:t>
            </w:r>
          </w:p>
        </w:tc>
        <w:tc>
          <w:tcPr>
            <w:tcW w:type="dxa" w:w="1247"/>
          </w:tcPr>
          <w:p>
            <w:r>
              <w:rPr>
                <w:sz w:val="15"/>
              </w:rPr>
              <w:t>H2a domestic channel</w:t>
            </w:r>
          </w:p>
        </w:tc>
        <w:tc>
          <w:tcPr>
            <w:tcW w:type="dxa" w:w="1247"/>
          </w:tcPr>
          <w:p>
            <w:r>
              <w:rPr>
                <w:sz w:val="15"/>
              </w:rPr>
              <w:t>Check data frequency when reading</w:t>
            </w:r>
          </w:p>
        </w:tc>
      </w:tr>
      <w:tr>
        <w:tc>
          <w:tcPr>
            <w:tcW w:type="dxa" w:w="1361"/>
          </w:tcPr>
          <w:p>
            <w:r>
              <w:rPr>
                <w:sz w:val="15"/>
              </w:rPr>
              <w:t>Bucci (2020)</w:t>
            </w:r>
          </w:p>
        </w:tc>
        <w:tc>
          <w:tcPr>
            <w:tcW w:type="dxa" w:w="1587"/>
          </w:tcPr>
          <w:p>
            <w:r>
              <w:rPr>
                <w:sz w:val="15"/>
              </w:rPr>
              <w:t>S&amp;P 500, monthly, 1950–2017</w:t>
            </w:r>
          </w:p>
        </w:tc>
        <w:tc>
          <w:tcPr>
            <w:tcW w:type="dxa" w:w="907"/>
          </w:tcPr>
          <w:p>
            <w:r>
              <w:rPr>
                <w:sz w:val="15"/>
              </w:rPr>
              <w:t>incl. 2008</w:t>
            </w:r>
          </w:p>
        </w:tc>
        <w:tc>
          <w:tcPr>
            <w:tcW w:type="dxa" w:w="1361"/>
          </w:tcPr>
          <w:p>
            <w:r>
              <w:rPr>
                <w:sz w:val="15"/>
              </w:rPr>
              <w:t>FNN, Elman, Jordan, LSTM vs ARFIMA</w:t>
            </w:r>
          </w:p>
        </w:tc>
        <w:tc>
          <w:tcPr>
            <w:tcW w:type="dxa" w:w="1928"/>
          </w:tcPr>
          <w:p>
            <w:r>
              <w:rPr>
                <w:sz w:val="15"/>
              </w:rPr>
              <w:t>LSTM and NARX best in MSE and QLIKE, also in high volatility</w:t>
            </w:r>
          </w:p>
        </w:tc>
        <w:tc>
          <w:tcPr>
            <w:tcW w:type="dxa" w:w="1247"/>
          </w:tcPr>
          <w:p>
            <w:r>
              <w:rPr>
                <w:sz w:val="15"/>
              </w:rPr>
              <w:t>H1</w:t>
            </w:r>
          </w:p>
        </w:tc>
        <w:tc>
          <w:tcPr>
            <w:tcW w:type="dxa" w:w="1247"/>
          </w:tcPr>
          <w:p>
            <w:r>
              <w:rPr>
                <w:sz w:val="15"/>
              </w:rPr>
              <w:t>US only; monthly; no explanation</w:t>
            </w:r>
          </w:p>
        </w:tc>
      </w:tr>
      <w:tr>
        <w:tc>
          <w:tcPr>
            <w:tcW w:type="dxa" w:w="1361"/>
          </w:tcPr>
          <w:p>
            <w:r>
              <w:rPr>
                <w:sz w:val="15"/>
              </w:rPr>
              <w:t>Li (2020)</w:t>
            </w:r>
          </w:p>
        </w:tc>
        <w:tc>
          <w:tcPr>
            <w:tcW w:type="dxa" w:w="1587"/>
          </w:tcPr>
          <w:p>
            <w:r>
              <w:rPr>
                <w:sz w:val="15"/>
              </w:rPr>
              <w:t>European stock markets, 2016</w:t>
            </w:r>
          </w:p>
        </w:tc>
        <w:tc>
          <w:tcPr>
            <w:tcW w:type="dxa" w:w="907"/>
          </w:tcPr>
          <w:p>
            <w:r>
              <w:rPr>
                <w:sz w:val="15"/>
              </w:rPr>
              <w:t>Brexit</w:t>
            </w:r>
          </w:p>
        </w:tc>
        <w:tc>
          <w:tcPr>
            <w:tcW w:type="dxa" w:w="1361"/>
          </w:tcPr>
          <w:p>
            <w:r>
              <w:rPr>
                <w:sz w:val="15"/>
              </w:rPr>
              <w:t>Time-varying multivariate GARCH; variance decomposition</w:t>
            </w:r>
          </w:p>
        </w:tc>
        <w:tc>
          <w:tcPr>
            <w:tcW w:type="dxa" w:w="1928"/>
          </w:tcPr>
          <w:p>
            <w:r>
              <w:rPr>
                <w:sz w:val="15"/>
              </w:rPr>
              <w:t>UK influence fell during the campaign; co-volatility persisted after the vote</w:t>
            </w:r>
          </w:p>
        </w:tc>
        <w:tc>
          <w:tcPr>
            <w:tcW w:type="dxa" w:w="1247"/>
          </w:tcPr>
          <w:p>
            <w:r>
              <w:rPr>
                <w:sz w:val="15"/>
              </w:rPr>
              <w:t>H2d competing evidence</w:t>
            </w:r>
          </w:p>
        </w:tc>
        <w:tc>
          <w:tcPr>
            <w:tcW w:type="dxa" w:w="1247"/>
          </w:tcPr>
          <w:p>
            <w:r>
              <w:rPr>
                <w:sz w:val="15"/>
              </w:rPr>
              <w:t>Ireland not confirmed in sample</w:t>
            </w:r>
          </w:p>
        </w:tc>
      </w:tr>
      <w:tr>
        <w:tc>
          <w:tcPr>
            <w:tcW w:type="dxa" w:w="1361"/>
          </w:tcPr>
          <w:p>
            <w:r>
              <w:rPr>
                <w:sz w:val="15"/>
              </w:rPr>
              <w:t>(your next paper)</w:t>
            </w:r>
          </w:p>
        </w:tc>
        <w:tc>
          <w:tcPr>
            <w:tcW w:type="dxa" w:w="1587"/>
          </w:tcPr>
          <w:p>
            <w:r>
              <w:rPr>
                <w:sz w:val="15"/>
              </w:rPr>
            </w:r>
          </w:p>
        </w:tc>
        <w:tc>
          <w:tcPr>
            <w:tcW w:type="dxa" w:w="907"/>
          </w:tcPr>
          <w:p>
            <w:r>
              <w:rPr>
                <w:sz w:val="15"/>
              </w:rPr>
            </w:r>
          </w:p>
        </w:tc>
        <w:tc>
          <w:tcPr>
            <w:tcW w:type="dxa" w:w="1361"/>
          </w:tcPr>
          <w:p>
            <w:r>
              <w:rPr>
                <w:sz w:val="15"/>
              </w:rPr>
            </w:r>
          </w:p>
        </w:tc>
        <w:tc>
          <w:tcPr>
            <w:tcW w:type="dxa" w:w="1928"/>
          </w:tcPr>
          <w:p>
            <w:r>
              <w:rPr>
                <w:sz w:val="15"/>
              </w:rPr>
            </w:r>
          </w:p>
        </w:tc>
        <w:tc>
          <w:tcPr>
            <w:tcW w:type="dxa" w:w="1247"/>
          </w:tcPr>
          <w:p>
            <w:r>
              <w:rPr>
                <w:sz w:val="15"/>
              </w:rPr>
            </w:r>
          </w:p>
        </w:tc>
        <w:tc>
          <w:tcPr>
            <w:tcW w:type="dxa" w:w="1247"/>
          </w:tcPr>
          <w:p>
            <w:r>
              <w:rPr>
                <w:sz w:val="15"/>
              </w:rPr>
            </w:r>
          </w:p>
        </w:tc>
      </w:tr>
    </w:tbl>
    <w:p>
      <w:pPr>
        <w:spacing w:after="40"/>
      </w:pPr>
    </w:p>
    <w:p>
      <w:pPr>
        <w:pStyle w:val="Heading1"/>
      </w:pPr>
      <w:r>
        <w:rPr>
          <w:color w:val="1F4E79"/>
        </w:rPr>
        <w:t>7. How to write it well</w:t>
      </w:r>
    </w:p>
    <w:p>
      <w:pPr>
        <w:pStyle w:val="ListBullet"/>
        <w:spacing w:after="20"/>
      </w:pPr>
      <w:r>
        <w:rPr>
          <w:b/>
        </w:rPr>
        <w:t xml:space="preserve">Paragraph pattern: </w:t>
      </w:r>
      <w:r>
        <w:t>point → evidence from two or more sources → comparison or critique → what it means for this study. Every paragraph should earn its place by feeding a later hypothesis or design choice.</w:t>
      </w:r>
    </w:p>
    <w:p>
      <w:pPr>
        <w:pStyle w:val="ListBullet"/>
        <w:spacing w:after="20"/>
      </w:pPr>
      <w:r>
        <w:rPr>
          <w:b/>
        </w:rPr>
        <w:t xml:space="preserve">Synthesise, don’t list: </w:t>
      </w:r>
      <w:r>
        <w:t>a common weakness in dissertation drafts is ‘Author A found… Author B found…’. Instead group studies: ‘Studies using correlation-based tests (A; B) find…, whereas factor-model studies (C) find…, because…’.</w:t>
      </w:r>
    </w:p>
    <w:p>
      <w:pPr>
        <w:pStyle w:val="ListBullet"/>
        <w:spacing w:after="20"/>
      </w:pPr>
      <w:r>
        <w:rPr>
          <w:b/>
        </w:rPr>
        <w:t xml:space="preserve">Useful verbs: </w:t>
      </w:r>
      <w:r>
        <w:t>extends, contradicts, qualifies, is consistent with, is limited by, overlooks, reconciles.</w:t>
      </w:r>
    </w:p>
    <w:p>
      <w:pPr>
        <w:pStyle w:val="ListBullet"/>
        <w:spacing w:after="20"/>
      </w:pPr>
      <w:r>
        <w:rPr>
          <w:b/>
        </w:rPr>
        <w:t xml:space="preserve">Primary sources for history: </w:t>
      </w:r>
      <w:r>
        <w:t>use the official Irish reports and journal articles, not newspapers, for claims about the crisis. Newspapers are acceptable only for recent facts (such as the 2023–24 ISEQ exits).</w:t>
      </w:r>
    </w:p>
    <w:p>
      <w:pPr>
        <w:pStyle w:val="ListBullet"/>
        <w:spacing w:after="20"/>
      </w:pPr>
      <w:r>
        <w:rPr>
          <w:b/>
        </w:rPr>
        <w:t xml:space="preserve">Preprints and working papers: </w:t>
      </w:r>
      <w:r>
        <w:t>cite them, but label them (e.g. ‘SSRN preprint’) and never rest a key claim on one alone.</w:t>
      </w:r>
    </w:p>
    <w:p>
      <w:pPr>
        <w:pStyle w:val="ListBullet"/>
        <w:spacing w:after="20"/>
      </w:pPr>
      <w:r>
        <w:rPr>
          <w:b/>
        </w:rPr>
        <w:t xml:space="preserve">Tense: </w:t>
      </w:r>
      <w:r>
        <w:t>past tense for what a study did and found; present tense for what is generally accepted.</w:t>
      </w:r>
    </w:p>
    <w:p>
      <w:pPr>
        <w:pStyle w:val="ListBullet"/>
        <w:spacing w:after="20"/>
      </w:pPr>
      <w:r>
        <w:rPr>
          <w:b/>
        </w:rPr>
        <w:t xml:space="preserve">A summary table of prior studies </w:t>
      </w:r>
      <w:r>
        <w:t>(like the matrix above, condensed) at the end of 2.4 or 2.5 is valued by examiners.</w:t>
      </w:r>
    </w:p>
    <w:p>
      <w:pPr>
        <w:pStyle w:val="ListBullet"/>
        <w:spacing w:after="20"/>
      </w:pPr>
      <w:r>
        <w:rPr>
          <w:b/>
        </w:rPr>
        <w:t xml:space="preserve">Harvard referencing </w:t>
      </w:r>
      <w:r>
        <w:t>throughout, generated from Zotero; check every entry against the source.</w:t>
      </w:r>
    </w:p>
    <w:p>
      <w:pPr>
        <w:pStyle w:val="ListBullet"/>
        <w:spacing w:after="20"/>
      </w:pPr>
      <w:r>
        <w:rPr>
          <w:b/>
        </w:rPr>
        <w:t xml:space="preserve">Your own voice: </w:t>
      </w:r>
      <w:r>
        <w:t>the critical comments and the links to your study are where marks come from. Those must be your own reasoning.</w:t>
      </w:r>
    </w:p>
    <w:p>
      <w:pPr>
        <w:pStyle w:val="Heading1"/>
      </w:pPr>
      <w:r>
        <w:rPr>
          <w:color w:val="1F4E79"/>
        </w:rPr>
        <w:t>8. Reading and writing schedule for Chapter 2</w:t>
      </w:r>
    </w:p>
    <w:tbl>
      <w:tblPr>
        <w:tblStyle w:val="TableGrid"/>
        <w:tblW w:type="auto" w:w="0"/>
        <w:jc w:val="center"/>
        <w:tblLook w:firstColumn="1" w:firstRow="1" w:lastColumn="0" w:lastRow="0" w:noHBand="0" w:noVBand="1" w:val="04A0"/>
      </w:tblPr>
      <w:tblGrid>
        <w:gridCol w:w="3324"/>
        <w:gridCol w:w="3324"/>
        <w:gridCol w:w="3324"/>
      </w:tblGrid>
      <w:tr>
        <w:tc>
          <w:tcPr>
            <w:tcW w:type="dxa" w:w="850"/>
            <w:shd w:val="clear" w:color="auto" w:fill="1F4E79"/>
          </w:tcPr>
          <w:p>
            <w:r>
              <w:rPr>
                <w:b/>
                <w:color w:val="FFFFFF"/>
                <w:sz w:val="17"/>
              </w:rPr>
              <w:t>Week</w:t>
            </w:r>
          </w:p>
        </w:tc>
        <w:tc>
          <w:tcPr>
            <w:tcW w:type="dxa" w:w="5669"/>
            <w:shd w:val="clear" w:color="auto" w:fill="1F4E79"/>
          </w:tcPr>
          <w:p>
            <w:r>
              <w:rPr>
                <w:b/>
                <w:color w:val="FFFFFF"/>
                <w:sz w:val="17"/>
              </w:rPr>
              <w:t>Read (and add to the matrix)</w:t>
            </w:r>
          </w:p>
        </w:tc>
        <w:tc>
          <w:tcPr>
            <w:tcW w:type="dxa" w:w="3118"/>
            <w:shd w:val="clear" w:color="auto" w:fill="1F4E79"/>
          </w:tcPr>
          <w:p>
            <w:r>
              <w:rPr>
                <w:b/>
                <w:color w:val="FFFFFF"/>
                <w:sz w:val="17"/>
              </w:rPr>
              <w:t>Write</w:t>
            </w:r>
          </w:p>
        </w:tc>
      </w:tr>
      <w:tr>
        <w:tc>
          <w:tcPr>
            <w:tcW w:type="dxa" w:w="850"/>
          </w:tcPr>
          <w:p>
            <w:r>
              <w:rPr>
                <w:sz w:val="17"/>
              </w:rPr>
              <w:t>0–1</w:t>
            </w:r>
          </w:p>
        </w:tc>
        <w:tc>
          <w:tcPr>
            <w:tcW w:type="dxa" w:w="5669"/>
          </w:tcPr>
          <w:p>
            <w:r>
              <w:rPr>
                <w:sz w:val="17"/>
              </w:rPr>
              <w:t>Reinhart &amp; Rogoff (ch.1); Minsky (1992); Fama (1970); Cont (2001); Kelly (2009)</w:t>
            </w:r>
          </w:p>
        </w:tc>
        <w:tc>
          <w:tcPr>
            <w:tcW w:type="dxa" w:w="3118"/>
          </w:tcPr>
          <w:p>
            <w:r>
              <w:rPr>
                <w:sz w:val="17"/>
              </w:rPr>
              <w:t>Notes for 2.2</w:t>
            </w:r>
          </w:p>
        </w:tc>
      </w:tr>
      <w:tr>
        <w:tc>
          <w:tcPr>
            <w:tcW w:type="dxa" w:w="850"/>
          </w:tcPr>
          <w:p>
            <w:r>
              <w:rPr>
                <w:sz w:val="17"/>
              </w:rPr>
              <w:t>1–2</w:t>
            </w:r>
          </w:p>
        </w:tc>
        <w:tc>
          <w:tcPr>
            <w:tcW w:type="dxa" w:w="5669"/>
          </w:tcPr>
          <w:p>
            <w:r>
              <w:rPr>
                <w:sz w:val="17"/>
              </w:rPr>
              <w:t>Honohan (2010); Lane (2012); Whelan (2014); Acharya et al. (2014); Bekaert et al. (2014); Corbet &amp; Twomey (2015)</w:t>
            </w:r>
          </w:p>
        </w:tc>
        <w:tc>
          <w:tcPr>
            <w:tcW w:type="dxa" w:w="3118"/>
          </w:tcPr>
          <w:p>
            <w:r>
              <w:rPr>
                <w:sz w:val="17"/>
              </w:rPr>
              <w:t>Notes for 2.3; crisis comparison table</w:t>
            </w:r>
          </w:p>
        </w:tc>
      </w:tr>
      <w:tr>
        <w:tc>
          <w:tcPr>
            <w:tcW w:type="dxa" w:w="850"/>
          </w:tcPr>
          <w:p>
            <w:r>
              <w:rPr>
                <w:sz w:val="17"/>
              </w:rPr>
              <w:t>2–3</w:t>
            </w:r>
          </w:p>
        </w:tc>
        <w:tc>
          <w:tcPr>
            <w:tcW w:type="dxa" w:w="5669"/>
          </w:tcPr>
          <w:p>
            <w:r>
              <w:rPr>
                <w:sz w:val="17"/>
              </w:rPr>
              <w:t>Forbes &amp; Rigobon (2002); Hamao et al. (1990); Engle, Ito &amp; Lin (1990); Kearney (1998, 2000); Sahiner (2023)</w:t>
            </w:r>
          </w:p>
        </w:tc>
        <w:tc>
          <w:tcPr>
            <w:tcW w:type="dxa" w:w="3118"/>
          </w:tcPr>
          <w:p>
            <w:r>
              <w:rPr>
                <w:sz w:val="17"/>
              </w:rPr>
              <w:t>Notes for 2.4</w:t>
            </w:r>
          </w:p>
        </w:tc>
      </w:tr>
      <w:tr>
        <w:tc>
          <w:tcPr>
            <w:tcW w:type="dxa" w:w="850"/>
          </w:tcPr>
          <w:p>
            <w:r>
              <w:rPr>
                <w:sz w:val="17"/>
              </w:rPr>
              <w:t>3–4</w:t>
            </w:r>
          </w:p>
        </w:tc>
        <w:tc>
          <w:tcPr>
            <w:tcW w:type="dxa" w:w="5669"/>
          </w:tcPr>
          <w:p>
            <w:r>
              <w:rPr>
                <w:sz w:val="17"/>
              </w:rPr>
              <w:t>Hansen &amp; Lunde (2005); Corsi (2009); Patton (2011); Bucci (2020); Christensen et al. (2023)</w:t>
            </w:r>
          </w:p>
        </w:tc>
        <w:tc>
          <w:tcPr>
            <w:tcW w:type="dxa" w:w="3118"/>
          </w:tcPr>
          <w:p>
            <w:r>
              <w:rPr>
                <w:sz w:val="17"/>
              </w:rPr>
              <w:t>Notes for 2.5</w:t>
            </w:r>
          </w:p>
        </w:tc>
      </w:tr>
      <w:tr>
        <w:tc>
          <w:tcPr>
            <w:tcW w:type="dxa" w:w="850"/>
          </w:tcPr>
          <w:p>
            <w:r>
              <w:rPr>
                <w:sz w:val="17"/>
              </w:rPr>
              <w:t>4–5</w:t>
            </w:r>
          </w:p>
        </w:tc>
        <w:tc>
          <w:tcPr>
            <w:tcW w:type="dxa" w:w="5669"/>
          </w:tcPr>
          <w:p>
            <w:r>
              <w:rPr>
                <w:sz w:val="17"/>
              </w:rPr>
              <w:t>Lundberg &amp; Lee (2017); Erion et al. (2021); Aas et al. (2021); Kumar et al. (2020); Rudin (2019)</w:t>
            </w:r>
          </w:p>
        </w:tc>
        <w:tc>
          <w:tcPr>
            <w:tcW w:type="dxa" w:w="3118"/>
          </w:tcPr>
          <w:p>
            <w:r>
              <w:rPr>
                <w:sz w:val="17"/>
              </w:rPr>
              <w:t>Draft 2.2–2.4 (also feeds your Hardiman research statement)</w:t>
            </w:r>
          </w:p>
        </w:tc>
      </w:tr>
      <w:tr>
        <w:tc>
          <w:tcPr>
            <w:tcW w:type="dxa" w:w="850"/>
          </w:tcPr>
          <w:p>
            <w:r>
              <w:rPr>
                <w:sz w:val="17"/>
              </w:rPr>
              <w:t>6–8</w:t>
            </w:r>
          </w:p>
        </w:tc>
        <w:tc>
          <w:tcPr>
            <w:tcW w:type="dxa" w:w="5669"/>
          </w:tcPr>
          <w:p>
            <w:r>
              <w:rPr>
                <w:sz w:val="17"/>
              </w:rPr>
              <w:t>COVID, Brexit and 2022 papers; anything found by chaining</w:t>
            </w:r>
          </w:p>
        </w:tc>
        <w:tc>
          <w:tcPr>
            <w:tcW w:type="dxa" w:w="3118"/>
          </w:tcPr>
          <w:p>
            <w:r>
              <w:rPr>
                <w:sz w:val="17"/>
              </w:rPr>
              <w:t>Draft 2.5–2.7</w:t>
            </w:r>
          </w:p>
        </w:tc>
      </w:tr>
      <w:tr>
        <w:tc>
          <w:tcPr>
            <w:tcW w:type="dxa" w:w="850"/>
          </w:tcPr>
          <w:p>
            <w:r>
              <w:rPr>
                <w:sz w:val="17"/>
              </w:rPr>
              <w:t>10</w:t>
            </w:r>
          </w:p>
        </w:tc>
        <w:tc>
          <w:tcPr>
            <w:tcW w:type="dxa" w:w="5669"/>
          </w:tcPr>
          <w:p>
            <w:r>
              <w:rPr>
                <w:sz w:val="17"/>
              </w:rPr>
              <w:t>—</w:t>
            </w:r>
          </w:p>
        </w:tc>
        <w:tc>
          <w:tcPr>
            <w:tcW w:type="dxa" w:w="3118"/>
          </w:tcPr>
          <w:p>
            <w:r>
              <w:rPr>
                <w:sz w:val="17"/>
              </w:rPr>
              <w:t>Polish the whole chapter; update the gap with your actual design</w:t>
            </w:r>
          </w:p>
        </w:tc>
      </w:tr>
    </w:tbl>
    <w:p>
      <w:pPr>
        <w:spacing w:after="40"/>
      </w:pPr>
    </w:p>
    <w:p>
      <w:pPr>
        <w:pStyle w:val="Heading1"/>
      </w:pPr>
      <w:r>
        <w:rPr>
          <w:color w:val="1F4E79"/>
        </w:rPr>
        <w:t>9. Reference list for Chapter 2 (grouped by section)</w:t>
      </w:r>
    </w:p>
    <w:p>
      <w:pPr>
        <w:spacing w:after="80"/>
      </w:pPr>
      <w:r>
        <w:rPr>
          <w:i/>
          <w:sz w:val="18"/>
        </w:rPr>
        <w:t>✔ = confirmed online in this session. Unmarked = standard references; confirm volume and pages before citing.</w:t>
      </w:r>
    </w:p>
    <w:p>
      <w:pPr>
        <w:pStyle w:val="Heading3"/>
      </w:pPr>
      <w:r>
        <w:rPr>
          <w:color w:val="1F4E79"/>
        </w:rPr>
        <w:t>2.2 Theory</w:t>
      </w:r>
    </w:p>
    <w:p>
      <w:pPr>
        <w:spacing w:after="40"/>
        <w:ind w:left="454" w:hanging="454"/>
      </w:pPr>
      <w:r>
        <w:rPr>
          <w:sz w:val="19"/>
        </w:rPr>
        <w:t>Cont, R. (2001) Empirical properties of asset returns: stylized facts and statistical issues. Quantitative Finance, 1(2), 223–236.</w:t>
      </w:r>
    </w:p>
    <w:p>
      <w:pPr>
        <w:spacing w:after="40"/>
        <w:ind w:left="454" w:hanging="454"/>
      </w:pPr>
      <w:r>
        <w:rPr>
          <w:sz w:val="19"/>
        </w:rPr>
        <w:t>Fama, E. (1970) Efficient capital markets: a review of theory and empirical work. Journal of Finance, 25(2), 383–417.</w:t>
      </w:r>
    </w:p>
    <w:p>
      <w:pPr>
        <w:spacing w:after="40"/>
        <w:ind w:left="454" w:hanging="454"/>
      </w:pPr>
      <w:r>
        <w:rPr>
          <w:sz w:val="19"/>
        </w:rPr>
        <w:t>Kindleberger, C. and Aliber, R. (2015) Manias, Panics and Crashes. 7th edn. Basingstoke: Palgrave Macmillan.</w:t>
      </w:r>
    </w:p>
    <w:p>
      <w:pPr>
        <w:spacing w:after="40"/>
        <w:ind w:left="454" w:hanging="454"/>
      </w:pPr>
      <w:r>
        <w:rPr>
          <w:sz w:val="19"/>
        </w:rPr>
        <w:t>Minsky, H. (1986) Stabilizing an Unstable Economy. New Haven: Yale University Press.</w:t>
      </w:r>
    </w:p>
    <w:p>
      <w:pPr>
        <w:spacing w:after="40"/>
        <w:ind w:left="454" w:hanging="454"/>
      </w:pPr>
      <w:r>
        <w:rPr>
          <w:sz w:val="19"/>
        </w:rPr>
        <w:t>Minsky, H. (1992) The Financial Instability Hypothesis. Levy Economics Institute Working Paper 74.</w:t>
      </w:r>
    </w:p>
    <w:p>
      <w:pPr>
        <w:spacing w:after="40"/>
        <w:ind w:left="454" w:hanging="454"/>
      </w:pPr>
      <w:r>
        <w:rPr>
          <w:sz w:val="19"/>
        </w:rPr>
        <w:t>Reinhart, C. and Rogoff, K. (2009) This Time Is Different: Eight Centuries of Financial Folly. Princeton: Princeton University Press.</w:t>
      </w:r>
    </w:p>
    <w:p>
      <w:pPr>
        <w:pStyle w:val="Heading3"/>
      </w:pPr>
      <w:r>
        <w:rPr>
          <w:color w:val="1F4E79"/>
        </w:rPr>
        <w:t>2.3 Crises and Ireland</w:t>
      </w:r>
    </w:p>
    <w:p>
      <w:pPr>
        <w:spacing w:after="40"/>
        <w:ind w:left="454" w:hanging="454"/>
      </w:pPr>
      <w:r>
        <w:rPr>
          <w:sz w:val="19"/>
        </w:rPr>
        <w:t>✔ Acharya, V., Drechsler, I. and Schnabl, P. (2014) A Pyrrhic victory? Bank bailouts and sovereign credit risk. Journal of Finance, 69(6), 2689–2739.</w:t>
      </w:r>
    </w:p>
    <w:p>
      <w:pPr>
        <w:spacing w:after="40"/>
        <w:ind w:left="454" w:hanging="454"/>
      </w:pPr>
      <w:r>
        <w:rPr>
          <w:sz w:val="19"/>
        </w:rPr>
        <w:t>✔ Akhtaruzzaman, M., Boubaker, S. and Sensoy, A. (2021) Financial contagion during COVID-19 crisis. Finance Research Letters, 38, 101604.</w:t>
      </w:r>
    </w:p>
    <w:p>
      <w:pPr>
        <w:spacing w:after="40"/>
        <w:ind w:left="454" w:hanging="454"/>
      </w:pPr>
      <w:r>
        <w:rPr>
          <w:sz w:val="19"/>
        </w:rPr>
        <w:t>Baker, S. et al. (2020) The unprecedented stock market reaction to COVID-19. Review of Asset Pricing Studies, 10(4), 742–758.</w:t>
      </w:r>
    </w:p>
    <w:p>
      <w:pPr>
        <w:spacing w:after="40"/>
        <w:ind w:left="454" w:hanging="454"/>
      </w:pPr>
      <w:r>
        <w:rPr>
          <w:sz w:val="19"/>
        </w:rPr>
        <w:t>✔ Bekaert, G., Ehrmann, M., Fratzscher, M. and Mehl, A. (2014) The global crisis and equity market contagion. Journal of Finance, 69(6), 2597–2649.</w:t>
      </w:r>
    </w:p>
    <w:p>
      <w:pPr>
        <w:spacing w:after="40"/>
        <w:ind w:left="454" w:hanging="454"/>
      </w:pPr>
      <w:r>
        <w:rPr>
          <w:sz w:val="19"/>
        </w:rPr>
        <w:t>✔ Boungou, W. and Yatié, A. (2022) The impact of the Ukraine–Russia war on world stock market returns. Economics Letters, 215, 110516.</w:t>
      </w:r>
    </w:p>
    <w:p>
      <w:pPr>
        <w:spacing w:after="40"/>
        <w:ind w:left="454" w:hanging="454"/>
      </w:pPr>
      <w:r>
        <w:rPr>
          <w:sz w:val="19"/>
        </w:rPr>
        <w:t>Brunnermeier, M. (2009) Deciphering the liquidity and credit crunch 2007–2008. Journal of Economic Perspectives, 23(1), 77–100.</w:t>
      </w:r>
    </w:p>
    <w:p>
      <w:pPr>
        <w:spacing w:after="40"/>
        <w:ind w:left="454" w:hanging="454"/>
      </w:pPr>
      <w:r>
        <w:rPr>
          <w:sz w:val="19"/>
        </w:rPr>
        <w:t>✔ Corbet, S. and Twomey, C. (2015) European equity market contagion: an empirical application to Ireland’s sovereign debt crisis. European Financial and Accounting Journal, 2015(3), 15–34.</w:t>
      </w:r>
    </w:p>
    <w:p>
      <w:pPr>
        <w:spacing w:after="40"/>
        <w:ind w:left="454" w:hanging="454"/>
      </w:pPr>
      <w:r>
        <w:rPr>
          <w:sz w:val="19"/>
        </w:rPr>
        <w:t>Honohan, P. (2010) The Irish Banking Crisis: Regulatory and Financial Stability Policy 2003–2008. Dublin: Central Bank of Ireland.</w:t>
      </w:r>
    </w:p>
    <w:p>
      <w:pPr>
        <w:spacing w:after="40"/>
        <w:ind w:left="454" w:hanging="454"/>
      </w:pPr>
      <w:r>
        <w:rPr>
          <w:sz w:val="19"/>
        </w:rPr>
        <w:t>✔ (partial) Kearney, C. (1998) The causes of volatility in a small, internationally integrated stock market: Ireland, July 1975–June 1994. Journal of Financial Research, 21(1). [confirm pages]</w:t>
      </w:r>
    </w:p>
    <w:p>
      <w:pPr>
        <w:spacing w:after="40"/>
        <w:ind w:left="454" w:hanging="454"/>
      </w:pPr>
      <w:r>
        <w:rPr>
          <w:sz w:val="19"/>
        </w:rPr>
        <w:t>✔ Kelly, M. (2009) The Irish credit bubble. UCD Centre for Economic Research Working Paper WP09/32.</w:t>
      </w:r>
    </w:p>
    <w:p>
      <w:pPr>
        <w:spacing w:after="40"/>
        <w:ind w:left="454" w:hanging="454"/>
      </w:pPr>
      <w:r>
        <w:rPr>
          <w:sz w:val="19"/>
        </w:rPr>
        <w:t>Lane, P. (2012) The European sovereign debt crisis. Journal of Economic Perspectives, 26(3), 49–68.</w:t>
      </w:r>
    </w:p>
    <w:p>
      <w:pPr>
        <w:spacing w:after="40"/>
        <w:ind w:left="454" w:hanging="454"/>
      </w:pPr>
      <w:r>
        <w:rPr>
          <w:sz w:val="19"/>
        </w:rPr>
        <w:t>✔ Li, H. (2020) Volatility spillovers across European stock markets under the uncertainty of Brexit. Economic Modelling, 84, 1–12.</w:t>
      </w:r>
    </w:p>
    <w:p>
      <w:pPr>
        <w:spacing w:after="40"/>
        <w:ind w:left="454" w:hanging="454"/>
      </w:pPr>
      <w:r>
        <w:rPr>
          <w:sz w:val="19"/>
        </w:rPr>
        <w:t>Nyberg, P. (2011) Misjudging Risk: Causes of the Systemic Banking Crisis in Ireland. Dublin: Commission of Investigation into the Banking Sector in Ireland.</w:t>
      </w:r>
    </w:p>
    <w:p>
      <w:pPr>
        <w:spacing w:after="40"/>
        <w:ind w:left="454" w:hanging="454"/>
      </w:pPr>
      <w:r>
        <w:rPr>
          <w:sz w:val="19"/>
        </w:rPr>
        <w:t>Regling, K. and Watson, M. (2010) A Preliminary Report on the Sources of Ireland’s Banking Crisis. Dublin: Government Publications.</w:t>
      </w:r>
    </w:p>
    <w:p>
      <w:pPr>
        <w:spacing w:after="40"/>
        <w:ind w:left="454" w:hanging="454"/>
      </w:pPr>
      <w:r>
        <w:rPr>
          <w:sz w:val="19"/>
        </w:rPr>
        <w:t>Tooze, A. (2018) Crashed: How a Decade of Financial Crises Changed the World. London: Allen Lane.</w:t>
      </w:r>
    </w:p>
    <w:p>
      <w:pPr>
        <w:spacing w:after="40"/>
        <w:ind w:left="454" w:hanging="454"/>
      </w:pPr>
      <w:r>
        <w:rPr>
          <w:sz w:val="19"/>
        </w:rPr>
        <w:t>✔ (partial) Twomey, C. (1998) Identifying the source of mean and volatility spillovers in Irish equities: a multivariate GARCH analysis. The Economic and Social Review. [confirm volume and pages]</w:t>
      </w:r>
    </w:p>
    <w:p>
      <w:pPr>
        <w:spacing w:after="40"/>
        <w:ind w:left="454" w:hanging="454"/>
      </w:pPr>
      <w:r>
        <w:rPr>
          <w:sz w:val="19"/>
        </w:rPr>
        <w:t>✔ Whelan, K. (2014) Ireland’s economic crisis: the good, the bad and the ugly. Journal of Macroeconomics, 39(B), 424–440.</w:t>
      </w:r>
    </w:p>
    <w:p>
      <w:pPr>
        <w:pStyle w:val="Heading3"/>
      </w:pPr>
      <w:r>
        <w:rPr>
          <w:color w:val="1F4E79"/>
        </w:rPr>
        <w:t>2.4 Transmission</w:t>
      </w:r>
    </w:p>
    <w:p>
      <w:pPr>
        <w:spacing w:after="40"/>
        <w:ind w:left="454" w:hanging="454"/>
      </w:pPr>
      <w:r>
        <w:rPr>
          <w:sz w:val="19"/>
        </w:rPr>
        <w:t>Bekaert, G., Harvey, C. and Ng, A. (2005) Market integration and contagion. Journal of Business, 78(1), 39–69.</w:t>
      </w:r>
    </w:p>
    <w:p>
      <w:pPr>
        <w:spacing w:after="40"/>
        <w:ind w:left="454" w:hanging="454"/>
      </w:pPr>
      <w:r>
        <w:rPr>
          <w:sz w:val="19"/>
        </w:rPr>
        <w:t>Diebold, F. and Yilmaz, K. (2009) Measuring financial asset return and volatility spillovers. Economic Journal, 119(534), 158–171.</w:t>
      </w:r>
    </w:p>
    <w:p>
      <w:pPr>
        <w:spacing w:after="40"/>
        <w:ind w:left="454" w:hanging="454"/>
      </w:pPr>
      <w:r>
        <w:rPr>
          <w:sz w:val="19"/>
        </w:rPr>
        <w:t>Diebold, F. and Yilmaz, K. (2012) Better to give than to receive. International Journal of Forecasting, 28(1), 57–66.</w:t>
      </w:r>
    </w:p>
    <w:p>
      <w:pPr>
        <w:spacing w:after="40"/>
        <w:ind w:left="454" w:hanging="454"/>
      </w:pPr>
      <w:r>
        <w:rPr>
          <w:sz w:val="19"/>
        </w:rPr>
        <w:t>Dungey, M. et al. (2005) Empirical modelling of contagion: a review of methodologies. Quantitative Finance, 5(1), 9–24.</w:t>
      </w:r>
    </w:p>
    <w:p>
      <w:pPr>
        <w:spacing w:after="40"/>
        <w:ind w:left="454" w:hanging="454"/>
      </w:pPr>
      <w:r>
        <w:rPr>
          <w:sz w:val="19"/>
        </w:rPr>
        <w:t>Engle, R., Ito, T. and Lin, W. (1990) Meteor showers or heat waves? Econometrica, 58(3), 525–542.</w:t>
      </w:r>
    </w:p>
    <w:p>
      <w:pPr>
        <w:spacing w:after="40"/>
        <w:ind w:left="454" w:hanging="454"/>
      </w:pPr>
      <w:r>
        <w:rPr>
          <w:sz w:val="19"/>
        </w:rPr>
        <w:t>Forbes, K. and Rigobon, R. (2002) No contagion, only interdependence. Journal of Finance, 57(5), 2223–2261.</w:t>
      </w:r>
    </w:p>
    <w:p>
      <w:pPr>
        <w:spacing w:after="40"/>
        <w:ind w:left="454" w:hanging="454"/>
      </w:pPr>
      <w:r>
        <w:rPr>
          <w:sz w:val="19"/>
        </w:rPr>
        <w:t>✔ Hamao, Y., Masulis, R. and Ng, V. (1990) Correlations in price changes and volatility across international stock markets. Review of Financial Studies, 3(2), 281–307.</w:t>
      </w:r>
    </w:p>
    <w:p>
      <w:pPr>
        <w:spacing w:after="40"/>
        <w:ind w:left="454" w:hanging="454"/>
      </w:pPr>
      <w:r>
        <w:rPr>
          <w:sz w:val="19"/>
        </w:rPr>
        <w:t>✔ Kearney, C. (2000) The determination and international transmission of stock market volatility. Global Finance Journal, 11, 31–52.</w:t>
      </w:r>
    </w:p>
    <w:p>
      <w:pPr>
        <w:spacing w:after="40"/>
        <w:ind w:left="454" w:hanging="454"/>
      </w:pPr>
      <w:r>
        <w:rPr>
          <w:sz w:val="19"/>
        </w:rPr>
        <w:t>King, M. and Wadhwani, S. (1990) Transmission of volatility between stock markets. Review of Financial Studies, 3(1), 5–33.</w:t>
      </w:r>
    </w:p>
    <w:p>
      <w:pPr>
        <w:spacing w:after="40"/>
        <w:ind w:left="454" w:hanging="454"/>
      </w:pPr>
      <w:r>
        <w:rPr>
          <w:sz w:val="19"/>
        </w:rPr>
        <w:t>Pericoli, M. and Sbracia, M. (2003) A primer on financial contagion. Journal of Economic Surveys, 17(4), 571–608.</w:t>
      </w:r>
    </w:p>
    <w:p>
      <w:pPr>
        <w:spacing w:after="40"/>
        <w:ind w:left="454" w:hanging="454"/>
      </w:pPr>
      <w:r>
        <w:rPr>
          <w:sz w:val="19"/>
        </w:rPr>
        <w:t>✔ Sahiner, M. (2023) Volatility spillovers and contagion during major crises: an early warning approach based on a deep learning model. Computational Economics. doi:10.1007/s10614-023-10412-4.</w:t>
      </w:r>
    </w:p>
    <w:p>
      <w:pPr>
        <w:pStyle w:val="Heading3"/>
      </w:pPr>
      <w:r>
        <w:rPr>
          <w:color w:val="1F4E79"/>
        </w:rPr>
        <w:t>2.5 Forecasting</w:t>
      </w:r>
    </w:p>
    <w:p>
      <w:pPr>
        <w:spacing w:after="40"/>
        <w:ind w:left="454" w:hanging="454"/>
      </w:pPr>
      <w:r>
        <w:rPr>
          <w:sz w:val="19"/>
        </w:rPr>
        <w:t>Andersen, T. and Bollerslev, T. (1998) Answering the skeptics. International Economic Review, 39(4), 885–905.</w:t>
      </w:r>
    </w:p>
    <w:p>
      <w:pPr>
        <w:spacing w:after="40"/>
        <w:ind w:left="454" w:hanging="454"/>
      </w:pPr>
      <w:r>
        <w:rPr>
          <w:sz w:val="19"/>
        </w:rPr>
        <w:t>Andersen, T., Bollerslev, T., Diebold, F. and Labys, P. (2003) Modeling and forecasting realized volatility. Econometrica, 71(2), 579–625.</w:t>
      </w:r>
    </w:p>
    <w:p>
      <w:pPr>
        <w:spacing w:after="40"/>
        <w:ind w:left="454" w:hanging="454"/>
      </w:pPr>
      <w:r>
        <w:rPr>
          <w:sz w:val="19"/>
        </w:rPr>
        <w:t>Bergmeir, C. and Benítez, J. (2012) On the use of cross-validation for time series predictor evaluation. Information Sciences, 191, 192–213.</w:t>
      </w:r>
    </w:p>
    <w:p>
      <w:pPr>
        <w:spacing w:after="40"/>
        <w:ind w:left="454" w:hanging="454"/>
      </w:pPr>
      <w:r>
        <w:rPr>
          <w:sz w:val="19"/>
        </w:rPr>
        <w:t>Bollerslev, T. (1986) Generalized autoregressive conditional heteroskedasticity. Journal of Econometrics, 31(3), 307–327.</w:t>
      </w:r>
    </w:p>
    <w:p>
      <w:pPr>
        <w:spacing w:after="40"/>
        <w:ind w:left="454" w:hanging="454"/>
      </w:pPr>
      <w:r>
        <w:rPr>
          <w:sz w:val="19"/>
        </w:rPr>
        <w:t>✔ Bucci, A. (2020) Realized volatility forecasting with neural networks. Journal of Financial Econometrics, 18(3), 502–531.</w:t>
      </w:r>
    </w:p>
    <w:p>
      <w:pPr>
        <w:spacing w:after="40"/>
        <w:ind w:left="454" w:hanging="454"/>
      </w:pPr>
      <w:r>
        <w:rPr>
          <w:sz w:val="19"/>
        </w:rPr>
        <w:t>✔ Christensen, K., Siggaard, M. and Veliyev, B. (2023) A machine learning approach to volatility forecasting. Journal of Financial Econometrics, 21(5), 1680–1727.</w:t>
      </w:r>
    </w:p>
    <w:p>
      <w:pPr>
        <w:spacing w:after="40"/>
        <w:ind w:left="454" w:hanging="454"/>
      </w:pPr>
      <w:r>
        <w:rPr>
          <w:sz w:val="19"/>
        </w:rPr>
        <w:t>Corsi, F. (2009) A simple approximate long-memory model of realized volatility. Journal of Financial Econometrics, 7(2), 174–196.</w:t>
      </w:r>
    </w:p>
    <w:p>
      <w:pPr>
        <w:spacing w:after="40"/>
        <w:ind w:left="454" w:hanging="454"/>
      </w:pPr>
      <w:r>
        <w:rPr>
          <w:sz w:val="19"/>
        </w:rPr>
        <w:t>Diebold, F. and Mariano, R. (1995) Comparing predictive accuracy. Journal of Business &amp; Economic Statistics, 13(3), 253–263.</w:t>
      </w:r>
    </w:p>
    <w:p>
      <w:pPr>
        <w:spacing w:after="40"/>
        <w:ind w:left="454" w:hanging="454"/>
      </w:pPr>
      <w:r>
        <w:rPr>
          <w:sz w:val="19"/>
        </w:rPr>
        <w:t>Engle, R. (1982) Autoregressive conditional heteroscedasticity with estimates of the variance of United Kingdom inflation. Econometrica, 50(4), 987–1007.</w:t>
      </w:r>
    </w:p>
    <w:p>
      <w:pPr>
        <w:spacing w:after="40"/>
        <w:ind w:left="454" w:hanging="454"/>
      </w:pPr>
      <w:r>
        <w:rPr>
          <w:sz w:val="19"/>
        </w:rPr>
        <w:t>Fischer, T. and Krauss, C. (2018) Deep learning with long short-term memory networks for financial market predictions. European Journal of Operational Research, 270(2), 654–669.</w:t>
      </w:r>
    </w:p>
    <w:p>
      <w:pPr>
        <w:spacing w:after="40"/>
        <w:ind w:left="454" w:hanging="454"/>
      </w:pPr>
      <w:r>
        <w:rPr>
          <w:sz w:val="19"/>
        </w:rPr>
        <w:t>Garman, M. and Klass, M. (1980) On the estimation of security price volatilities from historical data. Journal of Business, 53(1), 67–78.</w:t>
      </w:r>
    </w:p>
    <w:p>
      <w:pPr>
        <w:spacing w:after="40"/>
        <w:ind w:left="454" w:hanging="454"/>
      </w:pPr>
      <w:r>
        <w:rPr>
          <w:sz w:val="19"/>
        </w:rPr>
        <w:t>Hansen, P. and Lunde, A. (2005) A forecast comparison of volatility models: does anything beat a GARCH(1,1)? Journal of Applied Econometrics, 20(7), 873–889.</w:t>
      </w:r>
    </w:p>
    <w:p>
      <w:pPr>
        <w:spacing w:after="40"/>
        <w:ind w:left="454" w:hanging="454"/>
      </w:pPr>
      <w:r>
        <w:rPr>
          <w:sz w:val="19"/>
        </w:rPr>
        <w:t>Harvey, D., Leybourne, S. and Newbold, P. (1997) Testing the equality of prediction mean squared errors. International Journal of Forecasting, 13(2), 281–291.</w:t>
      </w:r>
    </w:p>
    <w:p>
      <w:pPr>
        <w:spacing w:after="40"/>
        <w:ind w:left="454" w:hanging="454"/>
      </w:pPr>
      <w:r>
        <w:rPr>
          <w:sz w:val="19"/>
        </w:rPr>
        <w:t>Hochreiter, S. and Schmidhuber, J. (1997) Long short-term memory. Neural Computation, 9(8), 1735–1780.</w:t>
      </w:r>
    </w:p>
    <w:p>
      <w:pPr>
        <w:spacing w:after="40"/>
        <w:ind w:left="454" w:hanging="454"/>
      </w:pPr>
      <w:r>
        <w:rPr>
          <w:sz w:val="19"/>
        </w:rPr>
        <w:t>Kim, H. and Won, C. (2018) Forecasting the volatility of stock price index: a hybrid model integrating LSTM with multiple GARCH-type models. Expert Systems with Applications, 103, 25–37.</w:t>
      </w:r>
    </w:p>
    <w:p>
      <w:pPr>
        <w:spacing w:after="40"/>
        <w:ind w:left="454" w:hanging="454"/>
      </w:pPr>
      <w:r>
        <w:rPr>
          <w:sz w:val="19"/>
        </w:rPr>
        <w:t>Parkinson, M. (1980) The extreme value method for estimating the variance of the rate of return. Journal of Business, 53(1), 61–65.</w:t>
      </w:r>
    </w:p>
    <w:p>
      <w:pPr>
        <w:spacing w:after="40"/>
        <w:ind w:left="454" w:hanging="454"/>
      </w:pPr>
      <w:r>
        <w:rPr>
          <w:sz w:val="19"/>
        </w:rPr>
        <w:t>✔ Patton, A. (2011) Volatility forecast comparison using imperfect volatility proxies. Journal of Econometrics, 160(1), 246–256.</w:t>
      </w:r>
    </w:p>
    <w:p>
      <w:pPr>
        <w:pStyle w:val="Heading3"/>
      </w:pPr>
      <w:r>
        <w:rPr>
          <w:color w:val="1F4E79"/>
        </w:rPr>
        <w:t>2.6 Explainability</w:t>
      </w:r>
    </w:p>
    <w:p>
      <w:pPr>
        <w:spacing w:after="40"/>
        <w:ind w:left="454" w:hanging="454"/>
      </w:pPr>
      <w:r>
        <w:rPr>
          <w:sz w:val="19"/>
        </w:rPr>
        <w:t>Aas, K., Jullum, M. and Løland, A. (2021) Explaining individual predictions when features are dependent. Artificial Intelligence, 298, 103502.</w:t>
      </w:r>
    </w:p>
    <w:p>
      <w:pPr>
        <w:spacing w:after="40"/>
        <w:ind w:left="454" w:hanging="454"/>
      </w:pPr>
      <w:r>
        <w:rPr>
          <w:sz w:val="19"/>
        </w:rPr>
        <w:t>✔ Ahmed, A. (2026) Explainable deep learning for financial volatility forecasting: an LSTM-Attention-SHAP framework with comprehensive validation. SSRN preprint 6301119.</w:t>
      </w:r>
    </w:p>
    <w:p>
      <w:pPr>
        <w:spacing w:after="40"/>
        <w:ind w:left="454" w:hanging="454"/>
      </w:pPr>
      <w:r>
        <w:rPr>
          <w:sz w:val="19"/>
        </w:rPr>
        <w:t>Erion, G. et al. (2021) Improving performance of deep learning models with axiomatic attribution priors and expected gradients. Nature Machine Intelligence, 3, 620–631.</w:t>
      </w:r>
    </w:p>
    <w:p>
      <w:pPr>
        <w:spacing w:after="40"/>
        <w:ind w:left="454" w:hanging="454"/>
      </w:pPr>
      <w:r>
        <w:rPr>
          <w:sz w:val="19"/>
        </w:rPr>
        <w:t>Kumar, I. et al. (2020) Problems with Shapley-value-based explanations as feature importance measures. Proceedings of ICML.</w:t>
      </w:r>
    </w:p>
    <w:p>
      <w:pPr>
        <w:spacing w:after="40"/>
        <w:ind w:left="454" w:hanging="454"/>
      </w:pPr>
      <w:r>
        <w:rPr>
          <w:sz w:val="19"/>
        </w:rPr>
        <w:t>Lundberg, S. and Lee, S.-I. (2017) A unified approach to interpreting model predictions. Advances in Neural Information Processing Systems 30.</w:t>
      </w:r>
    </w:p>
    <w:p>
      <w:pPr>
        <w:spacing w:after="40"/>
        <w:ind w:left="454" w:hanging="454"/>
      </w:pPr>
      <w:r>
        <w:rPr>
          <w:sz w:val="19"/>
        </w:rPr>
        <w:t>Molnar, C. (latest edn) Interpretable Machine Learning. Online book.</w:t>
      </w:r>
    </w:p>
    <w:p>
      <w:pPr>
        <w:spacing w:after="40"/>
        <w:ind w:left="454" w:hanging="454"/>
      </w:pPr>
      <w:r>
        <w:rPr>
          <w:sz w:val="19"/>
        </w:rPr>
        <w:t>Rudin, C. (2019) Stop explaining black box machine learning models for high stakes decisions and use interpretable models instead. Nature Machine Intelligence, 1, 206–215.</w:t>
      </w:r>
    </w:p>
    <w:p>
      <w:pPr>
        <w:spacing w:after="40"/>
        <w:ind w:left="454" w:hanging="454"/>
      </w:pPr>
      <w:r>
        <w:rPr>
          <w:sz w:val="19"/>
        </w:rPr>
        <w:t>Sundararajan, M., Taly, A. and Yan, Q. (2017) Axiomatic attribution for deep networks. Proceedings of ICML.</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