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color w:val="595959"/>
          <w:sz w:val="22"/>
        </w:rPr>
        <w:t>MSc Business Analytics Dissertation — Research Plan &amp; Verification Dossier</w:t>
      </w:r>
    </w:p>
    <w:p>
      <w:r>
        <w:rPr>
          <w:b/>
          <w:color w:val="1F4E79"/>
          <w:sz w:val="52"/>
        </w:rPr>
        <w:t>This Time Is Different?</w:t>
      </w:r>
    </w:p>
    <w:p>
      <w:r>
        <w:rPr>
          <w:color w:val="1F4E79"/>
          <w:sz w:val="30"/>
        </w:rPr>
        <w:t>Explainable Deep Learning of Crisis Transmission into Irish Stock Market Volatility: The Global Financial Crisis, the Irish Sovereign Debt Crisis and COVID-19</w:t>
      </w:r>
    </w:p>
    <w:p>
      <w:pPr>
        <w:spacing w:after="80"/>
      </w:pPr>
      <w:r>
        <w:rPr>
          <w:i/>
        </w:rPr>
        <w:t>Prepared for Shahram · Version 1.4 · 30 September 2026 (status and results added; Amendment A1: two exploratory extensions; corrections) · first version 24 September 2026</w:t>
      </w:r>
    </w:p>
    <w:tbl>
      <w:tblPr>
        <w:tblW w:type="auto" w:w="0"/>
        <w:jc w:val="center"/>
        <w:tblLook w:firstColumn="1" w:firstRow="1" w:lastColumn="0" w:lastRow="0" w:noHBand="0" w:noVBand="1" w:val="04A0"/>
      </w:tblPr>
      <w:tblGrid>
        <w:gridCol w:w="9972"/>
      </w:tblGrid>
      <w:tr>
        <w:tc>
          <w:tcPr>
            <w:tcW w:type="dxa" w:w="9972"/>
            <w:shd w:val="clear" w:color="auto" w:fill="FFF2CC"/>
          </w:tcPr>
          <w:p>
            <w:r>
              <w:rPr>
                <w:b/>
              </w:rPr>
              <w:t xml:space="preserve">Academic integrity: </w:t>
            </w:r>
            <w:r>
              <w:t>This is a planning document: design decisions, checks, reading and learning plan. It is not dissertation text. Write every chapter in your own words, cite every source you use, and declare AI assistance exactly as DBS policy requires (see Section 11).</w:t>
            </w:r>
          </w:p>
        </w:tc>
      </w:tr>
    </w:tbl>
    <w:p>
      <w:pPr>
        <w:spacing w:after="40"/>
      </w:pPr>
    </w:p>
    <w:p>
      <w:pPr>
        <w:pStyle w:val="Heading1"/>
      </w:pPr>
      <w:r>
        <w:rPr>
          <w:color w:val="1F4E79"/>
        </w:rPr>
        <w:t>1. At a glance</w:t>
      </w:r>
    </w:p>
    <w:tbl>
      <w:tblPr>
        <w:tblStyle w:val="TableGrid"/>
        <w:tblW w:type="auto" w:w="0"/>
        <w:jc w:val="center"/>
        <w:tblLook w:firstColumn="1" w:firstRow="1" w:lastColumn="0" w:lastRow="0" w:noHBand="0" w:noVBand="1" w:val="04A0"/>
      </w:tblPr>
      <w:tblGrid>
        <w:gridCol w:w="4986"/>
        <w:gridCol w:w="4986"/>
      </w:tblGrid>
      <w:tr>
        <w:tc>
          <w:tcPr>
            <w:tcW w:type="dxa" w:w="1984"/>
            <w:shd w:val="clear" w:color="auto" w:fill="1F4E79"/>
          </w:tcPr>
          <w:p>
            <w:r>
              <w:rPr>
                <w:b/>
                <w:color w:val="FFFFFF"/>
                <w:sz w:val="17"/>
              </w:rPr>
              <w:t>Item</w:t>
            </w:r>
          </w:p>
        </w:tc>
        <w:tc>
          <w:tcPr>
            <w:tcW w:type="dxa" w:w="7654"/>
            <w:shd w:val="clear" w:color="auto" w:fill="1F4E79"/>
          </w:tcPr>
          <w:p>
            <w:r>
              <w:rPr>
                <w:b/>
                <w:color w:val="FFFFFF"/>
                <w:sz w:val="17"/>
              </w:rPr>
              <w:t>Final decision</w:t>
            </w:r>
          </w:p>
        </w:tc>
      </w:tr>
      <w:tr>
        <w:tc>
          <w:tcPr>
            <w:tcW w:type="dxa" w:w="1984"/>
          </w:tcPr>
          <w:p>
            <w:r>
              <w:rPr>
                <w:sz w:val="17"/>
              </w:rPr>
              <w:t>Title</w:t>
            </w:r>
          </w:p>
        </w:tc>
        <w:tc>
          <w:tcPr>
            <w:tcW w:type="dxa" w:w="7654"/>
          </w:tcPr>
          <w:p>
            <w:r>
              <w:rPr>
                <w:sz w:val="17"/>
              </w:rPr>
              <w:t>This Time Is Different? Explainable Deep Learning of Crisis Transmission into Irish Stock Market Volatility: The Global Financial Crisis, the Irish Sovereign Debt Crisis and COVID-19</w:t>
            </w:r>
          </w:p>
        </w:tc>
      </w:tr>
      <w:tr>
        <w:tc>
          <w:tcPr>
            <w:tcW w:type="dxa" w:w="1984"/>
          </w:tcPr>
          <w:p>
            <w:r>
              <w:rPr>
                <w:sz w:val="17"/>
              </w:rPr>
              <w:t>Main question</w:t>
            </w:r>
          </w:p>
        </w:tc>
        <w:tc>
          <w:tcPr>
            <w:tcW w:type="dxa" w:w="7654"/>
          </w:tcPr>
          <w:p>
            <w:r>
              <w:rPr>
                <w:sz w:val="17"/>
              </w:rPr>
              <w:t>Can an explainable LSTM forecast Irish stock market volatility better than GARCH and HAR, and do its explanations reveal how historically different crises were transmitted to Ireland?</w:t>
            </w:r>
          </w:p>
        </w:tc>
      </w:tr>
      <w:tr>
        <w:tc>
          <w:tcPr>
            <w:tcW w:type="dxa" w:w="1984"/>
          </w:tcPr>
          <w:p>
            <w:r>
              <w:rPr>
                <w:sz w:val="17"/>
              </w:rPr>
              <w:t>Target</w:t>
            </w:r>
          </w:p>
        </w:tc>
        <w:tc>
          <w:tcPr>
            <w:tcW w:type="dxa" w:w="7654"/>
          </w:tcPr>
          <w:p>
            <w:r>
              <w:rPr>
                <w:sz w:val="17"/>
              </w:rPr>
              <w:t>Forward 5-day realised variance of the ISEQ Overall index, from close-to-close returns</w:t>
            </w:r>
          </w:p>
        </w:tc>
      </w:tr>
      <w:tr>
        <w:tc>
          <w:tcPr>
            <w:tcW w:type="dxa" w:w="1984"/>
          </w:tcPr>
          <w:p>
            <w:r>
              <w:rPr>
                <w:sz w:val="17"/>
              </w:rPr>
              <w:t>Inputs</w:t>
            </w:r>
          </w:p>
        </w:tc>
        <w:tc>
          <w:tcPr>
            <w:tcW w:type="dxa" w:w="7654"/>
          </w:tcPr>
          <w:p>
            <w:r>
              <w:rPr>
                <w:sz w:val="17"/>
              </w:rPr>
              <w:t>Three markets = three channels: domestic (ISEQ), United States (S&amp;P 500), euro area (DAX). FTSE 100 replaces DAX in one robustness run only</w:t>
            </w:r>
          </w:p>
        </w:tc>
      </w:tr>
      <w:tr>
        <w:tc>
          <w:tcPr>
            <w:tcW w:type="dxa" w:w="1984"/>
          </w:tcPr>
          <w:p>
            <w:r>
              <w:rPr>
                <w:sz w:val="17"/>
              </w:rPr>
              <w:t>Sample</w:t>
            </w:r>
          </w:p>
        </w:tc>
        <w:tc>
          <w:tcPr>
            <w:tcW w:type="dxa" w:w="7654"/>
          </w:tcPr>
          <w:p>
            <w:r>
              <w:rPr>
                <w:sz w:val="17"/>
              </w:rPr>
              <w:t>January 2003 – August 2023 main sample (5,243 complete trading days); Sept 2023 – Dec 2025 robustness only</w:t>
            </w:r>
          </w:p>
        </w:tc>
      </w:tr>
      <w:tr>
        <w:tc>
          <w:tcPr>
            <w:tcW w:type="dxa" w:w="1984"/>
          </w:tcPr>
          <w:p>
            <w:r>
              <w:rPr>
                <w:sz w:val="17"/>
              </w:rPr>
              <w:t>Crises compared</w:t>
            </w:r>
          </w:p>
        </w:tc>
        <w:tc>
          <w:tcPr>
            <w:tcW w:type="dxa" w:w="7654"/>
          </w:tcPr>
          <w:p>
            <w:r>
              <w:rPr>
                <w:sz w:val="17"/>
              </w:rPr>
              <w:t>GFC (US credit) · Irish sovereign debt crisis (sovereign–bank loop) · COVID-19 (exogenous) + validation: the 2022 war/energy shock (euro channel); Brexit 2016 (UK) in the FTSE robustness run</w:t>
            </w:r>
          </w:p>
        </w:tc>
      </w:tr>
      <w:tr>
        <w:tc>
          <w:tcPr>
            <w:tcW w:type="dxa" w:w="1984"/>
          </w:tcPr>
          <w:p>
            <w:r>
              <w:rPr>
                <w:sz w:val="17"/>
              </w:rPr>
              <w:t>Models</w:t>
            </w:r>
          </w:p>
        </w:tc>
        <w:tc>
          <w:tcPr>
            <w:tcW w:type="dxa" w:w="7654"/>
          </w:tcPr>
          <w:p>
            <w:r>
              <w:rPr>
                <w:sz w:val="17"/>
              </w:rPr>
              <w:t>GARCH(1,1), HAR, LSTM (PyTorch)</w:t>
            </w:r>
          </w:p>
        </w:tc>
      </w:tr>
      <w:tr>
        <w:tc>
          <w:tcPr>
            <w:tcW w:type="dxa" w:w="1984"/>
          </w:tcPr>
          <w:p>
            <w:r>
              <w:rPr>
                <w:sz w:val="17"/>
              </w:rPr>
              <w:t>Tests</w:t>
            </w:r>
          </w:p>
        </w:tc>
        <w:tc>
          <w:tcPr>
            <w:tcW w:type="dxa" w:w="7654"/>
          </w:tcPr>
          <w:p>
            <w:r>
              <w:rPr>
                <w:sz w:val="17"/>
              </w:rPr>
              <w:t>MSE + QLIKE losses; Diebold–Mariano with Harvey–Leybourne–Newbold correction</w:t>
            </w:r>
          </w:p>
        </w:tc>
      </w:tr>
      <w:tr>
        <w:tc>
          <w:tcPr>
            <w:tcW w:type="dxa" w:w="1984"/>
          </w:tcPr>
          <w:p>
            <w:r>
              <w:rPr>
                <w:sz w:val="17"/>
              </w:rPr>
              <w:t>Explainability</w:t>
            </w:r>
          </w:p>
        </w:tc>
        <w:tc>
          <w:tcPr>
            <w:tcW w:type="dxa" w:w="7654"/>
          </w:tcPr>
          <w:p>
            <w:r>
              <w:rPr>
                <w:sz w:val="17"/>
              </w:rPr>
              <w:t>GradientSHAP (Captum), attributions grouped by transmission channel, stability across 5 seeds</w:t>
            </w:r>
          </w:p>
        </w:tc>
      </w:tr>
      <w:tr>
        <w:tc>
          <w:tcPr>
            <w:tcW w:type="dxa" w:w="1984"/>
          </w:tcPr>
          <w:p>
            <w:r>
              <w:rPr>
                <w:sz w:val="17"/>
              </w:rPr>
              <w:t>Original contribution</w:t>
            </w:r>
          </w:p>
        </w:tc>
        <w:tc>
          <w:tcPr>
            <w:tcW w:type="dxa" w:w="7654"/>
          </w:tcPr>
          <w:p>
            <w:r>
              <w:rPr>
                <w:sz w:val="17"/>
              </w:rPr>
              <w:t>(1) SHAP ‘fingerprints’ compared across crises of different origin as falsifiable hypotheses; (2) a ‘learning from history’ test of whether models trained on past crises survive the next one; (3) applied to a small open economy (Ireland)</w:t>
            </w:r>
          </w:p>
        </w:tc>
      </w:tr>
      <w:tr>
        <w:tc>
          <w:tcPr>
            <w:tcW w:type="dxa" w:w="1984"/>
          </w:tcPr>
          <w:p>
            <w:r>
              <w:rPr>
                <w:sz w:val="17"/>
              </w:rPr>
              <w:t>Deferred to PhD</w:t>
            </w:r>
          </w:p>
        </w:tc>
        <w:tc>
          <w:tcPr>
            <w:tcW w:type="dxa" w:w="7654"/>
          </w:tcPr>
          <w:p>
            <w:r>
              <w:rPr>
                <w:sz w:val="17"/>
                <w:b w:val="0"/>
              </w:rPr>
              <w:t xml:space="preserve">Monte Carlo uncertainty (MC Dropout vs GARCH simulation) · time-varying (TVP-VAR) connectedness · Irish bank stocks · Irish sovereign bonds</w:t>
            </w:r>
          </w:p>
        </w:tc>
      </w:tr>
      <w:tr>
        <w:tc>
          <w:tcPr>
            <w:tcW w:type="dxa" w:w="1984"/>
          </w:tcPr>
          <w:p>
            <w:r>
              <w:rPr>
                <w:sz w:val="17"/>
                <w:b w:val="0"/>
              </w:rPr>
              <w:t xml:space="preserve">Exploratory extensions (added 30 Sep 2026)</w:t>
            </w:r>
          </w:p>
        </w:tc>
        <w:tc>
          <w:tcPr>
            <w:tcW w:type="dxa" w:w="7654"/>
          </w:tcPr>
          <w:p>
            <w:r>
              <w:rPr>
                <w:sz w:val="17"/>
                <w:b w:val="0"/>
              </w:rPr>
              <w:t xml:space="preserve">E1 Diebold–Yilmaz spillovers vs SHAP; E2 volatility paradox (Danielsson, Valenzuela &amp; Zer, 2018). Written into PREREGISTRATION.md as Amendment A1 and committed before running; labelled exploratory</w:t>
            </w:r>
          </w:p>
        </w:tc>
      </w:tr>
      <w:tr>
        <w:tc>
          <w:tcPr>
            <w:tcW w:type="dxa" w:w="1984"/>
          </w:tcPr>
          <w:p>
            <w:r>
              <w:rPr>
                <w:sz w:val="17"/>
              </w:rPr>
              <w:t>Status</w:t>
            </w:r>
          </w:p>
        </w:tc>
        <w:tc>
          <w:tcPr>
            <w:tcW w:type="dxa" w:w="7654"/>
          </w:tcPr>
          <w:p>
            <w:r>
              <w:rPr>
                <w:sz w:val="17"/>
                <w:b w:val="0"/>
              </w:rPr>
              <w:t xml:space="preserve">All core steps run (benchmarks, LSTM, evaluation, SHAP). Robustness: Parkinson done; FTSE, look-back 66 and post-2023 still to run. Exploratory E1–E2 done (30 Sep 2026). Results: Section 12; full tables in the README and the Project Handbook.</w:t>
            </w:r>
          </w:p>
        </w:tc>
      </w:tr>
    </w:tbl>
    <w:p>
      <w:pPr>
        <w:spacing w:after="40"/>
      </w:pPr>
    </w:p>
    <w:p>
      <w:pPr>
        <w:pStyle w:val="Heading1"/>
      </w:pPr>
      <w:r>
        <w:rPr>
          <w:color w:val="1F4E79"/>
        </w:rPr>
        <w:t>2. Final title and why</w:t>
      </w:r>
    </w:p>
    <w:p>
      <w:pPr>
        <w:spacing w:after="80"/>
      </w:pPr>
      <w:r>
        <w:rPr>
          <w:b/>
        </w:rPr>
        <w:t xml:space="preserve">Final title: </w:t>
      </w:r>
      <w:r>
        <w:rPr>
          <w:i w:val="0"/>
        </w:rPr>
        <w:t>This Time Is Different? Explainable Deep Learning of Crisis Transmission into Irish Stock Market Volatility: The Global Financial Crisis, the Irish Sovereign Debt Crisis and COVID-19</w:t>
      </w:r>
    </w:p>
    <w:p>
      <w:pPr>
        <w:pStyle w:val="ListBullet"/>
        <w:spacing w:after="20"/>
      </w:pPr>
      <w:r>
        <w:rPr>
          <w:b/>
        </w:rPr>
        <w:t xml:space="preserve">Main title — </w:t>
      </w:r>
      <w:r>
        <w:t>borrows the title of Reinhart &amp; Rogoff (2009), the best-known history of financial crises, as a question. It signals a historical question answered with quantitative methods, which is exactly the contribution (research question 3 tests it directly).</w:t>
      </w:r>
    </w:p>
    <w:p>
      <w:pPr>
        <w:pStyle w:val="ListBullet"/>
        <w:spacing w:after="20"/>
      </w:pPr>
      <w:r>
        <w:rPr>
          <w:b/>
        </w:rPr>
        <w:t xml:space="preserve">‘Explainable Deep Learning’ — </w:t>
      </w:r>
      <w:r>
        <w:t>names the method (LSTM + SHAP) and puts explainability at the centre, in the language of explainable-AI research.</w:t>
      </w:r>
    </w:p>
    <w:p>
      <w:pPr>
        <w:pStyle w:val="ListBullet"/>
        <w:spacing w:after="20"/>
      </w:pPr>
      <w:r>
        <w:rPr>
          <w:b/>
        </w:rPr>
        <w:t xml:space="preserve">‘Crisis Transmission’ — </w:t>
      </w:r>
      <w:r>
        <w:t>the contagion/spillover language of the financial-econometrics literature.</w:t>
      </w:r>
    </w:p>
    <w:p>
      <w:pPr>
        <w:pStyle w:val="ListBullet"/>
        <w:spacing w:after="20"/>
      </w:pPr>
      <w:r>
        <w:rPr>
          <w:b/>
        </w:rPr>
        <w:t xml:space="preserve">‘Irish Stock Market Volatility’ — </w:t>
      </w:r>
      <w:r>
        <w:t>the Irish angle and the volatility-forecasting field.</w:t>
      </w:r>
    </w:p>
    <w:p>
      <w:pPr>
        <w:pStyle w:val="ListBullet"/>
        <w:spacing w:after="20"/>
      </w:pPr>
      <w:r>
        <w:rPr>
          <w:b/>
        </w:rPr>
        <w:t xml:space="preserve">‘The Global Financial Crisis, the Irish Sovereign Debt Crisis and COVID-19’ — </w:t>
      </w:r>
      <w:r>
        <w:t>names the three crises. Putting Ireland’s own crisis in the title makes the Irish angle impossible to miss, and all three fall in the reliable part of the data.</w:t>
      </w:r>
    </w:p>
    <w:p>
      <w:pPr>
        <w:spacing w:after="80"/>
      </w:pPr>
      <w:r>
        <w:rPr>
          <w:i w:val="0"/>
        </w:rPr>
        <w:t>Titles considered and rejected:</w:t>
      </w:r>
    </w:p>
    <w:tbl>
      <w:tblPr>
        <w:tblStyle w:val="TableGrid"/>
        <w:tblW w:type="auto" w:w="0"/>
        <w:jc w:val="center"/>
        <w:tblLook w:firstColumn="1" w:firstRow="1" w:lastColumn="0" w:lastRow="0" w:noHBand="0" w:noVBand="1" w:val="04A0"/>
      </w:tblPr>
      <w:tblGrid>
        <w:gridCol w:w="4986"/>
        <w:gridCol w:w="4986"/>
      </w:tblGrid>
      <w:tr>
        <w:tc>
          <w:tcPr>
            <w:tcW w:type="dxa" w:w="3685"/>
            <w:shd w:val="clear" w:color="auto" w:fill="1F4E79"/>
          </w:tcPr>
          <w:p>
            <w:r>
              <w:rPr>
                <w:b/>
                <w:color w:val="FFFFFF"/>
                <w:sz w:val="17"/>
              </w:rPr>
              <w:t>Alternative</w:t>
            </w:r>
          </w:p>
        </w:tc>
        <w:tc>
          <w:tcPr>
            <w:tcW w:type="dxa" w:w="5953"/>
            <w:shd w:val="clear" w:color="auto" w:fill="1F4E79"/>
          </w:tcPr>
          <w:p>
            <w:r>
              <w:rPr>
                <w:b/>
                <w:color w:val="FFFFFF"/>
                <w:sz w:val="17"/>
              </w:rPr>
              <w:t>Why rejected</w:t>
            </w:r>
          </w:p>
        </w:tc>
      </w:tr>
      <w:tr>
        <w:tc>
          <w:tcPr>
            <w:tcW w:type="dxa" w:w="3685"/>
          </w:tcPr>
          <w:p>
            <w:r>
              <w:rPr>
                <w:sz w:val="17"/>
              </w:rPr>
              <w:t>…from the Dot-com Crash to COVID-19</w:t>
            </w:r>
          </w:p>
        </w:tc>
        <w:tc>
          <w:tcPr>
            <w:tcW w:type="dxa" w:w="5953"/>
          </w:tcPr>
          <w:p>
            <w:r>
              <w:rPr>
                <w:sz w:val="17"/>
              </w:rPr>
              <w:t>Dot-com dropped as an evaluation window (weak Irish signal, too little earlier data).</w:t>
            </w:r>
          </w:p>
        </w:tc>
      </w:tr>
      <w:tr>
        <w:tc>
          <w:tcPr>
            <w:tcW w:type="dxa" w:w="3685"/>
          </w:tcPr>
          <w:p>
            <w:r>
              <w:rPr>
                <w:sz w:val="17"/>
              </w:rPr>
              <w:t>…Uncertainty-Aware, Explainable…</w:t>
            </w:r>
          </w:p>
        </w:tc>
        <w:tc>
          <w:tcPr>
            <w:tcW w:type="dxa" w:w="5953"/>
          </w:tcPr>
          <w:p>
            <w:r>
              <w:rPr>
                <w:sz w:val="17"/>
              </w:rPr>
              <w:t>Monte Carlo uncertainty is deferred to the PhD; do not promise it in the title.</w:t>
            </w:r>
          </w:p>
        </w:tc>
      </w:tr>
      <w:tr>
        <w:tc>
          <w:tcPr>
            <w:tcW w:type="dxa" w:w="3685"/>
          </w:tcPr>
          <w:p>
            <w:r>
              <w:rPr>
                <w:sz w:val="17"/>
              </w:rPr>
              <w:t>Explainability as a Diagnostic for Crisis Transmission…</w:t>
            </w:r>
          </w:p>
        </w:tc>
        <w:tc>
          <w:tcPr>
            <w:tcW w:type="dxa" w:w="5953"/>
          </w:tcPr>
          <w:p>
            <w:r>
              <w:rPr>
                <w:sz w:val="17"/>
              </w:rPr>
              <w:t>Strong, but loses the historical hook; keep as a sentence in the Introduction instead.</w:t>
            </w:r>
          </w:p>
        </w:tc>
      </w:tr>
      <w:tr>
        <w:tc>
          <w:tcPr>
            <w:tcW w:type="dxa" w:w="3685"/>
          </w:tcPr>
          <w:p>
            <w:r>
              <w:rPr>
                <w:sz w:val="17"/>
              </w:rPr>
              <w:t>…Irish Equity Volatility…</w:t>
            </w:r>
          </w:p>
        </w:tc>
        <w:tc>
          <w:tcPr>
            <w:tcW w:type="dxa" w:w="5953"/>
          </w:tcPr>
          <w:p>
            <w:r>
              <w:rPr>
                <w:sz w:val="17"/>
              </w:rPr>
              <w:t>Fine; ‘Stock Market’ is clearer to a general reader. Either is acceptable.</w:t>
            </w:r>
          </w:p>
        </w:tc>
      </w:tr>
    </w:tbl>
    <w:p>
      <w:pPr>
        <w:spacing w:after="40"/>
      </w:pPr>
    </w:p>
    <w:p>
      <w:pPr>
        <w:pStyle w:val="Heading1"/>
      </w:pPr>
      <w:r>
        <w:rPr>
          <w:color w:val="1F4E79"/>
        </w:rPr>
        <w:t>3. Verification log — every claim checked</w:t>
      </w:r>
    </w:p>
    <w:p>
      <w:pPr>
        <w:spacing w:after="80"/>
      </w:pPr>
      <w:r>
        <w:rPr>
          <w:i w:val="0"/>
        </w:rPr>
        <w:t>Status key: VERIFIED = confirmed by data or a primary source in this session · CORRECTED = an earlier claim was wrong and has been fixed · RISK = real problem, mitigation decided · DEFERRED = moved to PhD · CONFIRM = believed correct, you must confirm before citing · NEW = found during checking.</w:t>
      </w:r>
    </w:p>
    <w:p>
      <w:pPr>
        <w:pStyle w:val="Heading2"/>
      </w:pPr>
      <w:r>
        <w:rPr>
          <w:color w:val="1F4E79"/>
        </w:rPr>
        <w:t>3A. Data</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97"/>
            <w:shd w:val="clear" w:color="auto" w:fill="1F4E79"/>
          </w:tcPr>
          <w:p>
            <w:r>
              <w:rPr>
                <w:b/>
                <w:color w:val="FFFFFF"/>
                <w:sz w:val="17"/>
              </w:rPr>
              <w:t>#</w:t>
            </w:r>
          </w:p>
        </w:tc>
        <w:tc>
          <w:tcPr>
            <w:tcW w:type="dxa" w:w="2041"/>
            <w:shd w:val="clear" w:color="auto" w:fill="1F4E79"/>
          </w:tcPr>
          <w:p>
            <w:r>
              <w:rPr>
                <w:b/>
                <w:color w:val="FFFFFF"/>
                <w:sz w:val="17"/>
              </w:rPr>
              <w:t>Claim</w:t>
            </w:r>
          </w:p>
        </w:tc>
        <w:tc>
          <w:tcPr>
            <w:tcW w:type="dxa" w:w="1134"/>
            <w:shd w:val="clear" w:color="auto" w:fill="1F4E79"/>
          </w:tcPr>
          <w:p>
            <w:r>
              <w:rPr>
                <w:b/>
                <w:color w:val="FFFFFF"/>
                <w:sz w:val="17"/>
              </w:rPr>
              <w:t>Status</w:t>
            </w:r>
          </w:p>
        </w:tc>
        <w:tc>
          <w:tcPr>
            <w:tcW w:type="dxa" w:w="3515"/>
            <w:shd w:val="clear" w:color="auto" w:fill="1F4E79"/>
          </w:tcPr>
          <w:p>
            <w:r>
              <w:rPr>
                <w:b/>
                <w:color w:val="FFFFFF"/>
                <w:sz w:val="17"/>
              </w:rPr>
              <w:t>Evidence</w:t>
            </w:r>
          </w:p>
        </w:tc>
        <w:tc>
          <w:tcPr>
            <w:tcW w:type="dxa" w:w="2551"/>
            <w:shd w:val="clear" w:color="auto" w:fill="1F4E79"/>
          </w:tcPr>
          <w:p>
            <w:r>
              <w:rPr>
                <w:b/>
                <w:color w:val="FFFFFF"/>
                <w:sz w:val="17"/>
              </w:rPr>
              <w:t>Action</w:t>
            </w:r>
          </w:p>
        </w:tc>
      </w:tr>
      <w:tr>
        <w:tc>
          <w:tcPr>
            <w:tcW w:type="dxa" w:w="397"/>
          </w:tcPr>
          <w:p>
            <w:r>
              <w:rPr>
                <w:sz w:val="17"/>
              </w:rPr>
              <w:t>1</w:t>
            </w:r>
          </w:p>
        </w:tc>
        <w:tc>
          <w:tcPr>
            <w:tcW w:type="dxa" w:w="2041"/>
          </w:tcPr>
          <w:p>
            <w:r>
              <w:rPr>
                <w:sz w:val="17"/>
              </w:rPr>
              <w:t>Yahoo has daily ISEQ Overall (^ISEQ) back to the 1990s</w:t>
            </w:r>
          </w:p>
        </w:tc>
        <w:tc>
          <w:tcPr>
            <w:tcW w:type="dxa" w:w="1134"/>
            <w:shd w:val="clear" w:color="auto" w:fill="D9EAD3"/>
          </w:tcPr>
          <w:p>
            <w:r>
              <w:rPr>
                <w:b/>
                <w:sz w:val="17"/>
              </w:rPr>
              <w:t>VERIFIED</w:t>
            </w:r>
          </w:p>
        </w:tc>
        <w:tc>
          <w:tcPr>
            <w:tcW w:type="dxa" w:w="3515"/>
          </w:tcPr>
          <w:p>
            <w:r>
              <w:rPr>
                <w:sz w:val="17"/>
              </w:rPr>
              <w:t>Data exist from 1997; the study uses Jan 2003 – Aug 2023: 5,243 complete days</w:t>
            </w:r>
          </w:p>
        </w:tc>
        <w:tc>
          <w:tcPr>
            <w:tcW w:type="dxa" w:w="2551"/>
          </w:tcPr>
          <w:p>
            <w:r>
              <w:rPr>
                <w:sz w:val="17"/>
              </w:rPr>
              <w:t>Use as target</w:t>
            </w:r>
          </w:p>
        </w:tc>
      </w:tr>
      <w:tr>
        <w:tc>
          <w:tcPr>
            <w:tcW w:type="dxa" w:w="397"/>
          </w:tcPr>
          <w:p>
            <w:r>
              <w:rPr>
                <w:sz w:val="17"/>
              </w:rPr>
              <w:t>2</w:t>
            </w:r>
          </w:p>
        </w:tc>
        <w:tc>
          <w:tcPr>
            <w:tcW w:type="dxa" w:w="2041"/>
          </w:tcPr>
          <w:p>
            <w:r>
              <w:rPr>
                <w:sz w:val="17"/>
              </w:rPr>
              <w:t>Feature series cover the sample</w:t>
            </w:r>
          </w:p>
        </w:tc>
        <w:tc>
          <w:tcPr>
            <w:tcW w:type="dxa" w:w="1134"/>
            <w:shd w:val="clear" w:color="auto" w:fill="D9EAD3"/>
          </w:tcPr>
          <w:p>
            <w:r>
              <w:rPr>
                <w:b/>
                <w:sz w:val="17"/>
              </w:rPr>
              <w:t>VERIFIED</w:t>
            </w:r>
          </w:p>
        </w:tc>
        <w:tc>
          <w:tcPr>
            <w:tcW w:type="dxa" w:w="3515"/>
          </w:tcPr>
          <w:p>
            <w:r>
              <w:rPr>
                <w:sz w:val="17"/>
              </w:rPr>
              <w:t>^GSPC, ^GDAXI (and ^FTSE for robustness) available from 1997; downloaded from Oct 2002</w:t>
            </w:r>
          </w:p>
        </w:tc>
        <w:tc>
          <w:tcPr>
            <w:tcW w:type="dxa" w:w="2551"/>
          </w:tcPr>
          <w:p>
            <w:r>
              <w:rPr>
                <w:sz w:val="17"/>
              </w:rPr>
              <w:t>Use</w:t>
            </w:r>
          </w:p>
        </w:tc>
      </w:tr>
      <w:tr>
        <w:tc>
          <w:tcPr>
            <w:tcW w:type="dxa" w:w="397"/>
          </w:tcPr>
          <w:p>
            <w:r>
              <w:rPr>
                <w:sz w:val="17"/>
              </w:rPr>
              <w:t>3</w:t>
            </w:r>
          </w:p>
        </w:tc>
        <w:tc>
          <w:tcPr>
            <w:tcW w:type="dxa" w:w="2041"/>
          </w:tcPr>
          <w:p>
            <w:r>
              <w:rPr>
                <w:sz w:val="17"/>
              </w:rPr>
              <w:t>Euro Stoxx 50 can represent the euro area</w:t>
            </w:r>
          </w:p>
        </w:tc>
        <w:tc>
          <w:tcPr>
            <w:tcW w:type="dxa" w:w="1134"/>
            <w:shd w:val="clear" w:color="auto" w:fill="FCE5CD"/>
          </w:tcPr>
          <w:p>
            <w:r>
              <w:rPr>
                <w:b/>
                <w:sz w:val="17"/>
              </w:rPr>
              <w:t>CORRECTED</w:t>
            </w:r>
          </w:p>
        </w:tc>
        <w:tc>
          <w:tcPr>
            <w:tcW w:type="dxa" w:w="3515"/>
          </w:tcPr>
          <w:p>
            <w:r>
              <w:rPr>
                <w:sz w:val="17"/>
              </w:rPr>
              <w:t>^STOXX50E on Yahoo only from 2007</w:t>
            </w:r>
          </w:p>
        </w:tc>
        <w:tc>
          <w:tcPr>
            <w:tcW w:type="dxa" w:w="2551"/>
          </w:tcPr>
          <w:p>
            <w:r>
              <w:rPr>
                <w:sz w:val="17"/>
              </w:rPr>
              <w:t>Use DAX (^GDAXI) as euro-area core</w:t>
            </w:r>
          </w:p>
        </w:tc>
      </w:tr>
      <w:tr>
        <w:tc>
          <w:tcPr>
            <w:tcW w:type="dxa" w:w="397"/>
          </w:tcPr>
          <w:p>
            <w:r>
              <w:rPr>
                <w:sz w:val="17"/>
              </w:rPr>
              <w:t>4</w:t>
            </w:r>
          </w:p>
        </w:tc>
        <w:tc>
          <w:tcPr>
            <w:tcW w:type="dxa" w:w="2041"/>
          </w:tcPr>
          <w:p>
            <w:r>
              <w:rPr>
                <w:sz w:val="17"/>
              </w:rPr>
              <w:t>VSTOXX (European fear index) available</w:t>
            </w:r>
          </w:p>
        </w:tc>
        <w:tc>
          <w:tcPr>
            <w:tcW w:type="dxa" w:w="1134"/>
            <w:shd w:val="clear" w:color="auto" w:fill="FCE5CD"/>
          </w:tcPr>
          <w:p>
            <w:r>
              <w:rPr>
                <w:b/>
                <w:sz w:val="17"/>
              </w:rPr>
              <w:t>CORRECTED</w:t>
            </w:r>
          </w:p>
        </w:tc>
        <w:tc>
          <w:tcPr>
            <w:tcW w:type="dxa" w:w="3515"/>
          </w:tcPr>
          <w:p>
            <w:r>
              <w:rPr>
                <w:sz w:val="17"/>
              </w:rPr>
              <w:t>^V2TX: ‘Not Found’ on Yahoo</w:t>
            </w:r>
          </w:p>
        </w:tc>
        <w:tc>
          <w:tcPr>
            <w:tcW w:type="dxa" w:w="2551"/>
          </w:tcPr>
          <w:p>
            <w:r>
              <w:rPr>
                <w:sz w:val="17"/>
              </w:rPr>
              <w:t>No fear index used</w:t>
            </w:r>
          </w:p>
        </w:tc>
      </w:tr>
      <w:tr>
        <w:tc>
          <w:tcPr>
            <w:tcW w:type="dxa" w:w="397"/>
          </w:tcPr>
          <w:p>
            <w:r>
              <w:rPr>
                <w:sz w:val="17"/>
              </w:rPr>
              <w:t>5</w:t>
            </w:r>
          </w:p>
        </w:tc>
        <w:tc>
          <w:tcPr>
            <w:tcW w:type="dxa" w:w="2041"/>
          </w:tcPr>
          <w:p>
            <w:r>
              <w:rPr>
                <w:sz w:val="17"/>
              </w:rPr>
              <w:t>Garman–Klass volatility from ISEQ OHLC is reliable</w:t>
            </w:r>
          </w:p>
        </w:tc>
        <w:tc>
          <w:tcPr>
            <w:tcW w:type="dxa" w:w="1134"/>
            <w:shd w:val="clear" w:color="auto" w:fill="FCE5CD"/>
          </w:tcPr>
          <w:p>
            <w:r>
              <w:rPr>
                <w:b/>
                <w:sz w:val="17"/>
              </w:rPr>
              <w:t>CORRECTED</w:t>
            </w:r>
          </w:p>
        </w:tc>
        <w:tc>
          <w:tcPr>
            <w:tcW w:type="dxa" w:w="3515"/>
          </w:tcPr>
          <w:p>
            <w:r>
              <w:rPr>
                <w:sz w:val="17"/>
              </w:rPr>
              <w:t>Yahoo ISEQ ‘open’ equals previous close on 37.7% of days (2007–12) and 75.4% (2013–19); monthly corr(GK, r²) only 0.54 in 2003–06</w:t>
            </w:r>
          </w:p>
        </w:tc>
        <w:tc>
          <w:tcPr>
            <w:tcW w:type="dxa" w:w="2551"/>
          </w:tcPr>
          <w:p>
            <w:r>
              <w:rPr>
                <w:sz w:val="17"/>
              </w:rPr>
              <w:t>Rejected. Target = forward 5-day realised variance from closes</w:t>
            </w:r>
          </w:p>
        </w:tc>
      </w:tr>
      <w:tr>
        <w:tc>
          <w:tcPr>
            <w:tcW w:type="dxa" w:w="397"/>
          </w:tcPr>
          <w:p>
            <w:r>
              <w:rPr>
                <w:sz w:val="17"/>
              </w:rPr>
              <w:t>6</w:t>
            </w:r>
          </w:p>
        </w:tc>
        <w:tc>
          <w:tcPr>
            <w:tcW w:type="dxa" w:w="2041"/>
          </w:tcPr>
          <w:p>
            <w:r>
              <w:rPr>
                <w:sz w:val="17"/>
              </w:rPr>
              <w:t>Parkinson (high–low) estimator usable</w:t>
            </w:r>
          </w:p>
        </w:tc>
        <w:tc>
          <w:tcPr>
            <w:tcW w:type="dxa" w:w="1134"/>
            <w:shd w:val="clear" w:color="auto" w:fill="D9EAD3"/>
          </w:tcPr>
          <w:p>
            <w:r>
              <w:rPr>
                <w:b/>
                <w:sz w:val="17"/>
              </w:rPr>
              <w:t>VERIFIED</w:t>
            </w:r>
          </w:p>
        </w:tc>
        <w:tc>
          <w:tcPr>
            <w:tcW w:type="dxa" w:w="3515"/>
          </w:tcPr>
          <w:p>
            <w:r>
              <w:rPr>
                <w:sz w:val="17"/>
              </w:rPr>
              <w:t>Monthly corr with r²: 0.98–0.99 after 2007, 0.67 in 2003–06</w:t>
            </w:r>
          </w:p>
        </w:tc>
        <w:tc>
          <w:tcPr>
            <w:tcW w:type="dxa" w:w="2551"/>
          </w:tcPr>
          <w:p>
            <w:r>
              <w:rPr>
                <w:sz w:val="17"/>
              </w:rPr>
              <w:t>Robustness check, 2007+ only</w:t>
            </w:r>
          </w:p>
        </w:tc>
      </w:tr>
      <w:tr>
        <w:tc>
          <w:tcPr>
            <w:tcW w:type="dxa" w:w="397"/>
          </w:tcPr>
          <w:p>
            <w:r>
              <w:rPr>
                <w:sz w:val="17"/>
              </w:rPr>
              <w:t>7</w:t>
            </w:r>
          </w:p>
        </w:tc>
        <w:tc>
          <w:tcPr>
            <w:tcW w:type="dxa" w:w="2041"/>
          </w:tcPr>
          <w:p>
            <w:r>
              <w:rPr>
                <w:sz w:val="17"/>
              </w:rPr>
              <w:t>Foreign data can be aligned without look-ahead</w:t>
            </w:r>
          </w:p>
        </w:tc>
        <w:tc>
          <w:tcPr>
            <w:tcW w:type="dxa" w:w="1134"/>
            <w:shd w:val="clear" w:color="auto" w:fill="D9EAD3"/>
          </w:tcPr>
          <w:p>
            <w:r>
              <w:rPr>
                <w:b/>
                <w:sz w:val="17"/>
              </w:rPr>
              <w:t>VERIFIED</w:t>
            </w:r>
          </w:p>
        </w:tc>
        <w:tc>
          <w:tcPr>
            <w:tcW w:type="dxa" w:w="3515"/>
          </w:tcPr>
          <w:p>
            <w:r>
              <w:rPr>
                <w:sz w:val="17"/>
              </w:rPr>
              <w:t>As-of join on date ≤ t; values carried forward on only 0.9–2.7% of Irish days</w:t>
            </w:r>
          </w:p>
        </w:tc>
        <w:tc>
          <w:tcPr>
            <w:tcW w:type="dxa" w:w="2551"/>
          </w:tcPr>
          <w:p>
            <w:r>
              <w:rPr>
                <w:sz w:val="17"/>
              </w:rPr>
              <w:t>Forecast issued before Dublin open on t+1</w:t>
            </w:r>
          </w:p>
        </w:tc>
      </w:tr>
      <w:tr>
        <w:tc>
          <w:tcPr>
            <w:tcW w:type="dxa" w:w="397"/>
          </w:tcPr>
          <w:p>
            <w:r>
              <w:rPr>
                <w:sz w:val="17"/>
              </w:rPr>
              <w:t>8</w:t>
            </w:r>
          </w:p>
        </w:tc>
        <w:tc>
          <w:tcPr>
            <w:tcW w:type="dxa" w:w="2041"/>
          </w:tcPr>
          <w:p>
            <w:r>
              <w:rPr>
                <w:sz w:val="17"/>
              </w:rPr>
              <w:t>Dot-com data should be used</w:t>
            </w:r>
          </w:p>
        </w:tc>
        <w:tc>
          <w:tcPr>
            <w:tcW w:type="dxa" w:w="1134"/>
            <w:shd w:val="clear" w:color="auto" w:fill="FCE5CD"/>
          </w:tcPr>
          <w:p>
            <w:r>
              <w:rPr>
                <w:b/>
                <w:sz w:val="17"/>
              </w:rPr>
              <w:t>CORRECTED</w:t>
            </w:r>
          </w:p>
        </w:tc>
        <w:tc>
          <w:tcPr>
            <w:tcW w:type="dxa" w:w="3515"/>
          </w:tcPr>
          <w:p>
            <w:r>
              <w:rPr>
                <w:sz w:val="17"/>
              </w:rPr>
              <w:t>Only 668 days (2.7 years) before the Nasdaq peak; Irish median vol 14.9% vs 13.1% calm. A 2005 start would leave only 659 days before the GFC — the same problem</w:t>
            </w:r>
          </w:p>
        </w:tc>
        <w:tc>
          <w:tcPr>
            <w:tcW w:type="dxa" w:w="2551"/>
          </w:tcPr>
          <w:p>
            <w:r>
              <w:rPr>
                <w:sz w:val="17"/>
              </w:rPr>
              <w:t>Sample starts Jan 2003, after the dot-com trough: 1,166 days (4.6 years) before the GFC</w:t>
            </w:r>
          </w:p>
        </w:tc>
      </w:tr>
      <w:tr>
        <w:tc>
          <w:tcPr>
            <w:tcW w:type="dxa" w:w="397"/>
          </w:tcPr>
          <w:p>
            <w:r>
              <w:rPr>
                <w:sz w:val="17"/>
              </w:rPr>
              <w:t>9</w:t>
            </w:r>
          </w:p>
        </w:tc>
        <w:tc>
          <w:tcPr>
            <w:tcW w:type="dxa" w:w="2041"/>
          </w:tcPr>
          <w:p>
            <w:r>
              <w:rPr>
                <w:sz w:val="17"/>
              </w:rPr>
              <w:t>ISEQ is a consistent index through 2025</w:t>
            </w:r>
          </w:p>
        </w:tc>
        <w:tc>
          <w:tcPr>
            <w:tcW w:type="dxa" w:w="1134"/>
            <w:shd w:val="clear" w:color="auto" w:fill="F4CCCC"/>
          </w:tcPr>
          <w:p>
            <w:r>
              <w:rPr>
                <w:b/>
                <w:sz w:val="17"/>
              </w:rPr>
              <w:t>RISK</w:t>
            </w:r>
          </w:p>
        </w:tc>
        <w:tc>
          <w:tcPr>
            <w:tcW w:type="dxa" w:w="3515"/>
          </w:tcPr>
          <w:p>
            <w:r>
              <w:rPr>
                <w:sz w:val="17"/>
              </w:rPr>
              <w:t>CRH left Sept 2023, Flutter Jan 2024, Smurfit Kappa Jul 2024; the trio were ~€74bn of the ~€152bn ISEQ 20 (Irish Times)</w:t>
            </w:r>
          </w:p>
        </w:tc>
        <w:tc>
          <w:tcPr>
            <w:tcW w:type="dxa" w:w="2551"/>
          </w:tcPr>
          <w:p>
            <w:r>
              <w:rPr>
                <w:sz w:val="17"/>
              </w:rPr>
              <w:t>Main sample ends 31 Aug 2023; 592 later days = robustness</w:t>
            </w:r>
          </w:p>
        </w:tc>
      </w:tr>
      <w:tr>
        <w:tc>
          <w:tcPr>
            <w:tcW w:type="dxa" w:w="397"/>
          </w:tcPr>
          <w:p>
            <w:r>
              <w:rPr>
                <w:sz w:val="17"/>
              </w:rPr>
              <w:t>10</w:t>
            </w:r>
          </w:p>
        </w:tc>
        <w:tc>
          <w:tcPr>
            <w:tcW w:type="dxa" w:w="2041"/>
          </w:tcPr>
          <w:p>
            <w:r>
              <w:rPr>
                <w:sz w:val="17"/>
              </w:rPr>
              <w:t>Zero returns will not break log models</w:t>
            </w:r>
          </w:p>
        </w:tc>
        <w:tc>
          <w:tcPr>
            <w:tcW w:type="dxa" w:w="1134"/>
            <w:shd w:val="clear" w:color="auto" w:fill="D9EAD3"/>
          </w:tcPr>
          <w:p>
            <w:r>
              <w:rPr>
                <w:b/>
                <w:sz w:val="17"/>
              </w:rPr>
              <w:t>VERIFIED</w:t>
            </w:r>
          </w:p>
        </w:tc>
        <w:tc>
          <w:tcPr>
            <w:tcW w:type="dxa" w:w="3515"/>
          </w:tcPr>
          <w:p>
            <w:r>
              <w:rPr>
                <w:sz w:val="17"/>
              </w:rPr>
              <w:t>Only 2 zero-return days in the sample; target never zero</w:t>
            </w:r>
          </w:p>
        </w:tc>
        <w:tc>
          <w:tcPr>
            <w:tcW w:type="dxa" w:w="2551"/>
          </w:tcPr>
          <w:p>
            <w:r>
              <w:rPr>
                <w:sz w:val="17"/>
              </w:rPr>
              <w:t>Floor daily r² at 1e-8 before logs</w:t>
            </w:r>
          </w:p>
        </w:tc>
      </w:tr>
      <w:tr>
        <w:tc>
          <w:tcPr>
            <w:tcW w:type="dxa" w:w="397"/>
          </w:tcPr>
          <w:p>
            <w:r>
              <w:rPr>
                <w:sz w:val="17"/>
              </w:rPr>
              <w:t>11</w:t>
            </w:r>
          </w:p>
        </w:tc>
        <w:tc>
          <w:tcPr>
            <w:tcW w:type="dxa" w:w="2041"/>
          </w:tcPr>
          <w:p>
            <w:r>
              <w:rPr>
                <w:sz w:val="17"/>
              </w:rPr>
              <w:t>The crises are visible in Irish data</w:t>
            </w:r>
          </w:p>
        </w:tc>
        <w:tc>
          <w:tcPr>
            <w:tcW w:type="dxa" w:w="1134"/>
            <w:shd w:val="clear" w:color="auto" w:fill="D9EAD3"/>
          </w:tcPr>
          <w:p>
            <w:r>
              <w:rPr>
                <w:b/>
                <w:sz w:val="17"/>
              </w:rPr>
              <w:t>VERIFIED</w:t>
            </w:r>
          </w:p>
        </w:tc>
        <w:tc>
          <w:tcPr>
            <w:tcW w:type="dxa" w:w="3515"/>
          </w:tcPr>
          <w:p>
            <w:r>
              <w:rPr>
                <w:sz w:val="17"/>
              </w:rPr>
              <w:t>Max drawdowns: GFC −78.0%, Irish debt crisis −32.3%, COVID −39.8%, 2022 −27.5%, Brexit −18.2%; calm median vol 13.0%</w:t>
            </w:r>
          </w:p>
        </w:tc>
        <w:tc>
          <w:tcPr>
            <w:tcW w:type="dxa" w:w="2551"/>
          </w:tcPr>
          <w:p>
            <w:r>
              <w:rPr>
                <w:sz w:val="17"/>
              </w:rPr>
              <w:t>Report in Chapter 4</w:t>
            </w:r>
          </w:p>
        </w:tc>
      </w:tr>
      <w:tr>
        <w:tc>
          <w:tcPr>
            <w:tcW w:type="dxa" w:w="397"/>
          </w:tcPr>
          <w:p>
            <w:r>
              <w:rPr>
                <w:sz w:val="17"/>
              </w:rPr>
              <w:t>12</w:t>
            </w:r>
          </w:p>
        </w:tc>
        <w:tc>
          <w:tcPr>
            <w:tcW w:type="dxa" w:w="2041"/>
          </w:tcPr>
          <w:p>
            <w:r>
              <w:rPr>
                <w:sz w:val="17"/>
              </w:rPr>
              <w:t>Single-origin shocks visible</w:t>
            </w:r>
          </w:p>
        </w:tc>
        <w:tc>
          <w:tcPr>
            <w:tcW w:type="dxa" w:w="1134"/>
            <w:shd w:val="clear" w:color="auto" w:fill="CFE2F3"/>
          </w:tcPr>
          <w:p>
            <w:r>
              <w:rPr>
                <w:b/>
                <w:sz w:val="17"/>
              </w:rPr>
              <w:t>NEW</w:t>
            </w:r>
          </w:p>
        </w:tc>
        <w:tc>
          <w:tcPr>
            <w:tcW w:type="dxa" w:w="3515"/>
          </w:tcPr>
          <w:p>
            <w:r>
              <w:rPr>
                <w:sz w:val="17"/>
              </w:rPr>
              <w:t>Brexit: vol peaks at 97.7% (June 2016). 2022 war/rate shock: median 23.3%, peak 66.5%</w:t>
            </w:r>
          </w:p>
        </w:tc>
        <w:tc>
          <w:tcPr>
            <w:tcW w:type="dxa" w:w="2551"/>
          </w:tcPr>
          <w:p>
            <w:r>
              <w:rPr>
                <w:sz w:val="17"/>
              </w:rPr>
              <w:t>Two validation events with one expected channel each</w:t>
            </w:r>
          </w:p>
        </w:tc>
      </w:tr>
      <w:tr>
        <w:tc>
          <w:tcPr>
            <w:tcW w:type="dxa" w:w="397"/>
          </w:tcPr>
          <w:p>
            <w:r>
              <w:rPr>
                <w:sz w:val="17"/>
              </w:rPr>
              <w:t>13</w:t>
            </w:r>
          </w:p>
        </w:tc>
        <w:tc>
          <w:tcPr>
            <w:tcW w:type="dxa" w:w="2041"/>
          </w:tcPr>
          <w:p>
            <w:r>
              <w:rPr>
                <w:sz w:val="17"/>
              </w:rPr>
              <w:t>Free daily Irish sovereign bond yields</w:t>
            </w:r>
          </w:p>
        </w:tc>
        <w:tc>
          <w:tcPr>
            <w:tcW w:type="dxa" w:w="1134"/>
            <w:shd w:val="clear" w:color="auto" w:fill="D9D9D9"/>
          </w:tcPr>
          <w:p>
            <w:r>
              <w:rPr>
                <w:b/>
                <w:sz w:val="17"/>
              </w:rPr>
              <w:t>DEFERRED</w:t>
            </w:r>
          </w:p>
        </w:tc>
        <w:tc>
          <w:tcPr>
            <w:tcW w:type="dxa" w:w="3515"/>
          </w:tcPr>
          <w:p>
            <w:r>
              <w:rPr>
                <w:sz w:val="17"/>
              </w:rPr>
              <w:t>FRED has monthly only</w:t>
            </w:r>
          </w:p>
        </w:tc>
        <w:tc>
          <w:tcPr>
            <w:tcW w:type="dxa" w:w="2551"/>
          </w:tcPr>
          <w:p>
            <w:r>
              <w:rPr>
                <w:sz w:val="17"/>
              </w:rPr>
              <w:t>PhD extension</w:t>
            </w:r>
          </w:p>
        </w:tc>
      </w:tr>
      <w:tr>
        <w:tc>
          <w:tcPr>
            <w:tcW w:type="dxa" w:w="397"/>
          </w:tcPr>
          <w:p>
            <w:r>
              <w:rPr>
                <w:sz w:val="17"/>
              </w:rPr>
              <w:t>14</w:t>
            </w:r>
          </w:p>
        </w:tc>
        <w:tc>
          <w:tcPr>
            <w:tcW w:type="dxa" w:w="2041"/>
          </w:tcPr>
          <w:p>
            <w:r>
              <w:rPr>
                <w:sz w:val="17"/>
              </w:rPr>
              <w:t>Irish bank stocks available</w:t>
            </w:r>
          </w:p>
        </w:tc>
        <w:tc>
          <w:tcPr>
            <w:tcW w:type="dxa" w:w="1134"/>
            <w:shd w:val="clear" w:color="auto" w:fill="FFF2CC"/>
          </w:tcPr>
          <w:p>
            <w:r>
              <w:rPr>
                <w:b/>
                <w:sz w:val="17"/>
              </w:rPr>
              <w:t>CONFIRM</w:t>
            </w:r>
          </w:p>
        </w:tc>
        <w:tc>
          <w:tcPr>
            <w:tcW w:type="dxa" w:w="3515"/>
          </w:tcPr>
          <w:p>
            <w:r>
              <w:rPr>
                <w:sz w:val="17"/>
              </w:rPr>
              <w:t>BIRG.IR from July 2001. A5G.IR shows data from 2000 but AIB re-listed in 2017 — check history before use</w:t>
            </w:r>
          </w:p>
        </w:tc>
        <w:tc>
          <w:tcPr>
            <w:tcW w:type="dxa" w:w="2551"/>
          </w:tcPr>
          <w:p>
            <w:r>
              <w:rPr>
                <w:sz w:val="17"/>
              </w:rPr>
              <w:t>Deferred (stretch)</w:t>
            </w:r>
          </w:p>
        </w:tc>
      </w:tr>
      <w:tr>
        <w:tc>
          <w:tcPr>
            <w:tcW w:type="dxa" w:w="397"/>
          </w:tcPr>
          <w:p>
            <w:r>
              <w:rPr>
                <w:sz w:val="17"/>
                <w:b w:val="0"/>
              </w:rPr>
              <w:t xml:space="preserve">31</w:t>
            </w:r>
          </w:p>
        </w:tc>
        <w:tc>
          <w:tcPr>
            <w:tcW w:type="dxa" w:w="2041"/>
          </w:tcPr>
          <w:p>
            <w:r>
              <w:rPr>
                <w:sz w:val="17"/>
                <w:b w:val="0"/>
              </w:rPr>
              <w:t xml:space="preserve">A long-run Irish share-price series exists for the volatility-paradox check</w:t>
            </w:r>
          </w:p>
        </w:tc>
        <w:tc>
          <w:tcPr>
            <w:tcW w:type="dxa" w:w="1134"/>
            <w:shd w:val="clear" w:color="auto" w:fill="FFF2CC"/>
          </w:tcPr>
          <w:p>
            <w:r>
              <w:rPr>
                <w:sz w:val="17"/>
                <w:b/>
              </w:rPr>
              <w:t xml:space="preserve">VERIFIED</w:t>
            </w:r>
          </w:p>
        </w:tc>
        <w:tc>
          <w:tcPr>
            <w:tcW w:type="dxa" w:w="3515"/>
          </w:tcPr>
          <w:p>
            <w:r>
              <w:rPr>
                <w:sz w:val="17"/>
                <w:b w:val="0"/>
              </w:rPr>
              <w:t xml:space="preserve">FRED/OECD SPASTT01IEM661N, monthly from Jan 1955; monthly averages of daily closes — monthly-return correlation 0.9996 with the Yahoo ISEQ (2002–2025). US from 1957, Germany from 1960</w:t>
            </w:r>
          </w:p>
        </w:tc>
        <w:tc>
          <w:tcPr>
            <w:tcW w:type="dxa" w:w="2551"/>
          </w:tcPr>
          <w:p>
            <w:r>
              <w:rPr>
                <w:sz w:val="17"/>
                <w:b w:val="0"/>
              </w:rPr>
              <w:t xml:space="preserve">Used only for exploratory E2</w:t>
            </w:r>
          </w:p>
        </w:tc>
      </w:tr>
    </w:tbl>
    <w:p>
      <w:pPr>
        <w:spacing w:after="40"/>
      </w:pPr>
    </w:p>
    <w:p>
      <w:pPr>
        <w:pStyle w:val="Heading2"/>
      </w:pPr>
      <w:r>
        <w:rPr>
          <w:color w:val="1F4E79"/>
        </w:rPr>
        <w:t>3B. Methods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97"/>
            <w:shd w:val="clear" w:color="auto" w:fill="1F4E79"/>
          </w:tcPr>
          <w:p>
            <w:r>
              <w:rPr>
                <w:b/>
                <w:color w:val="FFFFFF"/>
                <w:sz w:val="17"/>
              </w:rPr>
              <w:t>#</w:t>
            </w:r>
          </w:p>
        </w:tc>
        <w:tc>
          <w:tcPr>
            <w:tcW w:type="dxa" w:w="2041"/>
            <w:shd w:val="clear" w:color="auto" w:fill="1F4E79"/>
          </w:tcPr>
          <w:p>
            <w:r>
              <w:rPr>
                <w:b/>
                <w:color w:val="FFFFFF"/>
                <w:sz w:val="17"/>
              </w:rPr>
              <w:t>Claim</w:t>
            </w:r>
          </w:p>
        </w:tc>
        <w:tc>
          <w:tcPr>
            <w:tcW w:type="dxa" w:w="1134"/>
            <w:shd w:val="clear" w:color="auto" w:fill="1F4E79"/>
          </w:tcPr>
          <w:p>
            <w:r>
              <w:rPr>
                <w:b/>
                <w:color w:val="FFFFFF"/>
                <w:sz w:val="17"/>
              </w:rPr>
              <w:t>Status</w:t>
            </w:r>
          </w:p>
        </w:tc>
        <w:tc>
          <w:tcPr>
            <w:tcW w:type="dxa" w:w="3515"/>
            <w:shd w:val="clear" w:color="auto" w:fill="1F4E79"/>
          </w:tcPr>
          <w:p>
            <w:r>
              <w:rPr>
                <w:b/>
                <w:color w:val="FFFFFF"/>
                <w:sz w:val="17"/>
              </w:rPr>
              <w:t>Evidence</w:t>
            </w:r>
          </w:p>
        </w:tc>
        <w:tc>
          <w:tcPr>
            <w:tcW w:type="dxa" w:w="2551"/>
            <w:shd w:val="clear" w:color="auto" w:fill="1F4E79"/>
          </w:tcPr>
          <w:p>
            <w:r>
              <w:rPr>
                <w:b/>
                <w:color w:val="FFFFFF"/>
                <w:sz w:val="17"/>
              </w:rPr>
              <w:t>Action</w:t>
            </w:r>
          </w:p>
        </w:tc>
      </w:tr>
      <w:tr>
        <w:tc>
          <w:tcPr>
            <w:tcW w:type="dxa" w:w="397"/>
          </w:tcPr>
          <w:p>
            <w:r>
              <w:rPr>
                <w:sz w:val="17"/>
              </w:rPr>
              <w:t>15</w:t>
            </w:r>
          </w:p>
        </w:tc>
        <w:tc>
          <w:tcPr>
            <w:tcW w:type="dxa" w:w="2041"/>
          </w:tcPr>
          <w:p>
            <w:r>
              <w:rPr>
                <w:sz w:val="17"/>
              </w:rPr>
              <w:t>LSTM can beat econometric volatility models</w:t>
            </w:r>
          </w:p>
        </w:tc>
        <w:tc>
          <w:tcPr>
            <w:tcW w:type="dxa" w:w="1134"/>
            <w:shd w:val="clear" w:color="auto" w:fill="D9EAD3"/>
          </w:tcPr>
          <w:p>
            <w:r>
              <w:rPr>
                <w:b/>
                <w:sz w:val="17"/>
              </w:rPr>
              <w:t>VERIFIED</w:t>
            </w:r>
          </w:p>
        </w:tc>
        <w:tc>
          <w:tcPr>
            <w:tcW w:type="dxa" w:w="3515"/>
          </w:tcPr>
          <w:p>
            <w:r>
              <w:rPr>
                <w:sz w:val="17"/>
              </w:rPr>
              <w:t>Bucci (2020, JFEC 18(3)): on monthly S&amp;P 500 data (1950–2017), LSTM and NARX beat other networks and econometric models in MSE and QLIKE, also in the 2007–09 crisis. Christensen, Siggaard &amp; Veliyev (2023, JFEC 21(5)): ML competitive with and beating HAR</w:t>
            </w:r>
          </w:p>
        </w:tc>
        <w:tc>
          <w:tcPr>
            <w:tcW w:type="dxa" w:w="2551"/>
          </w:tcPr>
          <w:p>
            <w:r>
              <w:rPr>
                <w:sz w:val="17"/>
              </w:rPr>
              <w:t>Expect modest gains; a negative result is still valid</w:t>
            </w:r>
          </w:p>
        </w:tc>
      </w:tr>
      <w:tr>
        <w:tc>
          <w:tcPr>
            <w:tcW w:type="dxa" w:w="397"/>
          </w:tcPr>
          <w:p>
            <w:r>
              <w:rPr>
                <w:sz w:val="17"/>
              </w:rPr>
              <w:t>16</w:t>
            </w:r>
          </w:p>
        </w:tc>
        <w:tc>
          <w:tcPr>
            <w:tcW w:type="dxa" w:w="2041"/>
          </w:tcPr>
          <w:p>
            <w:r>
              <w:rPr>
                <w:sz w:val="17"/>
              </w:rPr>
              <w:t>GARCH(1,1) is a weak benchmark</w:t>
            </w:r>
          </w:p>
        </w:tc>
        <w:tc>
          <w:tcPr>
            <w:tcW w:type="dxa" w:w="1134"/>
            <w:shd w:val="clear" w:color="auto" w:fill="FCE5CD"/>
          </w:tcPr>
          <w:p>
            <w:r>
              <w:rPr>
                <w:b/>
                <w:sz w:val="17"/>
              </w:rPr>
              <w:t>CORRECTED</w:t>
            </w:r>
          </w:p>
        </w:tc>
        <w:tc>
          <w:tcPr>
            <w:tcW w:type="dxa" w:w="3515"/>
          </w:tcPr>
          <w:p>
            <w:r>
              <w:rPr>
                <w:sz w:val="17"/>
              </w:rPr>
              <w:t>Hansen &amp; Lunde (2005): GARCH(1,1) is very hard to beat</w:t>
            </w:r>
          </w:p>
        </w:tc>
        <w:tc>
          <w:tcPr>
            <w:tcW w:type="dxa" w:w="2551"/>
          </w:tcPr>
          <w:p>
            <w:r>
              <w:rPr>
                <w:sz w:val="17"/>
              </w:rPr>
              <w:t>Treat GARCH and HAR as serious benchmarks</w:t>
            </w:r>
          </w:p>
        </w:tc>
      </w:tr>
      <w:tr>
        <w:tc>
          <w:tcPr>
            <w:tcW w:type="dxa" w:w="397"/>
          </w:tcPr>
          <w:p>
            <w:r>
              <w:rPr>
                <w:sz w:val="17"/>
              </w:rPr>
              <w:t>17</w:t>
            </w:r>
          </w:p>
        </w:tc>
        <w:tc>
          <w:tcPr>
            <w:tcW w:type="dxa" w:w="2041"/>
          </w:tcPr>
          <w:p>
            <w:r>
              <w:rPr>
                <w:sz w:val="17"/>
              </w:rPr>
              <w:t>SHAP works easily on a Keras/TensorFlow LSTM</w:t>
            </w:r>
          </w:p>
        </w:tc>
        <w:tc>
          <w:tcPr>
            <w:tcW w:type="dxa" w:w="1134"/>
            <w:shd w:val="clear" w:color="auto" w:fill="F4CCCC"/>
          </w:tcPr>
          <w:p>
            <w:r>
              <w:rPr>
                <w:b/>
                <w:sz w:val="17"/>
              </w:rPr>
              <w:t>RISK</w:t>
            </w:r>
          </w:p>
        </w:tc>
        <w:tc>
          <w:tcPr>
            <w:tcW w:type="dxa" w:w="3515"/>
          </w:tcPr>
          <w:p>
            <w:r>
              <w:rPr>
                <w:sz w:val="17"/>
              </w:rPr>
              <w:t>Several open GitHub issues on shap DeepExplainer/GradientExplainer with TF2 LSTMs</w:t>
            </w:r>
          </w:p>
        </w:tc>
        <w:tc>
          <w:tcPr>
            <w:tcW w:type="dxa" w:w="2551"/>
          </w:tcPr>
          <w:p>
            <w:r>
              <w:rPr>
                <w:sz w:val="17"/>
              </w:rPr>
              <w:t>Build the LSTM in PyTorch; use Captum GradientShap (expected-gradients SHAP). Toy test in week 2</w:t>
            </w:r>
          </w:p>
        </w:tc>
      </w:tr>
      <w:tr>
        <w:tc>
          <w:tcPr>
            <w:tcW w:type="dxa" w:w="397"/>
          </w:tcPr>
          <w:p>
            <w:r>
              <w:rPr>
                <w:sz w:val="17"/>
              </w:rPr>
              <w:t>18</w:t>
            </w:r>
          </w:p>
        </w:tc>
        <w:tc>
          <w:tcPr>
            <w:tcW w:type="dxa" w:w="2041"/>
          </w:tcPr>
          <w:p>
            <w:r>
              <w:rPr>
                <w:sz w:val="17"/>
              </w:rPr>
              <w:t>KernelSHAP over the whole sample is feasible</w:t>
            </w:r>
          </w:p>
        </w:tc>
        <w:tc>
          <w:tcPr>
            <w:tcW w:type="dxa" w:w="1134"/>
            <w:shd w:val="clear" w:color="auto" w:fill="FCE5CD"/>
          </w:tcPr>
          <w:p>
            <w:r>
              <w:rPr>
                <w:b/>
                <w:sz w:val="17"/>
              </w:rPr>
              <w:t>CORRECTED</w:t>
            </w:r>
          </w:p>
        </w:tc>
        <w:tc>
          <w:tcPr>
            <w:tcW w:type="dxa" w:w="3515"/>
          </w:tcPr>
          <w:p>
            <w:r>
              <w:rPr>
                <w:sz w:val="17"/>
              </w:rPr>
              <w:t>Far too slow for sequence inputs</w:t>
            </w:r>
          </w:p>
        </w:tc>
        <w:tc>
          <w:tcPr>
            <w:tcW w:type="dxa" w:w="2551"/>
          </w:tcPr>
          <w:p>
            <w:r>
              <w:rPr>
                <w:sz w:val="17"/>
              </w:rPr>
              <w:t>Gradient-based SHAP on a stratified sample of days per window</w:t>
            </w:r>
          </w:p>
        </w:tc>
      </w:tr>
      <w:tr>
        <w:tc>
          <w:tcPr>
            <w:tcW w:type="dxa" w:w="397"/>
          </w:tcPr>
          <w:p>
            <w:r>
              <w:rPr>
                <w:sz w:val="17"/>
              </w:rPr>
              <w:t>19</w:t>
            </w:r>
          </w:p>
        </w:tc>
        <w:tc>
          <w:tcPr>
            <w:tcW w:type="dxa" w:w="2041"/>
          </w:tcPr>
          <w:p>
            <w:r>
              <w:rPr>
                <w:sz w:val="17"/>
              </w:rPr>
              <w:t>Summing SHAP values by group is valid</w:t>
            </w:r>
          </w:p>
        </w:tc>
        <w:tc>
          <w:tcPr>
            <w:tcW w:type="dxa" w:w="1134"/>
            <w:shd w:val="clear" w:color="auto" w:fill="D9EAD3"/>
          </w:tcPr>
          <w:p>
            <w:r>
              <w:rPr>
                <w:b/>
                <w:sz w:val="17"/>
              </w:rPr>
              <w:t>VERIFIED</w:t>
            </w:r>
          </w:p>
        </w:tc>
        <w:tc>
          <w:tcPr>
            <w:tcW w:type="dxa" w:w="3515"/>
          </w:tcPr>
          <w:p>
            <w:r>
              <w:rPr>
                <w:sz w:val="17"/>
              </w:rPr>
              <w:t>Additivity: attributions sum to the prediction minus baseline, so group sums are a valid decomposition; they are not a ‘group Shapley value’</w:t>
            </w:r>
          </w:p>
        </w:tc>
        <w:tc>
          <w:tcPr>
            <w:tcW w:type="dxa" w:w="2551"/>
          </w:tcPr>
          <w:p>
            <w:r>
              <w:rPr>
                <w:sz w:val="17"/>
              </w:rPr>
              <w:t>Say this precisely in Methodology</w:t>
            </w:r>
          </w:p>
        </w:tc>
      </w:tr>
      <w:tr>
        <w:tc>
          <w:tcPr>
            <w:tcW w:type="dxa" w:w="397"/>
          </w:tcPr>
          <w:p>
            <w:r>
              <w:rPr>
                <w:sz w:val="17"/>
              </w:rPr>
              <w:t>20</w:t>
            </w:r>
          </w:p>
        </w:tc>
        <w:tc>
          <w:tcPr>
            <w:tcW w:type="dxa" w:w="2041"/>
          </w:tcPr>
          <w:p>
            <w:r>
              <w:rPr>
                <w:sz w:val="17"/>
              </w:rPr>
              <w:t>Correlated inputs distort SHAP</w:t>
            </w:r>
          </w:p>
        </w:tc>
        <w:tc>
          <w:tcPr>
            <w:tcW w:type="dxa" w:w="1134"/>
            <w:shd w:val="clear" w:color="auto" w:fill="D9EAD3"/>
          </w:tcPr>
          <w:p>
            <w:r>
              <w:rPr>
                <w:b/>
                <w:sz w:val="17"/>
              </w:rPr>
              <w:t>VERIFIED</w:t>
            </w:r>
          </w:p>
        </w:tc>
        <w:tc>
          <w:tcPr>
            <w:tcW w:type="dxa" w:w="3515"/>
          </w:tcPr>
          <w:p>
            <w:r>
              <w:rPr>
                <w:sz w:val="17"/>
              </w:rPr>
              <w:t>Aas, Jullum &amp; Løland (2021); Kumar et al. (2020). In your data: Nasdaq–S&amp;P 0.95, VIX–S&amp;P −0.73, FTSE–DAX 0.84</w:t>
            </w:r>
          </w:p>
        </w:tc>
        <w:tc>
          <w:tcPr>
            <w:tcW w:type="dxa" w:w="2551"/>
          </w:tcPr>
          <w:p>
            <w:r>
              <w:rPr>
                <w:sz w:val="17"/>
              </w:rPr>
              <w:t>Keep only three markets: ISEQ, S&amp;P 500, DAX; FTSE only as a swap-in robustness check</w:t>
            </w:r>
          </w:p>
        </w:tc>
      </w:tr>
      <w:tr>
        <w:tc>
          <w:tcPr>
            <w:tcW w:type="dxa" w:w="397"/>
          </w:tcPr>
          <w:p>
            <w:r>
              <w:rPr>
                <w:sz w:val="17"/>
              </w:rPr>
              <w:t>21</w:t>
            </w:r>
          </w:p>
        </w:tc>
        <w:tc>
          <w:tcPr>
            <w:tcW w:type="dxa" w:w="2041"/>
          </w:tcPr>
          <w:p>
            <w:r>
              <w:rPr>
                <w:sz w:val="17"/>
              </w:rPr>
              <w:t>Squared-error loss is enough for volatility</w:t>
            </w:r>
          </w:p>
        </w:tc>
        <w:tc>
          <w:tcPr>
            <w:tcW w:type="dxa" w:w="1134"/>
            <w:shd w:val="clear" w:color="auto" w:fill="FCE5CD"/>
          </w:tcPr>
          <w:p>
            <w:r>
              <w:rPr>
                <w:b/>
                <w:sz w:val="17"/>
              </w:rPr>
              <w:t>CORRECTED</w:t>
            </w:r>
          </w:p>
        </w:tc>
        <w:tc>
          <w:tcPr>
            <w:tcW w:type="dxa" w:w="3515"/>
          </w:tcPr>
          <w:p>
            <w:r>
              <w:rPr>
                <w:sz w:val="17"/>
              </w:rPr>
              <w:t>Patton (2011, J. Econometrics 160(1)): only some losses rank forecasts correctly with a noisy proxy</w:t>
            </w:r>
          </w:p>
        </w:tc>
        <w:tc>
          <w:tcPr>
            <w:tcW w:type="dxa" w:w="2551"/>
          </w:tcPr>
          <w:p>
            <w:r>
              <w:rPr>
                <w:sz w:val="17"/>
              </w:rPr>
              <w:t>Report MSE and QLIKE; QLIKE is primary</w:t>
            </w:r>
          </w:p>
        </w:tc>
      </w:tr>
      <w:tr>
        <w:tc>
          <w:tcPr>
            <w:tcW w:type="dxa" w:w="397"/>
          </w:tcPr>
          <w:p>
            <w:r>
              <w:rPr>
                <w:sz w:val="17"/>
              </w:rPr>
              <w:t>22</w:t>
            </w:r>
          </w:p>
        </w:tc>
        <w:tc>
          <w:tcPr>
            <w:tcW w:type="dxa" w:w="2041"/>
          </w:tcPr>
          <w:p>
            <w:r>
              <w:rPr>
                <w:sz w:val="17"/>
              </w:rPr>
              <w:t>Plain Diebold–Mariano works for 5-day forecasts</w:t>
            </w:r>
          </w:p>
        </w:tc>
        <w:tc>
          <w:tcPr>
            <w:tcW w:type="dxa" w:w="1134"/>
            <w:shd w:val="clear" w:color="auto" w:fill="FCE5CD"/>
          </w:tcPr>
          <w:p>
            <w:r>
              <w:rPr>
                <w:b/>
                <w:sz w:val="17"/>
              </w:rPr>
              <w:t>CORRECTED</w:t>
            </w:r>
          </w:p>
        </w:tc>
        <w:tc>
          <w:tcPr>
            <w:tcW w:type="dxa" w:w="3515"/>
          </w:tcPr>
          <w:p>
            <w:r>
              <w:rPr>
                <w:sz w:val="17"/>
              </w:rPr>
              <w:t>Overlapping multi-step forecasts are autocorrelated</w:t>
            </w:r>
          </w:p>
        </w:tc>
        <w:tc>
          <w:tcPr>
            <w:tcW w:type="dxa" w:w="2551"/>
          </w:tcPr>
          <w:p>
            <w:r>
              <w:rPr>
                <w:sz w:val="17"/>
              </w:rPr>
              <w:t>HAC variance with 4 lags + Harvey–Leybourne–Newbold correction</w:t>
            </w:r>
          </w:p>
        </w:tc>
      </w:tr>
      <w:tr>
        <w:tc>
          <w:tcPr>
            <w:tcW w:type="dxa" w:w="397"/>
          </w:tcPr>
          <w:p>
            <w:r>
              <w:rPr>
                <w:sz w:val="17"/>
              </w:rPr>
              <w:t>23</w:t>
            </w:r>
          </w:p>
        </w:tc>
        <w:tc>
          <w:tcPr>
            <w:tcW w:type="dxa" w:w="2041"/>
          </w:tcPr>
          <w:p>
            <w:r>
              <w:rPr>
                <w:sz w:val="17"/>
              </w:rPr>
              <w:t>Daily LSTM retraining is feasible</w:t>
            </w:r>
          </w:p>
        </w:tc>
        <w:tc>
          <w:tcPr>
            <w:tcW w:type="dxa" w:w="1134"/>
            <w:shd w:val="clear" w:color="auto" w:fill="FCE5CD"/>
          </w:tcPr>
          <w:p>
            <w:r>
              <w:rPr>
                <w:b/>
                <w:sz w:val="17"/>
              </w:rPr>
              <w:t>CORRECTED</w:t>
            </w:r>
          </w:p>
        </w:tc>
        <w:tc>
          <w:tcPr>
            <w:tcW w:type="dxa" w:w="3515"/>
          </w:tcPr>
          <w:p>
            <w:r>
              <w:rPr>
                <w:sz w:val="17"/>
              </w:rPr>
              <w:t>Around 5,000 retrains would never finish</w:t>
            </w:r>
          </w:p>
        </w:tc>
        <w:tc>
          <w:tcPr>
            <w:tcW w:type="dxa" w:w="2551"/>
          </w:tcPr>
          <w:p>
            <w:r>
              <w:rPr>
                <w:sz w:val="17"/>
              </w:rPr>
              <w:t>Expanding window, retrain once a year (~17 fits × 5 seeds)</w:t>
            </w:r>
          </w:p>
        </w:tc>
      </w:tr>
      <w:tr>
        <w:tc>
          <w:tcPr>
            <w:tcW w:type="dxa" w:w="397"/>
          </w:tcPr>
          <w:p>
            <w:r>
              <w:rPr>
                <w:sz w:val="17"/>
              </w:rPr>
              <w:t>24</w:t>
            </w:r>
          </w:p>
        </w:tc>
        <w:tc>
          <w:tcPr>
            <w:tcW w:type="dxa" w:w="2041"/>
          </w:tcPr>
          <w:p>
            <w:r>
              <w:rPr>
                <w:sz w:val="17"/>
              </w:rPr>
              <w:t>Diebold–Yilmaz is a quick library call</w:t>
            </w:r>
          </w:p>
        </w:tc>
        <w:tc>
          <w:tcPr>
            <w:tcW w:type="dxa" w:w="1134"/>
            <w:shd w:val="clear" w:color="auto" w:fill="FCE5CD"/>
          </w:tcPr>
          <w:p>
            <w:r>
              <w:rPr>
                <w:sz w:val="17"/>
                <w:b/>
              </w:rPr>
              <w:t xml:space="preserve">DONE (E1)</w:t>
            </w:r>
          </w:p>
        </w:tc>
        <w:tc>
          <w:tcPr>
            <w:tcW w:type="dxa" w:w="3515"/>
          </w:tcPr>
          <w:p>
            <w:r>
              <w:rPr>
                <w:sz w:val="17"/>
              </w:rPr>
              <w:t>It needs the generalised variance decomposition (Pesaran–Shin); statsmodels provides the orthogonalised one</w:t>
            </w:r>
          </w:p>
        </w:tc>
        <w:tc>
          <w:tcPr>
            <w:tcW w:type="dxa" w:w="2551"/>
          </w:tcPr>
          <w:p>
            <w:r>
              <w:rPr>
                <w:sz w:val="17"/>
                <w:b w:val="0"/>
              </w:rPr>
              <w:t xml:space="preserve">Implemented 30 Sep 2026 as exploratory E1 with my own generalized-FEVD code, checked against statsmodels on simulated data (coefficients, MA matrices and Cholesky FEVD match; order-invariant)</w:t>
            </w:r>
          </w:p>
        </w:tc>
      </w:tr>
      <w:tr>
        <w:tc>
          <w:tcPr>
            <w:tcW w:type="dxa" w:w="397"/>
          </w:tcPr>
          <w:p>
            <w:r>
              <w:rPr>
                <w:sz w:val="17"/>
              </w:rPr>
              <w:t>25</w:t>
            </w:r>
          </w:p>
        </w:tc>
        <w:tc>
          <w:tcPr>
            <w:tcW w:type="dxa" w:w="2041"/>
          </w:tcPr>
          <w:p>
            <w:r>
              <w:rPr>
                <w:sz w:val="17"/>
              </w:rPr>
              <w:t>Crisis labels could be inputs</w:t>
            </w:r>
          </w:p>
        </w:tc>
        <w:tc>
          <w:tcPr>
            <w:tcW w:type="dxa" w:w="1134"/>
            <w:shd w:val="clear" w:color="auto" w:fill="FCE5CD"/>
          </w:tcPr>
          <w:p>
            <w:r>
              <w:rPr>
                <w:b/>
                <w:sz w:val="17"/>
              </w:rPr>
              <w:t>CORRECTED</w:t>
            </w:r>
          </w:p>
        </w:tc>
        <w:tc>
          <w:tcPr>
            <w:tcW w:type="dxa" w:w="3515"/>
          </w:tcPr>
          <w:p>
            <w:r>
              <w:rPr>
                <w:sz w:val="17"/>
              </w:rPr>
              <w:t>Dated after the event = look-ahead</w:t>
            </w:r>
          </w:p>
        </w:tc>
        <w:tc>
          <w:tcPr>
            <w:tcW w:type="dxa" w:w="2551"/>
          </w:tcPr>
          <w:p>
            <w:r>
              <w:rPr>
                <w:sz w:val="17"/>
              </w:rPr>
              <w:t>Labels used only to split evaluation, never as features</w:t>
            </w:r>
          </w:p>
        </w:tc>
      </w:tr>
      <w:tr>
        <w:tc>
          <w:tcPr>
            <w:tcW w:type="dxa" w:w="397"/>
          </w:tcPr>
          <w:p>
            <w:r>
              <w:rPr>
                <w:sz w:val="17"/>
                <w:b w:val="0"/>
              </w:rPr>
              <w:t xml:space="preserve">32</w:t>
            </w:r>
          </w:p>
        </w:tc>
        <w:tc>
          <w:tcPr>
            <w:tcW w:type="dxa" w:w="2041"/>
          </w:tcPr>
          <w:p>
            <w:r>
              <w:rPr>
                <w:sz w:val="17"/>
                <w:b w:val="0"/>
              </w:rPr>
              <w:t xml:space="preserve">Diebold &amp; Yilmaz (2012) set-up</w:t>
            </w:r>
          </w:p>
        </w:tc>
        <w:tc>
          <w:tcPr>
            <w:tcW w:type="dxa" w:w="1134"/>
            <w:shd w:val="clear" w:color="auto" w:fill="FCE5CD"/>
          </w:tcPr>
          <w:p>
            <w:r>
              <w:rPr>
                <w:sz w:val="17"/>
                <w:b/>
              </w:rPr>
              <w:t xml:space="preserve">VERIFIED</w:t>
            </w:r>
          </w:p>
        </w:tc>
        <w:tc>
          <w:tcPr>
            <w:tcW w:type="dxa" w:w="3515"/>
          </w:tcPr>
          <w:p>
            <w:r>
              <w:rPr>
                <w:sz w:val="17"/>
                <w:b w:val="0"/>
              </w:rPr>
              <w:t xml:space="preserve">Full text (IJF 28(1), 57–66): daily range-based volatility of four US asset classes, 25 Jan 1999 – 29 Jan 2010; VAR(4); generalized FEVD; 10-day horizon; 200-day rolling windows</w:t>
            </w:r>
          </w:p>
        </w:tc>
        <w:tc>
          <w:tcPr>
            <w:tcW w:type="dxa" w:w="2551"/>
          </w:tcPr>
          <w:p>
            <w:r>
              <w:rPr>
                <w:sz w:val="17"/>
                <w:b w:val="0"/>
              </w:rPr>
              <w:t xml:space="preserve">E1 follows it, but with log 5-day realised variance (stale ISEQ opens)</w:t>
            </w:r>
          </w:p>
        </w:tc>
      </w:tr>
      <w:tr>
        <w:tc>
          <w:tcPr>
            <w:tcW w:type="dxa" w:w="397"/>
          </w:tcPr>
          <w:p>
            <w:r>
              <w:rPr>
                <w:sz w:val="17"/>
                <w:b w:val="0"/>
              </w:rPr>
              <w:t xml:space="preserve">33</w:t>
            </w:r>
          </w:p>
        </w:tc>
        <w:tc>
          <w:tcPr>
            <w:tcW w:type="dxa" w:w="2041"/>
          </w:tcPr>
          <w:p>
            <w:r>
              <w:rPr>
                <w:sz w:val="17"/>
                <w:b w:val="0"/>
              </w:rPr>
              <w:t xml:space="preserve">Danielsson, Valenzuela &amp; Zer (2018) method</w:t>
            </w:r>
          </w:p>
        </w:tc>
        <w:tc>
          <w:tcPr>
            <w:tcW w:type="dxa" w:w="1134"/>
            <w:shd w:val="clear" w:color="auto" w:fill="FCE5CD"/>
          </w:tcPr>
          <w:p>
            <w:r>
              <w:rPr>
                <w:sz w:val="17"/>
                <w:b/>
              </w:rPr>
              <w:t xml:space="preserve">VERIFIED</w:t>
            </w:r>
          </w:p>
        </w:tc>
        <w:tc>
          <w:tcPr>
            <w:tcW w:type="dxa" w:w="3515"/>
          </w:tcPr>
          <w:p>
            <w:r>
              <w:rPr>
                <w:sz w:val="17"/>
                <w:b w:val="0"/>
              </w:rPr>
              <w:t xml:space="preserve">Full text (RFS 31(7), accepted version): annual volatility from 12 monthly returns July–June; one-sided HP trend, λ = 5,000; below-trend part averaged over 5 years; 60 countries, up to 211 years</w:t>
            </w:r>
          </w:p>
        </w:tc>
        <w:tc>
          <w:tcPr>
            <w:tcW w:type="dxa" w:w="2551"/>
          </w:tcPr>
          <w:p>
            <w:r>
              <w:rPr>
                <w:sz w:val="17"/>
                <w:b w:val="0"/>
              </w:rPr>
              <w:t xml:space="preserve">E2 follows it market by market (no panel logit)</w:t>
            </w:r>
          </w:p>
        </w:tc>
      </w:tr>
    </w:tbl>
    <w:p>
      <w:pPr>
        <w:spacing w:after="40"/>
      </w:pPr>
    </w:p>
    <w:p>
      <w:pPr>
        <w:pStyle w:val="Heading2"/>
      </w:pPr>
      <w:r>
        <w:rPr>
          <w:color w:val="1F4E79"/>
        </w:rPr>
        <w:t>3C. Literature and novelty</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397"/>
            <w:shd w:val="clear" w:color="auto" w:fill="1F4E79"/>
          </w:tcPr>
          <w:p>
            <w:r>
              <w:rPr>
                <w:b/>
                <w:color w:val="FFFFFF"/>
                <w:sz w:val="17"/>
              </w:rPr>
              <w:t>#</w:t>
            </w:r>
          </w:p>
        </w:tc>
        <w:tc>
          <w:tcPr>
            <w:tcW w:type="dxa" w:w="2041"/>
            <w:shd w:val="clear" w:color="auto" w:fill="1F4E79"/>
          </w:tcPr>
          <w:p>
            <w:r>
              <w:rPr>
                <w:b/>
                <w:color w:val="FFFFFF"/>
                <w:sz w:val="17"/>
              </w:rPr>
              <w:t>Claim</w:t>
            </w:r>
          </w:p>
        </w:tc>
        <w:tc>
          <w:tcPr>
            <w:tcW w:type="dxa" w:w="1134"/>
            <w:shd w:val="clear" w:color="auto" w:fill="1F4E79"/>
          </w:tcPr>
          <w:p>
            <w:r>
              <w:rPr>
                <w:b/>
                <w:color w:val="FFFFFF"/>
                <w:sz w:val="17"/>
              </w:rPr>
              <w:t>Status</w:t>
            </w:r>
          </w:p>
        </w:tc>
        <w:tc>
          <w:tcPr>
            <w:tcW w:type="dxa" w:w="3515"/>
            <w:shd w:val="clear" w:color="auto" w:fill="1F4E79"/>
          </w:tcPr>
          <w:p>
            <w:r>
              <w:rPr>
                <w:b/>
                <w:color w:val="FFFFFF"/>
                <w:sz w:val="17"/>
              </w:rPr>
              <w:t>Evidence</w:t>
            </w:r>
          </w:p>
        </w:tc>
        <w:tc>
          <w:tcPr>
            <w:tcW w:type="dxa" w:w="2551"/>
            <w:shd w:val="clear" w:color="auto" w:fill="1F4E79"/>
          </w:tcPr>
          <w:p>
            <w:r>
              <w:rPr>
                <w:b/>
                <w:color w:val="FFFFFF"/>
                <w:sz w:val="17"/>
              </w:rPr>
              <w:t>Action</w:t>
            </w:r>
          </w:p>
        </w:tc>
      </w:tr>
      <w:tr>
        <w:tc>
          <w:tcPr>
            <w:tcW w:type="dxa" w:w="397"/>
          </w:tcPr>
          <w:p>
            <w:r>
              <w:rPr>
                <w:sz w:val="17"/>
              </w:rPr>
              <w:t>26</w:t>
            </w:r>
          </w:p>
        </w:tc>
        <w:tc>
          <w:tcPr>
            <w:tcW w:type="dxa" w:w="2041"/>
          </w:tcPr>
          <w:p>
            <w:r>
              <w:rPr>
                <w:sz w:val="17"/>
              </w:rPr>
              <w:t>Twomey’s Irish contagion paper is from 2018</w:t>
            </w:r>
          </w:p>
        </w:tc>
        <w:tc>
          <w:tcPr>
            <w:tcW w:type="dxa" w:w="1134"/>
            <w:shd w:val="clear" w:color="auto" w:fill="FCE5CD"/>
          </w:tcPr>
          <w:p>
            <w:r>
              <w:rPr>
                <w:b/>
                <w:sz w:val="17"/>
              </w:rPr>
              <w:t>CORRECTED</w:t>
            </w:r>
          </w:p>
        </w:tc>
        <w:tc>
          <w:tcPr>
            <w:tcW w:type="dxa" w:w="3515"/>
          </w:tcPr>
          <w:p>
            <w:r>
              <w:rPr>
                <w:sz w:val="17"/>
              </w:rPr>
              <w:t>Corbet, S. &amp; Twomey, C. (2015) ‘European Equity Market Contagion: An Empirical Application to Ireland’s Sovereign Debt Crisis’, European Financial and Accounting Journal, 2015(3), 15–34. DCC-GARCH; strong contagion 2007–10 that eased after the troika programme</w:t>
            </w:r>
          </w:p>
        </w:tc>
        <w:tc>
          <w:tcPr>
            <w:tcW w:type="dxa" w:w="2551"/>
          </w:tcPr>
          <w:p>
            <w:r>
              <w:rPr>
                <w:sz w:val="17"/>
              </w:rPr>
              <w:t>Cite correctly; compare your euro-crisis results with it</w:t>
            </w:r>
          </w:p>
        </w:tc>
      </w:tr>
      <w:tr>
        <w:tc>
          <w:tcPr>
            <w:tcW w:type="dxa" w:w="397"/>
          </w:tcPr>
          <w:p>
            <w:r>
              <w:rPr>
                <w:sz w:val="17"/>
              </w:rPr>
              <w:t>27</w:t>
            </w:r>
          </w:p>
        </w:tc>
        <w:tc>
          <w:tcPr>
            <w:tcW w:type="dxa" w:w="2041"/>
          </w:tcPr>
          <w:p>
            <w:r>
              <w:rPr>
                <w:sz w:val="17"/>
              </w:rPr>
              <w:t>Twomey published on UK→Irish volatility spillovers</w:t>
            </w:r>
          </w:p>
        </w:tc>
        <w:tc>
          <w:tcPr>
            <w:tcW w:type="dxa" w:w="1134"/>
            <w:shd w:val="clear" w:color="auto" w:fill="FFF2CC"/>
          </w:tcPr>
          <w:p>
            <w:r>
              <w:rPr>
                <w:sz w:val="17"/>
                <w:b/>
              </w:rPr>
              <w:t xml:space="preserve">CORRECTED</w:t>
            </w:r>
          </w:p>
        </w:tc>
        <w:tc>
          <w:tcPr>
            <w:tcW w:type="dxa" w:w="3515"/>
          </w:tcPr>
          <w:p>
            <w:r>
              <w:rPr>
                <w:sz w:val="17"/>
                <w:b w:val="0"/>
              </w:rPr>
              <w:t xml:space="preserve">Gallagher, L. &amp; Twomey, C. (1998) ‘Identifying the source of mean and volatility spillovers in Irish equities: a multivariate GARCH analysis’, The Economic and Social Review, 29(4), 341–356 (found by the 28 Sep search; checked 30 Sep)</w:t>
            </w:r>
          </w:p>
        </w:tc>
        <w:tc>
          <w:tcPr>
            <w:tcW w:type="dxa" w:w="2551"/>
          </w:tcPr>
          <w:p>
            <w:r>
              <w:rPr>
                <w:sz w:val="17"/>
                <w:b w:val="0"/>
              </w:rPr>
              <w:t xml:space="preserve">Cite as Gallagher &amp; Twomey (1998)</w:t>
            </w:r>
          </w:p>
        </w:tc>
      </w:tr>
      <w:tr>
        <w:tc>
          <w:tcPr>
            <w:tcW w:type="dxa" w:w="397"/>
          </w:tcPr>
          <w:p>
            <w:r>
              <w:rPr>
                <w:sz w:val="17"/>
              </w:rPr>
              <w:t>28</w:t>
            </w:r>
          </w:p>
        </w:tc>
        <w:tc>
          <w:tcPr>
            <w:tcW w:type="dxa" w:w="2041"/>
          </w:tcPr>
          <w:p>
            <w:r>
              <w:rPr>
                <w:sz w:val="17"/>
              </w:rPr>
              <w:t>Nobody has combined LSTM, SHAP and crisis volatility</w:t>
            </w:r>
          </w:p>
        </w:tc>
        <w:tc>
          <w:tcPr>
            <w:tcW w:type="dxa" w:w="1134"/>
            <w:shd w:val="clear" w:color="auto" w:fill="FCE5CD"/>
          </w:tcPr>
          <w:p>
            <w:r>
              <w:rPr>
                <w:b/>
                <w:sz w:val="17"/>
              </w:rPr>
              <w:t>CORRECTED</w:t>
            </w:r>
          </w:p>
        </w:tc>
        <w:tc>
          <w:tcPr>
            <w:tcW w:type="dxa" w:w="3515"/>
          </w:tcPr>
          <w:p>
            <w:r>
              <w:rPr>
                <w:sz w:val="17"/>
              </w:rPr>
              <w:t>Sahiner (2023, Computational Economics): volatility spillovers across major crashes 1997–2021 with DCC, BEKK, Diebold–Yilmaz and a deep-learning early-warning model. Ahmed (2026, SSRN preprint): LSTM-Attention-SHAP volatility framework</w:t>
            </w:r>
          </w:p>
        </w:tc>
        <w:tc>
          <w:tcPr>
            <w:tcW w:type="dxa" w:w="2551"/>
          </w:tcPr>
          <w:p>
            <w:r>
              <w:rPr>
                <w:sz w:val="17"/>
              </w:rPr>
              <w:t>Narrow the novelty claim (see 5.12); cite both as closest work</w:t>
            </w:r>
          </w:p>
        </w:tc>
      </w:tr>
    </w:tbl>
    <w:p>
      <w:pPr>
        <w:spacing w:after="40"/>
      </w:pPr>
    </w:p>
    <w:p>
      <w:pPr>
        <w:pStyle w:val="Heading1"/>
      </w:pPr>
      <w:r>
        <w:rPr>
          <w:color w:val="1F4E79"/>
        </w:rPr>
        <w:t>4. What changed from the earlier plan</w:t>
      </w:r>
    </w:p>
    <w:p>
      <w:pPr>
        <w:pStyle w:val="ListBullet"/>
        <w:spacing w:after="20"/>
      </w:pPr>
      <w:r>
        <w:rPr>
          <w:b/>
        </w:rPr>
        <w:t xml:space="preserve">Target: </w:t>
      </w:r>
      <w:r>
        <w:t>Garman–Klass → forward 5-day realised variance (Yahoo’s ISEQ opening prices are unreliable).</w:t>
      </w:r>
    </w:p>
    <w:p>
      <w:pPr>
        <w:pStyle w:val="ListBullet"/>
        <w:spacing w:after="20"/>
      </w:pPr>
      <w:r>
        <w:rPr>
          <w:b/>
        </w:rPr>
        <w:t xml:space="preserve">Sample end: </w:t>
      </w:r>
      <w:r>
        <w:t>2025 → 31 August 2023 (ISEQ lost CRH, Flutter and Smurfit).</w:t>
      </w:r>
    </w:p>
    <w:p>
      <w:pPr>
        <w:pStyle w:val="ListBullet"/>
        <w:spacing w:after="20"/>
      </w:pPr>
      <w:r>
        <w:rPr>
          <w:b/>
        </w:rPr>
        <w:t xml:space="preserve">Software: </w:t>
      </w:r>
      <w:r>
        <w:t>Keras → PyTorch + Captum (SHAP compatibility with LSTMs).</w:t>
      </w:r>
    </w:p>
    <w:p>
      <w:pPr>
        <w:pStyle w:val="ListBullet"/>
        <w:spacing w:after="20"/>
      </w:pPr>
      <w:r>
        <w:rPr>
          <w:b/>
        </w:rPr>
        <w:t xml:space="preserve">Evaluation: </w:t>
      </w:r>
      <w:r>
        <w:t>RMSE only → MSE + QLIKE; Diebold–Mariano with the HLN correction.</w:t>
      </w:r>
    </w:p>
    <w:p>
      <w:pPr>
        <w:pStyle w:val="ListBullet"/>
        <w:spacing w:after="20"/>
      </w:pPr>
      <w:r>
        <w:rPr>
          <w:b/>
        </w:rPr>
        <w:t xml:space="preserve">Scope: </w:t>
      </w:r>
      <w:r>
        <w:t>Diebold–Yilmaz and Monte Carlo intervals deferred to the PhD; SHAP stability kept.</w:t>
      </w:r>
    </w:p>
    <w:p>
      <w:pPr>
        <w:pStyle w:val="ListBullet"/>
        <w:spacing w:after="20"/>
      </w:pPr>
      <w:r>
        <w:rPr>
          <w:b/>
        </w:rPr>
        <w:t xml:space="preserve">Crises (v1.1): </w:t>
      </w:r>
      <w:r>
        <w:t>three core crises (GFC, Irish sovereign debt, COVID) plus two validation events (Brexit 2016, 2022 war/rate shock).</w:t>
      </w:r>
    </w:p>
    <w:p>
      <w:pPr>
        <w:pStyle w:val="ListBullet"/>
        <w:spacing w:after="20"/>
      </w:pPr>
      <w:r>
        <w:rPr>
          <w:b/>
        </w:rPr>
        <w:t xml:space="preserve">Sample (v1.2): </w:t>
      </w:r>
      <w:r>
        <w:t>starts January 2003; all dot-com data removed. Not 2005, because a 2005 start leaves only 659 days before the GFC — too little to train an LSTM.</w:t>
      </w:r>
    </w:p>
    <w:p>
      <w:pPr>
        <w:pStyle w:val="ListBullet"/>
        <w:spacing w:after="20"/>
      </w:pPr>
      <w:r>
        <w:rPr>
          <w:b/>
        </w:rPr>
        <w:t xml:space="preserve">Markets (v1.3): </w:t>
      </w:r>
      <w:r>
        <w:t>seven series → three (ISEQ, S&amp;P 500, DAX). Nasdaq and VIX duplicate the S&amp;P 500; the US 10-year yield barely relates to the ISEQ (0.05); FTSE overlaps DAX (0.84), so it is used only in a robustness run. Cleaner SHAP channels; same research questions.</w:t>
      </w:r>
    </w:p>
    <w:p>
      <w:pPr>
        <w:pStyle w:val="ListBullet"/>
        <w:spacing w:after="20"/>
      </w:pPr>
      <w:r>
        <w:rPr>
          <w:b/>
        </w:rPr>
        <w:t xml:space="preserve">New: </w:t>
      </w:r>
      <w:r>
        <w:t>the ‘learning from history’ question made central.</w:t>
      </w:r>
    </w:p>
    <w:p>
      <w:pPr>
        <w:pStyle w:val="ListBullet"/>
        <w:spacing w:after="20"/>
      </w:pPr>
      <w:r>
        <w:rPr>
          <w:b/>
        </w:rPr>
        <w:t xml:space="preserve">Literature: </w:t>
      </w:r>
      <w:r>
        <w:t>Twomey paper corrected to Corbet &amp; Twomey (2015); closest prior work (Sahiner 2023; Ahmed 2026) identified; novelty claim narrowed.</w:t>
      </w:r>
    </w:p>
    <w:p>
      <w:pPr>
        <w:pStyle w:val="ListBullet"/>
        <w:spacing w:after="20"/>
      </w:pPr>
      <w:r>
        <w:rPr>
          <w:b/>
        </w:rPr>
        <w:t xml:space="preserve">v1.4 (30 Sep 2026): </w:t>
      </w:r>
      <w:r>
        <w:rPr/>
        <w:t xml:space="preserve">results are in (Section 12). Two exploratory extensions added through Amendment A1: Diebold–Yilmaz moves from ‘deferred to PhD’ to exploratory E1 (compared with SHAP), and a new E2 checks the volatility paradox with FRED data from 1955.</w:t>
      </w:r>
    </w:p>
    <w:p>
      <w:pPr>
        <w:pStyle w:val="ListBullet"/>
        <w:spacing w:after="20"/>
      </w:pPr>
      <w:r>
        <w:rPr>
          <w:b/>
        </w:rPr>
        <w:t xml:space="preserve">v1.4 corrections: </w:t>
      </w:r>
      <w:r>
        <w:rPr/>
        <w:t xml:space="preserve">Gallagher &amp; Twomey (1998), not Twomey (1998); the tuned LSTM is look-back 22, 64 units, 2 layers; SHAP explains every day in each window plus every 10th calm day (not a random sample).</w:t>
      </w:r>
    </w:p>
    <w:p>
      <w:pPr>
        <w:pStyle w:val="Heading1"/>
      </w:pPr>
      <w:r>
        <w:rPr>
          <w:color w:val="1F4E79"/>
        </w:rPr>
        <w:t>5. Final research design</w:t>
      </w:r>
    </w:p>
    <w:p>
      <w:pPr>
        <w:pStyle w:val="Heading2"/>
      </w:pPr>
      <w:r>
        <w:rPr>
          <w:color w:val="1F4E79"/>
        </w:rPr>
        <w:t>5.1 Research questions and pre-registered hypotheses</w:t>
      </w:r>
    </w:p>
    <w:p>
      <w:pPr>
        <w:spacing w:after="80"/>
      </w:pPr>
      <w:r>
        <w:rPr>
          <w:i w:val="0"/>
        </w:rPr>
        <w:t>Write these into a file in your project (PREREGISTRATION.md) and commit it to Git before running any model. The commit date proves the hypotheses came before the results, which examiners trust.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7"/>
              </w:rPr>
              <w:t>RQ</w:t>
            </w:r>
          </w:p>
        </w:tc>
        <w:tc>
          <w:tcPr>
            <w:tcW w:type="dxa" w:w="2381"/>
            <w:shd w:val="clear" w:color="auto" w:fill="1F4E79"/>
          </w:tcPr>
          <w:p>
            <w:r>
              <w:rPr>
                <w:b/>
                <w:color w:val="FFFFFF"/>
                <w:sz w:val="17"/>
              </w:rPr>
              <w:t>Question</w:t>
            </w:r>
          </w:p>
        </w:tc>
        <w:tc>
          <w:tcPr>
            <w:tcW w:type="dxa" w:w="3742"/>
            <w:shd w:val="clear" w:color="auto" w:fill="1F4E79"/>
          </w:tcPr>
          <w:p>
            <w:r>
              <w:rPr>
                <w:b/>
                <w:color w:val="FFFFFF"/>
                <w:sz w:val="17"/>
              </w:rPr>
              <w:t>Hypothesis (stated before results)</w:t>
            </w:r>
          </w:p>
        </w:tc>
        <w:tc>
          <w:tcPr>
            <w:tcW w:type="dxa" w:w="2268"/>
            <w:shd w:val="clear" w:color="auto" w:fill="1F4E79"/>
          </w:tcPr>
          <w:p>
            <w:r>
              <w:rPr>
                <w:b/>
                <w:color w:val="FFFFFF"/>
                <w:sz w:val="17"/>
              </w:rPr>
              <w:t>Test</w:t>
            </w:r>
          </w:p>
        </w:tc>
      </w:tr>
      <w:tr>
        <w:tc>
          <w:tcPr>
            <w:tcW w:type="dxa" w:w="1247"/>
          </w:tcPr>
          <w:p>
            <w:r>
              <w:rPr>
                <w:sz w:val="17"/>
              </w:rPr>
              <w:t>RQ1 Accuracy</w:t>
            </w:r>
          </w:p>
        </w:tc>
        <w:tc>
          <w:tcPr>
            <w:tcW w:type="dxa" w:w="2381"/>
          </w:tcPr>
          <w:p>
            <w:r>
              <w:rPr>
                <w:sz w:val="17"/>
              </w:rPr>
              <w:t>Does the LSTM forecast Irish volatility better than GARCH(1,1) and HAR, overall and within each crisis?</w:t>
            </w:r>
          </w:p>
        </w:tc>
        <w:tc>
          <w:tcPr>
            <w:tcW w:type="dxa" w:w="3742"/>
          </w:tcPr>
          <w:p>
            <w:r>
              <w:rPr>
                <w:sz w:val="17"/>
              </w:rPr>
              <w:t>H1: LSTM has lower QLIKE than both benchmarks out-of-sample. H0: no difference.</w:t>
            </w:r>
          </w:p>
        </w:tc>
        <w:tc>
          <w:tcPr>
            <w:tcW w:type="dxa" w:w="2268"/>
          </w:tcPr>
          <w:p>
            <w:r>
              <w:rPr>
                <w:sz w:val="17"/>
              </w:rPr>
              <w:t>Diebold–Mariano–HLN, 5% level; per-window results reported descriptively (small samples)</w:t>
            </w:r>
          </w:p>
        </w:tc>
      </w:tr>
      <w:tr>
        <w:tc>
          <w:tcPr>
            <w:tcW w:type="dxa" w:w="1247"/>
          </w:tcPr>
          <w:p>
            <w:r>
              <w:rPr>
                <w:sz w:val="17"/>
              </w:rPr>
              <w:t>RQ2 Fingerprints</w:t>
            </w:r>
          </w:p>
        </w:tc>
        <w:tc>
          <w:tcPr>
            <w:tcW w:type="dxa" w:w="2381"/>
          </w:tcPr>
          <w:p>
            <w:r>
              <w:rPr>
                <w:sz w:val="17"/>
              </w:rPr>
              <w:t>Do grouped SHAP attributions shift across crises in line with each crisis’s origin?</w:t>
            </w:r>
          </w:p>
        </w:tc>
        <w:tc>
          <w:tcPr>
            <w:tcW w:type="dxa" w:w="3742"/>
          </w:tcPr>
          <w:p>
            <w:r>
              <w:rPr>
                <w:sz w:val="17"/>
              </w:rPr>
              <w:t>Relative to calm periods: GFC → the US share rises most (domestic also high, as Ireland’s banking collapse was partly home-grown); Irish debt crisis → euro and domestic shares rise, US share below its GFC level; COVID → all three channels rise together. Validation: 2022 → euro share rises; FTSE robustness run: Brexit → UK share rises.</w:t>
            </w:r>
          </w:p>
        </w:tc>
        <w:tc>
          <w:tcPr>
            <w:tcW w:type="dxa" w:w="2268"/>
          </w:tcPr>
          <w:p>
            <w:r>
              <w:rPr>
                <w:sz w:val="17"/>
              </w:rPr>
              <w:t>Compare group shares by window with block-bootstrap confidence intervals</w:t>
            </w:r>
          </w:p>
        </w:tc>
      </w:tr>
      <w:tr>
        <w:tc>
          <w:tcPr>
            <w:tcW w:type="dxa" w:w="1247"/>
          </w:tcPr>
          <w:p>
            <w:r>
              <w:rPr>
                <w:sz w:val="17"/>
              </w:rPr>
              <w:t>RQ3 History</w:t>
            </w:r>
          </w:p>
        </w:tc>
        <w:tc>
          <w:tcPr>
            <w:tcW w:type="dxa" w:w="2381"/>
          </w:tcPr>
          <w:p>
            <w:r>
              <w:rPr>
                <w:sz w:val="17"/>
              </w:rPr>
              <w:t>Does a model trained only on earlier history keep working when a new crisis arrives?</w:t>
            </w:r>
          </w:p>
        </w:tc>
        <w:tc>
          <w:tcPr>
            <w:tcW w:type="dxa" w:w="3742"/>
          </w:tcPr>
          <w:p>
            <w:r>
              <w:rPr>
                <w:sz w:val="17"/>
              </w:rPr>
              <w:t>A Minsky test. The GFC model, trained only on the calm 2003–07 boom, loses the most accuracy relative to HAR; the Irish debt-crisis model, which has already seen a banking crisis (the GFC), loses the least; the COVID model, facing an exogenous shock unlike anything in its history, falls in between.</w:t>
            </w:r>
          </w:p>
        </w:tc>
        <w:tc>
          <w:tcPr>
            <w:tcW w:type="dxa" w:w="2268"/>
          </w:tcPr>
          <w:p>
            <w:r>
              <w:rPr>
                <w:sz w:val="17"/>
              </w:rPr>
              <w:t>Frozen vs annually retrained models; QLIKE ratio per crisis</w:t>
            </w:r>
          </w:p>
        </w:tc>
      </w:tr>
      <w:tr>
        <w:tc>
          <w:tcPr>
            <w:tcW w:type="dxa" w:w="1247"/>
          </w:tcPr>
          <w:p>
            <w:r>
              <w:rPr>
                <w:sz w:val="17"/>
              </w:rPr>
              <w:t>RQ4 Robustness</w:t>
            </w:r>
          </w:p>
        </w:tc>
        <w:tc>
          <w:tcPr>
            <w:tcW w:type="dxa" w:w="2381"/>
          </w:tcPr>
          <w:p>
            <w:r>
              <w:rPr>
                <w:sz w:val="17"/>
              </w:rPr>
              <w:t>Are the SHAP fingerprints stable across random training seeds?</w:t>
            </w:r>
          </w:p>
        </w:tc>
        <w:tc>
          <w:tcPr>
            <w:tcW w:type="dxa" w:w="3742"/>
          </w:tcPr>
          <w:p>
            <w:r>
              <w:rPr>
                <w:sz w:val="17"/>
              </w:rPr>
              <w:t>Group-share rankings agree across 5 seeds (mean Spearman ≥ 0.8, criterion fixed in advance).</w:t>
            </w:r>
          </w:p>
        </w:tc>
        <w:tc>
          <w:tcPr>
            <w:tcW w:type="dxa" w:w="2268"/>
          </w:tcPr>
          <w:p>
            <w:r>
              <w:rPr>
                <w:sz w:val="17"/>
              </w:rPr>
              <w:t>Spearman / Kendall rank correlation</w:t>
            </w:r>
          </w:p>
        </w:tc>
      </w:tr>
    </w:tbl>
    <w:p>
      <w:pPr>
        <w:spacing w:after="40"/>
      </w:pPr>
    </w:p>
    <w:p>
      <w:pPr>
        <w:pStyle w:val="Heading2"/>
      </w:pPr>
      <w:r>
        <w:rPr>
          <w:color w:val="1F4E79"/>
        </w:rPr>
        <w:t>5.2 Data</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701"/>
            <w:shd w:val="clear" w:color="auto" w:fill="1F4E79"/>
          </w:tcPr>
          <w:p>
            <w:r>
              <w:rPr>
                <w:b/>
                <w:color w:val="FFFFFF"/>
                <w:sz w:val="17"/>
              </w:rPr>
              <w:t>Series</w:t>
            </w:r>
          </w:p>
        </w:tc>
        <w:tc>
          <w:tcPr>
            <w:tcW w:type="dxa" w:w="1247"/>
            <w:shd w:val="clear" w:color="auto" w:fill="1F4E79"/>
          </w:tcPr>
          <w:p>
            <w:r>
              <w:rPr>
                <w:b/>
                <w:color w:val="FFFFFF"/>
                <w:sz w:val="17"/>
              </w:rPr>
              <w:t>Yahoo ticker</w:t>
            </w:r>
          </w:p>
        </w:tc>
        <w:tc>
          <w:tcPr>
            <w:tcW w:type="dxa" w:w="1701"/>
            <w:shd w:val="clear" w:color="auto" w:fill="1F4E79"/>
          </w:tcPr>
          <w:p>
            <w:r>
              <w:rPr>
                <w:b/>
                <w:color w:val="FFFFFF"/>
                <w:sz w:val="17"/>
              </w:rPr>
              <w:t>Channel (SHAP group)</w:t>
            </w:r>
          </w:p>
        </w:tc>
        <w:tc>
          <w:tcPr>
            <w:tcW w:type="dxa" w:w="2835"/>
            <w:shd w:val="clear" w:color="auto" w:fill="1F4E79"/>
          </w:tcPr>
          <w:p>
            <w:r>
              <w:rPr>
                <w:b/>
                <w:color w:val="FFFFFF"/>
                <w:sz w:val="17"/>
              </w:rPr>
              <w:t>Input(s) per day</w:t>
            </w:r>
          </w:p>
        </w:tc>
        <w:tc>
          <w:tcPr>
            <w:tcW w:type="dxa" w:w="2154"/>
            <w:shd w:val="clear" w:color="auto" w:fill="1F4E79"/>
          </w:tcPr>
          <w:p>
            <w:r>
              <w:rPr>
                <w:b/>
                <w:color w:val="FFFFFF"/>
                <w:sz w:val="17"/>
              </w:rPr>
              <w:t>Role</w:t>
            </w:r>
          </w:p>
        </w:tc>
      </w:tr>
      <w:tr>
        <w:tc>
          <w:tcPr>
            <w:tcW w:type="dxa" w:w="1701"/>
          </w:tcPr>
          <w:p>
            <w:r>
              <w:rPr>
                <w:sz w:val="17"/>
              </w:rPr>
              <w:t>ISEQ Overall</w:t>
            </w:r>
          </w:p>
        </w:tc>
        <w:tc>
          <w:tcPr>
            <w:tcW w:type="dxa" w:w="1247"/>
          </w:tcPr>
          <w:p>
            <w:r>
              <w:rPr>
                <w:sz w:val="17"/>
              </w:rPr>
              <w:t>^ISEQ</w:t>
            </w:r>
          </w:p>
        </w:tc>
        <w:tc>
          <w:tcPr>
            <w:tcW w:type="dxa" w:w="1701"/>
          </w:tcPr>
          <w:p>
            <w:r>
              <w:rPr>
                <w:sz w:val="17"/>
              </w:rPr>
              <w:t>domestic</w:t>
            </w:r>
          </w:p>
        </w:tc>
        <w:tc>
          <w:tcPr>
            <w:tcW w:type="dxa" w:w="2835"/>
          </w:tcPr>
          <w:p>
            <w:r>
              <w:rPr>
                <w:sz w:val="17"/>
              </w:rPr>
              <w:t>log return; log squared return</w:t>
            </w:r>
          </w:p>
        </w:tc>
        <w:tc>
          <w:tcPr>
            <w:tcW w:type="dxa" w:w="2154"/>
          </w:tcPr>
          <w:p>
            <w:r>
              <w:rPr>
                <w:sz w:val="17"/>
              </w:rPr>
              <w:t>Target + own history</w:t>
            </w:r>
          </w:p>
        </w:tc>
      </w:tr>
      <w:tr>
        <w:tc>
          <w:tcPr>
            <w:tcW w:type="dxa" w:w="1701"/>
          </w:tcPr>
          <w:p>
            <w:r>
              <w:rPr>
                <w:sz w:val="17"/>
              </w:rPr>
              <w:t>S&amp;P 500</w:t>
            </w:r>
          </w:p>
        </w:tc>
        <w:tc>
          <w:tcPr>
            <w:tcW w:type="dxa" w:w="1247"/>
          </w:tcPr>
          <w:p>
            <w:r>
              <w:rPr>
                <w:sz w:val="17"/>
              </w:rPr>
              <w:t>^GSPC</w:t>
            </w:r>
          </w:p>
        </w:tc>
        <w:tc>
          <w:tcPr>
            <w:tcW w:type="dxa" w:w="1701"/>
          </w:tcPr>
          <w:p>
            <w:r>
              <w:rPr>
                <w:sz w:val="17"/>
              </w:rPr>
              <w:t>us</w:t>
            </w:r>
          </w:p>
        </w:tc>
        <w:tc>
          <w:tcPr>
            <w:tcW w:type="dxa" w:w="2835"/>
          </w:tcPr>
          <w:p>
            <w:r>
              <w:rPr>
                <w:sz w:val="17"/>
              </w:rPr>
              <w:t>log return; squared return</w:t>
            </w:r>
          </w:p>
        </w:tc>
        <w:tc>
          <w:tcPr>
            <w:tcW w:type="dxa" w:w="2154"/>
          </w:tcPr>
          <w:p>
            <w:r>
              <w:rPr>
                <w:sz w:val="17"/>
              </w:rPr>
              <w:t>US channel (GFC origin)</w:t>
            </w:r>
          </w:p>
        </w:tc>
      </w:tr>
      <w:tr>
        <w:tc>
          <w:tcPr>
            <w:tcW w:type="dxa" w:w="1701"/>
          </w:tcPr>
          <w:p>
            <w:r>
              <w:rPr>
                <w:sz w:val="17"/>
              </w:rPr>
              <w:t>FTSE 100</w:t>
            </w:r>
          </w:p>
        </w:tc>
        <w:tc>
          <w:tcPr>
            <w:tcW w:type="dxa" w:w="1247"/>
          </w:tcPr>
          <w:p>
            <w:r>
              <w:rPr>
                <w:sz w:val="17"/>
              </w:rPr>
              <w:t>^FTSE</w:t>
            </w:r>
          </w:p>
        </w:tc>
        <w:tc>
          <w:tcPr>
            <w:tcW w:type="dxa" w:w="1701"/>
          </w:tcPr>
          <w:p>
            <w:r>
              <w:rPr>
                <w:sz w:val="17"/>
              </w:rPr>
              <w:t>uk</w:t>
            </w:r>
          </w:p>
        </w:tc>
        <w:tc>
          <w:tcPr>
            <w:tcW w:type="dxa" w:w="2835"/>
          </w:tcPr>
          <w:p>
            <w:r>
              <w:rPr>
                <w:sz w:val="17"/>
              </w:rPr>
              <w:t>log return; squared return</w:t>
            </w:r>
          </w:p>
        </w:tc>
        <w:tc>
          <w:tcPr>
            <w:tcW w:type="dxa" w:w="2154"/>
          </w:tcPr>
          <w:p>
            <w:r>
              <w:rPr>
                <w:sz w:val="17"/>
              </w:rPr>
              <w:t>Robustness only: replaces DAX in one run; Brexit check</w:t>
            </w:r>
          </w:p>
        </w:tc>
      </w:tr>
      <w:tr>
        <w:tc>
          <w:tcPr>
            <w:tcW w:type="dxa" w:w="1701"/>
          </w:tcPr>
          <w:p>
            <w:r>
              <w:rPr>
                <w:sz w:val="17"/>
              </w:rPr>
              <w:t>DAX</w:t>
            </w:r>
          </w:p>
        </w:tc>
        <w:tc>
          <w:tcPr>
            <w:tcW w:type="dxa" w:w="1247"/>
          </w:tcPr>
          <w:p>
            <w:r>
              <w:rPr>
                <w:sz w:val="17"/>
              </w:rPr>
              <w:t>^GDAXI</w:t>
            </w:r>
          </w:p>
        </w:tc>
        <w:tc>
          <w:tcPr>
            <w:tcW w:type="dxa" w:w="1701"/>
          </w:tcPr>
          <w:p>
            <w:r>
              <w:rPr>
                <w:sz w:val="17"/>
              </w:rPr>
              <w:t>euro</w:t>
            </w:r>
          </w:p>
        </w:tc>
        <w:tc>
          <w:tcPr>
            <w:tcW w:type="dxa" w:w="2835"/>
          </w:tcPr>
          <w:p>
            <w:r>
              <w:rPr>
                <w:sz w:val="17"/>
              </w:rPr>
              <w:t>log return; squared return</w:t>
            </w:r>
          </w:p>
        </w:tc>
        <w:tc>
          <w:tcPr>
            <w:tcW w:type="dxa" w:w="2154"/>
          </w:tcPr>
          <w:p>
            <w:r>
              <w:rPr>
                <w:sz w:val="17"/>
              </w:rPr>
              <w:t>Euro-area channel (Irish debt crisis)</w:t>
            </w:r>
          </w:p>
        </w:tc>
      </w:tr>
    </w:tbl>
    <w:p>
      <w:pPr>
        <w:spacing w:after="40"/>
      </w:pPr>
    </w:p>
    <w:p>
      <w:pPr>
        <w:spacing w:after="80"/>
      </w:pPr>
      <w:r>
        <w:rPr>
          <w:i w:val="0"/>
        </w:rPr>
        <w:t>All raw downloads are cached to data/raw/ the first time, so the study stays reproducible if Yahoo changes.</w:t>
      </w:r>
    </w:p>
    <w:p>
      <w:pPr>
        <w:pStyle w:val="Heading2"/>
      </w:pPr>
      <w:r>
        <w:rPr>
          <w:color w:val="1F4E79"/>
        </w:rPr>
        <w:t>5.3 Evaluation windows (defined ex post, never model inputs)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701"/>
            <w:shd w:val="clear" w:color="auto" w:fill="1F4E79"/>
          </w:tcPr>
          <w:p>
            <w:r>
              <w:rPr>
                <w:b/>
                <w:color w:val="FFFFFF"/>
                <w:sz w:val="17"/>
              </w:rPr>
              <w:t>Window</w:t>
            </w:r>
          </w:p>
        </w:tc>
        <w:tc>
          <w:tcPr>
            <w:tcW w:type="dxa" w:w="2948"/>
            <w:shd w:val="clear" w:color="auto" w:fill="1F4E79"/>
          </w:tcPr>
          <w:p>
            <w:r>
              <w:rPr>
                <w:b/>
                <w:color w:val="FFFFFF"/>
                <w:sz w:val="17"/>
              </w:rPr>
              <w:t>Start → end (event)</w:t>
            </w:r>
          </w:p>
        </w:tc>
        <w:tc>
          <w:tcPr>
            <w:tcW w:type="dxa" w:w="2041"/>
            <w:shd w:val="clear" w:color="auto" w:fill="1F4E79"/>
          </w:tcPr>
          <w:p>
            <w:r>
              <w:rPr>
                <w:b/>
                <w:color w:val="FFFFFF"/>
                <w:sz w:val="17"/>
              </w:rPr>
              <w:t>Origin type</w:t>
            </w:r>
          </w:p>
        </w:tc>
        <w:tc>
          <w:tcPr>
            <w:tcW w:type="dxa" w:w="624"/>
            <w:shd w:val="clear" w:color="auto" w:fill="1F4E79"/>
          </w:tcPr>
          <w:p>
            <w:r>
              <w:rPr>
                <w:b/>
                <w:color w:val="FFFFFF"/>
                <w:sz w:val="17"/>
              </w:rPr>
              <w:t>Days</w:t>
            </w:r>
          </w:p>
        </w:tc>
        <w:tc>
          <w:tcPr>
            <w:tcW w:type="dxa" w:w="1020"/>
            <w:shd w:val="clear" w:color="auto" w:fill="1F4E79"/>
          </w:tcPr>
          <w:p>
            <w:r>
              <w:rPr>
                <w:b/>
                <w:color w:val="FFFFFF"/>
                <w:sz w:val="17"/>
              </w:rPr>
              <w:t>Max drawdown</w:t>
            </w:r>
          </w:p>
        </w:tc>
        <w:tc>
          <w:tcPr>
            <w:tcW w:type="dxa" w:w="1304"/>
            <w:shd w:val="clear" w:color="auto" w:fill="1F4E79"/>
          </w:tcPr>
          <w:p>
            <w:r>
              <w:rPr>
                <w:b/>
                <w:color w:val="FFFFFF"/>
                <w:sz w:val="17"/>
              </w:rPr>
              <w:t>Median / peak vol</w:t>
            </w:r>
          </w:p>
        </w:tc>
      </w:tr>
      <w:tr>
        <w:tc>
          <w:tcPr>
            <w:tcW w:type="dxa" w:w="1701"/>
          </w:tcPr>
          <w:p>
            <w:r>
              <w:rPr>
                <w:sz w:val="17"/>
              </w:rPr>
              <w:t>Global Financial Crisis</w:t>
            </w:r>
          </w:p>
        </w:tc>
        <w:tc>
          <w:tcPr>
            <w:tcW w:type="dxa" w:w="2948"/>
          </w:tcPr>
          <w:p>
            <w:r>
              <w:rPr>
                <w:sz w:val="17"/>
              </w:rPr>
              <w:t>9 Aug 2007 (BNP Paribas freeze) → 9 Mar 2009 (S&amp;P 500 trough)</w:t>
            </w:r>
          </w:p>
        </w:tc>
        <w:tc>
          <w:tcPr>
            <w:tcW w:type="dxa" w:w="2041"/>
          </w:tcPr>
          <w:p>
            <w:r>
              <w:rPr>
                <w:sz w:val="17"/>
              </w:rPr>
              <w:t>Credit/banking, US-led; Irish banking collapse in parallel</w:t>
            </w:r>
          </w:p>
        </w:tc>
        <w:tc>
          <w:tcPr>
            <w:tcW w:type="dxa" w:w="624"/>
          </w:tcPr>
          <w:p>
            <w:r>
              <w:rPr>
                <w:sz w:val="17"/>
              </w:rPr>
              <w:t>402</w:t>
            </w:r>
          </w:p>
        </w:tc>
        <w:tc>
          <w:tcPr>
            <w:tcW w:type="dxa" w:w="1020"/>
          </w:tcPr>
          <w:p>
            <w:r>
              <w:rPr>
                <w:sz w:val="17"/>
              </w:rPr>
              <w:t>−78.0%</w:t>
            </w:r>
          </w:p>
        </w:tc>
        <w:tc>
          <w:tcPr>
            <w:tcW w:type="dxa" w:w="1304"/>
          </w:tcPr>
          <w:p>
            <w:r>
              <w:rPr>
                <w:sz w:val="17"/>
              </w:rPr>
              <w:t>34.2% / 121.3%</w:t>
            </w:r>
          </w:p>
        </w:tc>
      </w:tr>
      <w:tr>
        <w:tc>
          <w:tcPr>
            <w:tcW w:type="dxa" w:w="1701"/>
          </w:tcPr>
          <w:p>
            <w:r>
              <w:rPr>
                <w:sz w:val="17"/>
              </w:rPr>
              <w:t>Irish sovereign debt crisis</w:t>
            </w:r>
          </w:p>
        </w:tc>
        <w:tc>
          <w:tcPr>
            <w:tcW w:type="dxa" w:w="2948"/>
          </w:tcPr>
          <w:p>
            <w:r>
              <w:rPr>
                <w:sz w:val="17"/>
              </w:rPr>
              <w:t>23 Apr 2010 (Greece requests aid) → 26 Jul 2012 (Draghi); Irish bailout Nov 2010</w:t>
            </w:r>
          </w:p>
        </w:tc>
        <w:tc>
          <w:tcPr>
            <w:tcW w:type="dxa" w:w="2041"/>
          </w:tcPr>
          <w:p>
            <w:r>
              <w:rPr>
                <w:sz w:val="17"/>
              </w:rPr>
              <w:t>Sovereign–bank loop, euro area / Ireland</w:t>
            </w:r>
          </w:p>
        </w:tc>
        <w:tc>
          <w:tcPr>
            <w:tcW w:type="dxa" w:w="624"/>
          </w:tcPr>
          <w:p>
            <w:r>
              <w:rPr>
                <w:sz w:val="17"/>
              </w:rPr>
              <w:t>574</w:t>
            </w:r>
          </w:p>
        </w:tc>
        <w:tc>
          <w:tcPr>
            <w:tcW w:type="dxa" w:w="1020"/>
          </w:tcPr>
          <w:p>
            <w:r>
              <w:rPr>
                <w:sz w:val="17"/>
              </w:rPr>
              <w:t>−32.3%</w:t>
            </w:r>
          </w:p>
        </w:tc>
        <w:tc>
          <w:tcPr>
            <w:tcW w:type="dxa" w:w="1304"/>
          </w:tcPr>
          <w:p>
            <w:r>
              <w:rPr>
                <w:sz w:val="17"/>
              </w:rPr>
              <w:t>18.2% / 72.2%</w:t>
            </w:r>
          </w:p>
        </w:tc>
      </w:tr>
      <w:tr>
        <w:tc>
          <w:tcPr>
            <w:tcW w:type="dxa" w:w="1701"/>
          </w:tcPr>
          <w:p>
            <w:r>
              <w:rPr>
                <w:sz w:val="17"/>
              </w:rPr>
              <w:t>COVID-19</w:t>
            </w:r>
          </w:p>
        </w:tc>
        <w:tc>
          <w:tcPr>
            <w:tcW w:type="dxa" w:w="2948"/>
          </w:tcPr>
          <w:p>
            <w:r>
              <w:rPr>
                <w:sz w:val="17"/>
              </w:rPr>
              <w:t>19 Feb 2020 (S&amp;P 500 peak) → 30 Jun 2020</w:t>
            </w:r>
          </w:p>
        </w:tc>
        <w:tc>
          <w:tcPr>
            <w:tcW w:type="dxa" w:w="2041"/>
          </w:tcPr>
          <w:p>
            <w:r>
              <w:rPr>
                <w:sz w:val="17"/>
              </w:rPr>
              <w:t>Exogenous global shock</w:t>
            </w:r>
          </w:p>
        </w:tc>
        <w:tc>
          <w:tcPr>
            <w:tcW w:type="dxa" w:w="624"/>
          </w:tcPr>
          <w:p>
            <w:r>
              <w:rPr>
                <w:sz w:val="17"/>
              </w:rPr>
              <w:t>92</w:t>
            </w:r>
          </w:p>
        </w:tc>
        <w:tc>
          <w:tcPr>
            <w:tcW w:type="dxa" w:w="1020"/>
          </w:tcPr>
          <w:p>
            <w:r>
              <w:rPr>
                <w:sz w:val="17"/>
              </w:rPr>
              <w:t>−39.8%</w:t>
            </w:r>
          </w:p>
        </w:tc>
        <w:tc>
          <w:tcPr>
            <w:tcW w:type="dxa" w:w="1304"/>
          </w:tcPr>
          <w:p>
            <w:r>
              <w:rPr>
                <w:sz w:val="17"/>
              </w:rPr>
              <w:t>35.9% / 110.5%</w:t>
            </w:r>
          </w:p>
        </w:tc>
      </w:tr>
      <w:tr>
        <w:tc>
          <w:tcPr>
            <w:tcW w:type="dxa" w:w="1701"/>
          </w:tcPr>
          <w:p>
            <w:r>
              <w:rPr>
                <w:sz w:val="17"/>
              </w:rPr>
              <w:t>Validation: Brexit</w:t>
            </w:r>
          </w:p>
        </w:tc>
        <w:tc>
          <w:tcPr>
            <w:tcW w:type="dxa" w:w="2948"/>
          </w:tcPr>
          <w:p>
            <w:r>
              <w:rPr>
                <w:sz w:val="17"/>
              </w:rPr>
              <w:t>1 Jun 2016 → 31 Jul 2016 (referendum 23 Jun)</w:t>
            </w:r>
          </w:p>
        </w:tc>
        <w:tc>
          <w:tcPr>
            <w:tcW w:type="dxa" w:w="2041"/>
          </w:tcPr>
          <w:p>
            <w:r>
              <w:rPr>
                <w:sz w:val="17"/>
              </w:rPr>
              <w:t>UK political shock</w:t>
            </w:r>
          </w:p>
        </w:tc>
        <w:tc>
          <w:tcPr>
            <w:tcW w:type="dxa" w:w="624"/>
          </w:tcPr>
          <w:p>
            <w:r>
              <w:rPr>
                <w:sz w:val="17"/>
              </w:rPr>
              <w:t>42</w:t>
            </w:r>
          </w:p>
        </w:tc>
        <w:tc>
          <w:tcPr>
            <w:tcW w:type="dxa" w:w="1020"/>
          </w:tcPr>
          <w:p>
            <w:r>
              <w:rPr>
                <w:sz w:val="17"/>
              </w:rPr>
              <w:t>−18.2%</w:t>
            </w:r>
          </w:p>
        </w:tc>
        <w:tc>
          <w:tcPr>
            <w:tcW w:type="dxa" w:w="1304"/>
          </w:tcPr>
          <w:p>
            <w:r>
              <w:rPr>
                <w:sz w:val="17"/>
              </w:rPr>
              <w:t>24.9% / 97.7%</w:t>
            </w:r>
          </w:p>
        </w:tc>
      </w:tr>
      <w:tr>
        <w:tc>
          <w:tcPr>
            <w:tcW w:type="dxa" w:w="1701"/>
          </w:tcPr>
          <w:p>
            <w:r>
              <w:rPr>
                <w:sz w:val="17"/>
              </w:rPr>
              <w:t>Validation: war / rate shock</w:t>
            </w:r>
          </w:p>
        </w:tc>
        <w:tc>
          <w:tcPr>
            <w:tcW w:type="dxa" w:w="2948"/>
          </w:tcPr>
          <w:p>
            <w:r>
              <w:rPr>
                <w:sz w:val="17"/>
              </w:rPr>
              <w:t>10 Feb 2022 → 31 Oct 2022 (invasion 24 Feb; ECB hikes from Jul)</w:t>
            </w:r>
          </w:p>
        </w:tc>
        <w:tc>
          <w:tcPr>
            <w:tcW w:type="dxa" w:w="2041"/>
          </w:tcPr>
          <w:p>
            <w:r>
              <w:rPr>
                <w:sz w:val="17"/>
              </w:rPr>
              <w:t>European energy + interest-rate shock</w:t>
            </w:r>
          </w:p>
        </w:tc>
        <w:tc>
          <w:tcPr>
            <w:tcW w:type="dxa" w:w="624"/>
          </w:tcPr>
          <w:p>
            <w:r>
              <w:rPr>
                <w:sz w:val="17"/>
              </w:rPr>
              <w:t>185</w:t>
            </w:r>
          </w:p>
        </w:tc>
        <w:tc>
          <w:tcPr>
            <w:tcW w:type="dxa" w:w="1020"/>
          </w:tcPr>
          <w:p>
            <w:r>
              <w:rPr>
                <w:sz w:val="17"/>
              </w:rPr>
              <w:t>−27.5%</w:t>
            </w:r>
          </w:p>
        </w:tc>
        <w:tc>
          <w:tcPr>
            <w:tcW w:type="dxa" w:w="1304"/>
          </w:tcPr>
          <w:p>
            <w:r>
              <w:rPr>
                <w:sz w:val="17"/>
              </w:rPr>
              <w:t>23.3% / 66.5%</w:t>
            </w:r>
          </w:p>
        </w:tc>
      </w:tr>
      <w:tr>
        <w:tc>
          <w:tcPr>
            <w:tcW w:type="dxa" w:w="1701"/>
          </w:tcPr>
          <w:p>
            <w:r>
              <w:rPr>
                <w:sz w:val="17"/>
              </w:rPr>
              <w:t>Calm (all other days)</w:t>
            </w:r>
          </w:p>
        </w:tc>
        <w:tc>
          <w:tcPr>
            <w:tcW w:type="dxa" w:w="2948"/>
          </w:tcPr>
          <w:p>
            <w:r>
              <w:rPr>
                <w:sz w:val="17"/>
              </w:rPr>
              <w:t>—</w:t>
            </w:r>
          </w:p>
        </w:tc>
        <w:tc>
          <w:tcPr>
            <w:tcW w:type="dxa" w:w="2041"/>
          </w:tcPr>
          <w:p>
            <w:r>
              <w:rPr>
                <w:sz w:val="17"/>
              </w:rPr>
              <w:t>—</w:t>
            </w:r>
          </w:p>
        </w:tc>
        <w:tc>
          <w:tcPr>
            <w:tcW w:type="dxa" w:w="624"/>
          </w:tcPr>
          <w:p>
            <w:r>
              <w:rPr>
                <w:sz w:val="17"/>
              </w:rPr>
              <w:t>—</w:t>
            </w:r>
          </w:p>
        </w:tc>
        <w:tc>
          <w:tcPr>
            <w:tcW w:type="dxa" w:w="1020"/>
          </w:tcPr>
          <w:p>
            <w:r>
              <w:rPr>
                <w:sz w:val="17"/>
              </w:rPr>
              <w:t>—</w:t>
            </w:r>
          </w:p>
        </w:tc>
        <w:tc>
          <w:tcPr>
            <w:tcW w:type="dxa" w:w="1304"/>
          </w:tcPr>
          <w:p>
            <w:r>
              <w:rPr>
                <w:sz w:val="17"/>
              </w:rPr>
              <w:t>median 13.0%</w:t>
            </w:r>
          </w:p>
        </w:tc>
      </w:tr>
    </w:tbl>
    <w:p>
      <w:pPr>
        <w:spacing w:after="40"/>
      </w:pPr>
    </w:p>
    <w:p>
      <w:pPr>
        <w:spacing w:after="80"/>
      </w:pPr>
      <w:r>
        <w:rPr>
          <w:i/>
          <w:sz w:val="18"/>
        </w:rPr>
        <w:t>Figures from the pipeline’s data_quality_report.txt. Volatility = annualised forward 5-day realised volatility. Confirm event dates against a primary source when you write Chapter 2.</w:t>
      </w:r>
    </w:p>
    <w:p>
      <w:r>
        <w:drawing>
          <wp:inline xmlns:a="http://schemas.openxmlformats.org/drawingml/2006/main" xmlns:pic="http://schemas.openxmlformats.org/drawingml/2006/picture">
            <wp:extent cx="6120000" cy="3530769"/>
            <wp:docPr id="1" name="Picture 1"/>
            <wp:cNvGraphicFramePr>
              <a:graphicFrameLocks noChangeAspect="1"/>
            </wp:cNvGraphicFramePr>
            <a:graphic>
              <a:graphicData uri="http://schemas.openxmlformats.org/drawingml/2006/picture">
                <pic:pic>
                  <pic:nvPicPr>
                    <pic:cNvPr id="0" name="crisis_chart.png"/>
                    <pic:cNvPicPr/>
                  </pic:nvPicPr>
                  <pic:blipFill>
                    <a:blip r:embed="rId9"/>
                    <a:stretch>
                      <a:fillRect/>
                    </a:stretch>
                  </pic:blipFill>
                  <pic:spPr>
                    <a:xfrm>
                      <a:off x="0" y="0"/>
                      <a:ext cx="6120000" cy="3530769"/>
                    </a:xfrm>
                    <a:prstGeom prst="rect"/>
                  </pic:spPr>
                </pic:pic>
              </a:graphicData>
            </a:graphic>
          </wp:inline>
        </w:drawing>
      </w:r>
    </w:p>
    <w:p>
      <w:pPr>
        <w:spacing w:after="80"/>
      </w:pPr>
      <w:r>
        <w:rPr>
          <w:i/>
          <w:sz w:val="18"/>
        </w:rPr>
        <w:t>Figure: ISEQ level (top) and forward 5-day realised volatility (bottom), with evaluation windows shaded and the 2023 composition break marked; hatched = validation events. Generated by code/01_data_pipeline.py.</w:t>
      </w:r>
    </w:p>
    <w:p>
      <w:pPr>
        <w:pStyle w:val="Heading2"/>
      </w:pPr>
      <w:r>
        <w:rPr>
          <w:color w:val="1F4E79"/>
        </w:rPr>
        <w:t>5.4 Target variable</w:t>
      </w:r>
    </w:p>
    <w:p>
      <w:pPr>
        <w:pStyle w:val="ListBullet"/>
        <w:spacing w:after="20"/>
      </w:pPr>
      <w:r>
        <w:t>Daily log return r(t) = ln(close t / close t−1).</w:t>
      </w:r>
    </w:p>
    <w:p>
      <w:pPr>
        <w:pStyle w:val="ListBullet"/>
        <w:spacing w:after="20"/>
      </w:pPr>
      <w:r>
        <w:t>Target at forecast origin t: RV5(t) = r(t+1)² + … + r(t+5)², i.e. realised variance over the next trading week.</w:t>
      </w:r>
    </w:p>
    <w:p>
      <w:pPr>
        <w:pStyle w:val="ListBullet"/>
        <w:spacing w:after="20"/>
      </w:pPr>
      <w:r>
        <w:t>Models learn log RV5 (more symmetric, always positive). When converting back, apply a bias adjustment estimated on the validation period, because exp(average of logs) underestimates the average.</w:t>
      </w:r>
    </w:p>
    <w:p>
      <w:pPr>
        <w:pStyle w:val="ListBullet"/>
        <w:spacing w:after="20"/>
      </w:pPr>
      <w:r>
        <w:t>Why weekly, not daily: a single squared return is a very noisy proxy; summing five reduces noise and matches the HAR model’s weekly component.</w:t>
      </w:r>
    </w:p>
    <w:p>
      <w:pPr>
        <w:pStyle w:val="ListBullet"/>
        <w:spacing w:after="20"/>
      </w:pPr>
      <w:r>
        <w:t>Robustness: repeat headline results with Parkinson range volatility for 2007–2023.</w:t>
      </w:r>
    </w:p>
    <w:p>
      <w:pPr>
        <w:pStyle w:val="Heading2"/>
      </w:pPr>
      <w:r>
        <w:rPr>
          <w:color w:val="1F4E79"/>
        </w:rPr>
        <w:t>5.5 Information set and time zones</w:t>
      </w:r>
    </w:p>
    <w:p>
      <w:pPr>
        <w:spacing w:after="80"/>
      </w:pPr>
      <w:r>
        <w:rPr>
          <w:i w:val="0"/>
        </w:rPr>
        <w:t>Forecast issued at 08:00 Dublin time on day t+1, before the Irish market opens. By then the Irish close (16:30), London and Frankfurt closes, and the New York close (21:00 Dublin time) of day t are all known. Every input is joined ‘as-of’ date t or earlier, never t+1. When a foreign market was closed on day t, its last known value is carried forward (0.9–2.7% of Irish days). State this explicitly in the Methodology chapter. Cite Hamao, Masulis &amp; Ng (1990) for why trading-hour differences matter.</w:t>
      </w:r>
    </w:p>
    <w:p>
      <w:pPr>
        <w:pStyle w:val="Heading2"/>
      </w:pPr>
      <w:r>
        <w:rPr>
          <w:color w:val="1F4E79"/>
        </w:rPr>
        <w:t>5.6 Models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1247"/>
            <w:shd w:val="clear" w:color="auto" w:fill="1F4E79"/>
          </w:tcPr>
          <w:p>
            <w:r>
              <w:rPr>
                <w:b/>
                <w:color w:val="FFFFFF"/>
                <w:sz w:val="17"/>
              </w:rPr>
              <w:t>Model</w:t>
            </w:r>
          </w:p>
        </w:tc>
        <w:tc>
          <w:tcPr>
            <w:tcW w:type="dxa" w:w="3402"/>
            <w:shd w:val="clear" w:color="auto" w:fill="1F4E79"/>
          </w:tcPr>
          <w:p>
            <w:r>
              <w:rPr>
                <w:b/>
                <w:color w:val="FFFFFF"/>
                <w:sz w:val="17"/>
              </w:rPr>
              <w:t>Specification</w:t>
            </w:r>
          </w:p>
        </w:tc>
        <w:tc>
          <w:tcPr>
            <w:tcW w:type="dxa" w:w="3572"/>
            <w:shd w:val="clear" w:color="auto" w:fill="1F4E79"/>
          </w:tcPr>
          <w:p>
            <w:r>
              <w:rPr>
                <w:b/>
                <w:color w:val="FFFFFF"/>
                <w:sz w:val="17"/>
              </w:rPr>
              <w:t>Estimation and refitting</w:t>
            </w:r>
          </w:p>
        </w:tc>
        <w:tc>
          <w:tcPr>
            <w:tcW w:type="dxa" w:w="1417"/>
            <w:shd w:val="clear" w:color="auto" w:fill="1F4E79"/>
          </w:tcPr>
          <w:p>
            <w:r>
              <w:rPr>
                <w:b/>
                <w:color w:val="FFFFFF"/>
                <w:sz w:val="17"/>
              </w:rPr>
              <w:t>Library</w:t>
            </w:r>
          </w:p>
        </w:tc>
      </w:tr>
      <w:tr>
        <w:tc>
          <w:tcPr>
            <w:tcW w:type="dxa" w:w="1247"/>
          </w:tcPr>
          <w:p>
            <w:r>
              <w:rPr>
                <w:sz w:val="17"/>
              </w:rPr>
              <w:t>GARCH(1,1)</w:t>
            </w:r>
          </w:p>
        </w:tc>
        <w:tc>
          <w:tcPr>
            <w:tcW w:type="dxa" w:w="3402"/>
          </w:tcPr>
          <w:p>
            <w:r>
              <w:rPr>
                <w:sz w:val="17"/>
              </w:rPr>
              <w:t>Daily ISEQ returns (×100), constant mean, Student-t errors. 5-day forecast = sum of the 1- to 5-step variance forecasts</w:t>
            </w:r>
          </w:p>
        </w:tc>
        <w:tc>
          <w:tcPr>
            <w:tcW w:type="dxa" w:w="3572"/>
          </w:tcPr>
          <w:p>
            <w:r>
              <w:rPr>
                <w:sz w:val="17"/>
              </w:rPr>
              <w:t>Refit once a year on an expanding window; parameters fixed within the year while variance updates daily</w:t>
            </w:r>
          </w:p>
        </w:tc>
        <w:tc>
          <w:tcPr>
            <w:tcW w:type="dxa" w:w="1417"/>
          </w:tcPr>
          <w:p>
            <w:r>
              <w:rPr>
                <w:sz w:val="17"/>
              </w:rPr>
              <w:t>arch</w:t>
            </w:r>
          </w:p>
        </w:tc>
      </w:tr>
      <w:tr>
        <w:tc>
          <w:tcPr>
            <w:tcW w:type="dxa" w:w="1247"/>
          </w:tcPr>
          <w:p>
            <w:r>
              <w:rPr>
                <w:sz w:val="17"/>
              </w:rPr>
              <w:t>HAR (log)</w:t>
            </w:r>
          </w:p>
        </w:tc>
        <w:tc>
          <w:tcPr>
            <w:tcW w:type="dxa" w:w="3402"/>
          </w:tcPr>
          <w:p>
            <w:r>
              <w:rPr>
                <w:sz w:val="17"/>
              </w:rPr>
              <w:t>log RV5 on log daily, weekly (5-day) and monthly (22-day) average squared returns</w:t>
            </w:r>
          </w:p>
        </w:tc>
        <w:tc>
          <w:tcPr>
            <w:tcW w:type="dxa" w:w="3572"/>
          </w:tcPr>
          <w:p>
            <w:r>
              <w:rPr>
                <w:sz w:val="17"/>
              </w:rPr>
              <w:t>OLS, refit annually on the expanding window</w:t>
            </w:r>
          </w:p>
        </w:tc>
        <w:tc>
          <w:tcPr>
            <w:tcW w:type="dxa" w:w="1417"/>
          </w:tcPr>
          <w:p>
            <w:r>
              <w:rPr>
                <w:sz w:val="17"/>
              </w:rPr>
              <w:t>statsmodels</w:t>
            </w:r>
          </w:p>
        </w:tc>
      </w:tr>
      <w:tr>
        <w:tc>
          <w:tcPr>
            <w:tcW w:type="dxa" w:w="1247"/>
          </w:tcPr>
          <w:p>
            <w:r>
              <w:rPr>
                <w:sz w:val="17"/>
              </w:rPr>
              <w:t>LSTM</w:t>
            </w:r>
          </w:p>
        </w:tc>
        <w:tc>
          <w:tcPr>
            <w:tcW w:type="dxa" w:w="3402"/>
          </w:tcPr>
          <w:p>
            <w:r>
              <w:rPr>
                <w:sz w:val="17"/>
                <w:b w:val="0"/>
              </w:rPr>
              <w:t xml:space="preserve">Look-back 22 days (also try 66); 6 inputs per day; 1–2 layers of 32 units; dropout 0.2; linear output = log RV5 → tuned result (frozen): look-back 22, 64 units, 2 layers</w:t>
            </w:r>
          </w:p>
        </w:tc>
        <w:tc>
          <w:tcPr>
            <w:tcW w:type="dxa" w:w="3572"/>
          </w:tcPr>
          <w:p>
            <w:r>
              <w:rPr>
                <w:sz w:val="17"/>
              </w:rPr>
              <w:t>Adam (learning rate 1e-3), MSE on log target, early stopping on the last 12 months of each training window; refit annually; 5 seeds</w:t>
            </w:r>
          </w:p>
        </w:tc>
        <w:tc>
          <w:tcPr>
            <w:tcW w:type="dxa" w:w="1417"/>
          </w:tcPr>
          <w:p>
            <w:r>
              <w:rPr>
                <w:sz w:val="17"/>
              </w:rPr>
              <w:t>PyTorch</w:t>
            </w:r>
          </w:p>
        </w:tc>
      </w:tr>
    </w:tbl>
    <w:p>
      <w:pPr>
        <w:spacing w:after="40"/>
      </w:pPr>
    </w:p>
    <w:p>
      <w:pPr>
        <w:pStyle w:val="Heading2"/>
      </w:pPr>
      <w:r>
        <w:rPr>
          <w:color w:val="1F4E79"/>
        </w:rPr>
        <w:t>5.7 Training and validation protocol</w:t>
      </w:r>
    </w:p>
    <w:p>
      <w:pPr>
        <w:pStyle w:val="ListBullet"/>
        <w:spacing w:after="20"/>
      </w:pPr>
      <w:r>
        <w:rPr>
          <w:b/>
        </w:rPr>
        <w:t xml:space="preserve">Expanding window: </w:t>
      </w:r>
      <w:r>
        <w:t>first training period Jan 2003 – Dec 2006 (4 years); test 2007; add 2007 to training; test 2008; and so on to Aug 2023 (17 test years).</w:t>
      </w:r>
    </w:p>
    <w:p>
      <w:pPr>
        <w:pStyle w:val="ListBullet"/>
        <w:spacing w:after="20"/>
      </w:pPr>
      <w:r>
        <w:rPr>
          <w:b/>
        </w:rPr>
        <w:t xml:space="preserve">Validation: </w:t>
      </w:r>
      <w:r>
        <w:t>the last 12 months of each training window, used only for early stopping and bias adjustment.</w:t>
      </w:r>
    </w:p>
    <w:p>
      <w:pPr>
        <w:pStyle w:val="ListBullet"/>
        <w:spacing w:after="20"/>
      </w:pPr>
      <w:r>
        <w:rPr>
          <w:b/>
        </w:rPr>
        <w:t xml:space="preserve">Scaling: </w:t>
      </w:r>
      <w:r>
        <w:t>each scaler is fitted on its own training window only, then applied to the next test year.</w:t>
      </w:r>
    </w:p>
    <w:p>
      <w:pPr>
        <w:pStyle w:val="ListBullet"/>
        <w:spacing w:after="20"/>
      </w:pPr>
      <w:r>
        <w:rPr>
          <w:b/>
        </w:rPr>
        <w:t xml:space="preserve">Seeds: </w:t>
      </w:r>
      <w:r>
        <w:t>5 random seeds per refit; report the mean forecast and use the spread for RQ4.</w:t>
      </w:r>
    </w:p>
    <w:p>
      <w:pPr>
        <w:pStyle w:val="ListBullet"/>
        <w:spacing w:after="20"/>
      </w:pPr>
      <w:r>
        <w:rPr>
          <w:b/>
        </w:rPr>
        <w:t xml:space="preserve">Tuning: </w:t>
      </w:r>
      <w:r>
        <w:t>small, fixed grid (look-back 22/66; units 32/64), chosen on validation loss in the first windows only, then frozen. Say so; do not tune on test data.</w:t>
      </w:r>
    </w:p>
    <w:p>
      <w:pPr>
        <w:pStyle w:val="ListBullet"/>
        <w:spacing w:after="20"/>
      </w:pPr>
      <w:r>
        <w:rPr>
          <w:b/>
        </w:rPr>
        <w:t xml:space="preserve">RQ3 frozen models: </w:t>
      </w:r>
      <w:r>
        <w:t>train to 8 Aug 2007 then test on the GFC; to 22 Apr 2010 then test on the euro crisis; to 18 Feb 2020 then test on COVID, with no refitting. Compare with the annually refitted model.</w:t>
      </w:r>
    </w:p>
    <w:p>
      <w:pPr>
        <w:pStyle w:val="Heading2"/>
      </w:pPr>
      <w:r>
        <w:rPr>
          <w:color w:val="1F4E79"/>
        </w:rPr>
        <w:t>5.8 Evaluation</w:t>
      </w:r>
    </w:p>
    <w:p>
      <w:pPr>
        <w:pStyle w:val="ListBullet"/>
        <w:spacing w:after="20"/>
      </w:pPr>
      <w:r>
        <w:rPr>
          <w:b/>
        </w:rPr>
        <w:t xml:space="preserve">Losses: </w:t>
      </w:r>
      <w:r>
        <w:t>MSE on the variance level and QLIKE = RV/F − ln(RV/F) − 1 (Patton, 2011). QLIKE is primary.</w:t>
      </w:r>
    </w:p>
    <w:p>
      <w:pPr>
        <w:pStyle w:val="ListBullet"/>
        <w:spacing w:after="20"/>
      </w:pPr>
      <w:r>
        <w:rPr>
          <w:b/>
        </w:rPr>
        <w:t xml:space="preserve">Significance: </w:t>
      </w:r>
      <w:r>
        <w:t>Diebold–Mariano with a Newey–West variance (4 lags, because 5-day forecasts overlap) and the Harvey–Leybourne–Newbold small-sample correction.</w:t>
      </w:r>
    </w:p>
    <w:p>
      <w:pPr>
        <w:pStyle w:val="ListBullet"/>
        <w:spacing w:after="20"/>
      </w:pPr>
      <w:r>
        <w:rPr>
          <w:b/>
        </w:rPr>
        <w:t xml:space="preserve">By window: </w:t>
      </w:r>
      <w:r>
        <w:t>report losses for each crisis and calm periods. Short windows (COVID, 92 days) have little statistical power; describe them, do not over-test them.</w:t>
      </w:r>
    </w:p>
    <w:p>
      <w:pPr>
        <w:pStyle w:val="ListBullet"/>
        <w:spacing w:after="20"/>
      </w:pPr>
      <w:r>
        <w:rPr>
          <w:b/>
        </w:rPr>
        <w:t xml:space="preserve">Optional: </w:t>
      </w:r>
      <w:r>
        <w:t>Mincer–Zarnowitz regression for forecast bias; Model Confidence Set (Hansen, Lunde &amp; Nason, 2011) only if time allows.</w:t>
      </w:r>
    </w:p>
    <w:p>
      <w:pPr>
        <w:pStyle w:val="Heading2"/>
      </w:pPr>
      <w:r>
        <w:rPr>
          <w:color w:val="1F4E79"/>
        </w:rPr>
        <w:t>5.9 Explainability</w:t>
      </w:r>
    </w:p>
    <w:p>
      <w:pPr>
        <w:pStyle w:val="ListBullet"/>
        <w:spacing w:after="20"/>
      </w:pPr>
      <w:r>
        <w:rPr>
          <w:b/>
        </w:rPr>
        <w:t xml:space="preserve">Method: </w:t>
      </w:r>
      <w:r>
        <w:t>Captum GradientShap (an expected-gradients approximation to SHAP) on the trained PyTorch LSTM. Integrated Gradients as a cross-check.</w:t>
      </w:r>
    </w:p>
    <w:p>
      <w:pPr>
        <w:pStyle w:val="ListBullet"/>
        <w:spacing w:after="20"/>
      </w:pPr>
      <w:r>
        <w:rPr>
          <w:b/>
        </w:rPr>
        <w:t xml:space="preserve">Background (baseline) set: </w:t>
      </w:r>
      <w:r>
        <w:t>200 randomly drawn input windows from the same training period.</w:t>
      </w:r>
    </w:p>
    <w:p>
      <w:pPr>
        <w:pStyle w:val="ListBullet"/>
        <w:spacing w:after="20"/>
      </w:pPr>
      <w:r>
        <w:rPr>
          <w:b/>
        </w:rPr>
        <w:t xml:space="preserve">Days explained (as run): </w:t>
      </w:r>
      <w:r>
        <w:rPr/>
        <w:t xml:space="preserve">every day in each window plus every 10th calm day — 1,547 days × 5 seeds (decision 25 Sep 2026; full windows allow a block bootstrap over consecutive days).</w:t>
      </w:r>
    </w:p>
    <w:p>
      <w:pPr>
        <w:pStyle w:val="ListBullet"/>
        <w:spacing w:after="20"/>
      </w:pPr>
      <w:r>
        <w:rPr>
          <w:b/>
        </w:rPr>
        <w:t xml:space="preserve">Aggregation: </w:t>
      </w:r>
      <w:r>
        <w:t>sum absolute attributions over the 22 look-back days and over the inputs in each channel, then convert to shares of the total. Three channels: domestic, us, euro (uk in the robustness run).</w:t>
      </w:r>
    </w:p>
    <w:p>
      <w:pPr>
        <w:pStyle w:val="ListBullet"/>
        <w:spacing w:after="20"/>
      </w:pPr>
      <w:r>
        <w:rPr>
          <w:b/>
        </w:rPr>
        <w:t xml:space="preserve">Uncertainty: </w:t>
      </w:r>
      <w:r>
        <w:t>block-bootstrap the sampled days to put confidence intervals on each share.</w:t>
      </w:r>
    </w:p>
    <w:p>
      <w:pPr>
        <w:pStyle w:val="ListBullet"/>
        <w:spacing w:after="20"/>
      </w:pPr>
      <w:r>
        <w:rPr>
          <w:b/>
        </w:rPr>
        <w:t xml:space="preserve">Sanity check: </w:t>
      </w:r>
      <w:r>
        <w:t>grouped permutation importance should rank channels broadly the same way.</w:t>
      </w:r>
      <w:r>
        <w:t xml:space="preserve"> (Not run so far — optional; the exploratory Diebold–Yilmaz comparison, E1, now plays a similar cross-checking role.)</w:t>
      </w:r>
    </w:p>
    <w:p>
      <w:pPr>
        <w:pStyle w:val="ListBullet"/>
        <w:spacing w:after="20"/>
      </w:pPr>
      <w:r>
        <w:rPr>
          <w:b/>
        </w:rPr>
        <w:t xml:space="preserve">Interpretation rule: </w:t>
      </w:r>
      <w:r>
        <w:t>attributions describe what drives the model’s forecasts, not causes. Call them ‘fingerprints consistent with transmission’, never proof of contagion.</w:t>
      </w:r>
    </w:p>
    <w:p>
      <w:pPr>
        <w:pStyle w:val="Heading2"/>
      </w:pPr>
      <w:r>
        <w:rPr>
          <w:color w:val="1F4E79"/>
        </w:rPr>
        <w:t>5.10 Scope</w:t>
      </w:r>
    </w:p>
    <w:tbl>
      <w:tblPr>
        <w:tblStyle w:val="TableGrid"/>
        <w:tblW w:type="auto" w:w="0"/>
        <w:jc w:val="center"/>
        <w:tblLook w:firstColumn="1" w:firstRow="1" w:lastColumn="0" w:lastRow="0" w:noHBand="0" w:noVBand="1" w:val="04A0"/>
      </w:tblPr>
      <w:tblGrid>
        <w:gridCol w:w="4986"/>
        <w:gridCol w:w="4986"/>
      </w:tblGrid>
      <w:tr>
        <w:tc>
          <w:tcPr>
            <w:tcW w:type="dxa" w:w="1417"/>
            <w:shd w:val="clear" w:color="auto" w:fill="1F4E79"/>
          </w:tcPr>
          <w:p>
            <w:r>
              <w:rPr>
                <w:b/>
                <w:color w:val="FFFFFF"/>
                <w:sz w:val="17"/>
              </w:rPr>
              <w:t>Tier</w:t>
            </w:r>
          </w:p>
        </w:tc>
        <w:tc>
          <w:tcPr>
            <w:tcW w:type="dxa" w:w="8220"/>
            <w:shd w:val="clear" w:color="auto" w:fill="1F4E79"/>
          </w:tcPr>
          <w:p>
            <w:r>
              <w:rPr>
                <w:b/>
                <w:color w:val="FFFFFF"/>
                <w:sz w:val="17"/>
              </w:rPr>
              <w:t>Work</w:t>
            </w:r>
          </w:p>
        </w:tc>
      </w:tr>
      <w:tr>
        <w:tc>
          <w:tcPr>
            <w:tcW w:type="dxa" w:w="1417"/>
          </w:tcPr>
          <w:p>
            <w:r>
              <w:rPr>
                <w:sz w:val="17"/>
              </w:rPr>
              <w:t>MUST</w:t>
            </w:r>
          </w:p>
        </w:tc>
        <w:tc>
          <w:tcPr>
            <w:tcW w:type="dxa" w:w="8220"/>
          </w:tcPr>
          <w:p>
            <w:r>
              <w:rPr>
                <w:sz w:val="17"/>
              </w:rPr>
              <w:t>Data pipeline (done) · GARCH, HAR, LSTM · walk-forward forecasts · MSE/QLIKE + DM-HLN · grouped SHAP by window · RQ3 frozen-model test</w:t>
            </w:r>
          </w:p>
        </w:tc>
      </w:tr>
      <w:tr>
        <w:tc>
          <w:tcPr>
            <w:tcW w:type="dxa" w:w="1417"/>
          </w:tcPr>
          <w:p>
            <w:r>
              <w:rPr>
                <w:sz w:val="17"/>
              </w:rPr>
              <w:t>SHOULD</w:t>
            </w:r>
          </w:p>
        </w:tc>
        <w:tc>
          <w:tcPr>
            <w:tcW w:type="dxa" w:w="8220"/>
          </w:tcPr>
          <w:p>
            <w:r>
              <w:rPr>
                <w:sz w:val="17"/>
              </w:rPr>
              <w:t>SHAP stability across 5 seeds (RQ4) · 2022 validation event · FTSE-for-DAX robustness run (incl. Brexit) · Parkinson robustness · post-2023 robustness</w:t>
            </w:r>
          </w:p>
        </w:tc>
      </w:tr>
      <w:tr>
        <w:tc>
          <w:tcPr>
            <w:tcW w:type="dxa" w:w="1417"/>
          </w:tcPr>
          <w:p>
            <w:r>
              <w:rPr>
                <w:sz w:val="17"/>
                <w:b w:val="0"/>
              </w:rPr>
              <w:t xml:space="preserve">EXPLORATORY (A1)</w:t>
            </w:r>
          </w:p>
        </w:tc>
        <w:tc>
          <w:tcPr>
            <w:tcW w:type="dxa" w:w="8220"/>
          </w:tcPr>
          <w:p>
            <w:r>
              <w:rPr>
                <w:sz w:val="17"/>
                <w:b w:val="0"/>
              </w:rPr>
              <w:t xml:space="preserve">E1 Diebold–Yilmaz spillovers vs SHAP · E2 volatility paradox — done 30 Sep 2026, reported separately from the hypotheses</w:t>
            </w:r>
          </w:p>
        </w:tc>
      </w:tr>
      <w:tr>
        <w:tc>
          <w:tcPr>
            <w:tcW w:type="dxa" w:w="1417"/>
          </w:tcPr>
          <w:p>
            <w:r>
              <w:rPr>
                <w:sz w:val="17"/>
              </w:rPr>
              <w:t>DEFER (PhD)</w:t>
            </w:r>
          </w:p>
        </w:tc>
        <w:tc>
          <w:tcPr>
            <w:tcW w:type="dxa" w:w="8220"/>
          </w:tcPr>
          <w:p>
            <w:r>
              <w:rPr>
                <w:sz w:val="17"/>
                <w:b w:val="0"/>
              </w:rPr>
              <w:t xml:space="preserve">Monte Carlo Dropout vs GARCH simulation intervals · TVP-VAR connectedness · Irish bank stocks · sovereign bonds · more countries (Diebold–Yilmaz moved to EXPLORATORY)</w:t>
            </w:r>
          </w:p>
        </w:tc>
      </w:tr>
    </w:tbl>
    <w:p>
      <w:pPr>
        <w:spacing w:after="40"/>
      </w:pPr>
    </w:p>
    <w:p>
      <w:pPr>
        <w:pStyle w:val="Heading2"/>
      </w:pPr>
      <w:r>
        <w:rPr>
          <w:color w:val="1F4E79"/>
        </w:rPr>
        <w:t>5.11 Methodological framing (for the Methodology chapter)</w:t>
      </w:r>
    </w:p>
    <w:p>
      <w:pPr>
        <w:pStyle w:val="ListBullet"/>
        <w:spacing w:after="20"/>
      </w:pPr>
      <w:r>
        <w:t>Philosophy: positivist; approach: deductive (hypotheses stated first); design: quantitative, longitudinal secondary-data study (Saunders, Lewis &amp; Thornhill, 2019). Note: unlike the old proposal, this is not cross-sectional.</w:t>
      </w:r>
    </w:p>
    <w:p>
      <w:pPr>
        <w:pStyle w:val="ListBullet"/>
        <w:spacing w:after="20"/>
      </w:pPr>
      <w:r>
        <w:t>Process model: CRISP-DM, which DBS examiners know. Map each phase to a section.</w:t>
      </w:r>
    </w:p>
    <w:p>
      <w:pPr>
        <w:pStyle w:val="ListBullet"/>
        <w:spacing w:after="20"/>
      </w:pPr>
      <w:r>
        <w:t>Artefact: a reproducible, open-data forecasting-and-explanation pipeline (code, cached data, figures). Evaluation language for an Information Systems audience: Hevner et al. (2004).</w:t>
      </w:r>
    </w:p>
    <w:p>
      <w:pPr>
        <w:pStyle w:val="ListBullet"/>
        <w:spacing w:after="20"/>
      </w:pPr>
      <w:r>
        <w:t>Ethics: public market data only; no personal data; no human participants.</w:t>
      </w:r>
    </w:p>
    <w:p>
      <w:pPr>
        <w:pStyle w:val="Heading2"/>
      </w:pPr>
      <w:r>
        <w:rPr>
          <w:color w:val="1F4E79"/>
        </w:rPr>
        <w:t>5.12 Novelty statement (narrow and defensible)</w:t>
      </w:r>
    </w:p>
    <w:p>
      <w:pPr>
        <w:spacing w:after="80"/>
      </w:pPr>
      <w:r>
        <w:rPr>
          <w:i/>
        </w:rPr>
        <w:t>Prior work has forecast volatility with LSTMs (Bucci, 2020), explained volatility models with SHAP (Ahmed, 2026, preprint), and measured crisis spillovers with econometrics and deep learning (Sahiner, 2023; Corbet &amp; Twomey, 2015). This study contributes by (1) using grouped SHAP attributions as falsifiable ‘fingerprints’ compared across three crises of different origin, checked against two single-origin validation events, (2) testing whether models trained on earlier crises generalise to the next, and (3) doing so for a small open economy exposed to every one of those shocks. Plan the claim at this level. Do not claim to be ‘the first to use SHAP for volatility’.</w:t>
      </w:r>
    </w:p>
    <w:p>
      <w:pPr>
        <w:pStyle w:val="Heading2"/>
      </w:pPr>
      <w:r>
        <w:rPr>
          <w:color w:val="1F4E79"/>
        </w:rPr>
        <w:t>5.13 Compute budget (estimate, confirm in week 3)</w:t>
      </w:r>
    </w:p>
    <w:p>
      <w:pPr>
        <w:spacing w:after="80"/>
      </w:pPr>
      <w:r>
        <w:rPr>
          <w:i w:val="0"/>
        </w:rPr>
        <w:t xml:space="preserve">About 17 annual refits × 5 seeds = ~85 small LSTM fits on up to ~5,000 samples each. At an estimated 1–3 minutes per fit on a laptop CPU, that is 1.5–4 hours in total, which can be run overnight or on free Google Colab. GARCH/HAR: seconds. GradientShap on ~1,200 sampled days: minutes. Time one fit in week 3 and update this. Actual (25–30 Sep 2026, 12 CPU threads): tuning + 85 LSTM fits ≈ 15 min; SHAP ≈ 21 min (2 workers, 7.7 GB RAM); benchmarks ≈ 10 s; E1 and E2 a few seconds each. University GPU PCs are available if needed.</w:t>
      </w:r>
    </w:p>
    <w:p>
      <w:pPr>
        <w:pStyle w:val="Heading2"/>
      </w:pPr>
      <w:r>
        <w:rPr>
          <w:color w:val="1F4E79"/>
        </w:rPr>
        <w:t xml:space="preserve">5.14 Exploratory extensions (Amendment A1, 30 Sep 2026)</w:t>
      </w:r>
    </w:p>
    <w:p>
      <w:pPr>
        <w:spacing w:after="80"/>
      </w:pPr>
      <w:r>
        <w:rPr>
          <w:i w:val="0"/>
        </w:rPr>
        <w:t xml:space="preserve">Chosen after the main results were known, so they are exploratory: no pass/fail rule, no effect on any hypothesis verdict, reported in full. The specification was committed to Git (PREREGISTRATION.md → Amendments, commit 9c89f79) before either script was run.</w:t>
      </w:r>
    </w:p>
    <w:tbl>
      <w:tblPr>
        <w:tblStyle w:val="TableGrid"/>
        <w:tblW w:type="auto" w:w="0"/>
        <w:jc w:val="center"/>
        <w:tblLook w:firstColumn="1" w:firstRow="1" w:lastColumn="0" w:lastRow="0" w:noHBand="0" w:noVBand="1" w:val="04A0"/>
      </w:tblPr>
      <w:tblGrid>
        <w:gridCol w:w="1701"/>
        <w:gridCol w:w="1928"/>
        <w:gridCol w:w="3061"/>
        <w:gridCol w:w="3061"/>
      </w:tblGrid>
      <w:tr>
        <w:tc>
          <w:tcPr>
            <w:tcW w:type="dxa" w:w="1701"/>
            <w:shd w:val="clear" w:color="auto" w:fill="1F4E79"/>
          </w:tcPr>
          <w:p>
            <w:r>
              <w:rPr>
                <w:color w:val="FFFFFF"/>
                <w:sz w:val="17"/>
                <w:b/>
              </w:rPr>
              <w:t xml:space="preserve">Extension</w:t>
            </w:r>
          </w:p>
        </w:tc>
        <w:tc>
          <w:tcPr>
            <w:tcW w:type="dxa" w:w="1928"/>
            <w:shd w:val="clear" w:color="auto" w:fill="1F4E79"/>
          </w:tcPr>
          <w:p>
            <w:r>
              <w:rPr>
                <w:color w:val="FFFFFF"/>
                <w:sz w:val="17"/>
                <w:b/>
              </w:rPr>
              <w:t xml:space="preserve">Question</w:t>
            </w:r>
          </w:p>
        </w:tc>
        <w:tc>
          <w:tcPr>
            <w:tcW w:type="dxa" w:w="3061"/>
            <w:shd w:val="clear" w:color="auto" w:fill="1F4E79"/>
          </w:tcPr>
          <w:p>
            <w:r>
              <w:rPr>
                <w:color w:val="FFFFFF"/>
                <w:sz w:val="17"/>
                <w:b/>
              </w:rPr>
              <w:t xml:space="preserve">Method and data</w:t>
            </w:r>
          </w:p>
        </w:tc>
        <w:tc>
          <w:tcPr>
            <w:tcW w:type="dxa" w:w="3061"/>
            <w:shd w:val="clear" w:color="auto" w:fill="1F4E79"/>
          </w:tcPr>
          <w:p>
            <w:r>
              <w:rPr>
                <w:color w:val="FFFFFF"/>
                <w:sz w:val="17"/>
                <w:b/>
              </w:rPr>
              <w:t xml:space="preserve">Result</w:t>
            </w:r>
          </w:p>
        </w:tc>
      </w:tr>
      <w:tr>
        <w:tc>
          <w:tcPr>
            <w:tcW w:type="dxa" w:w="1701"/>
          </w:tcPr>
          <w:p>
            <w:r>
              <w:rPr>
                <w:sz w:val="17"/>
                <w:b w:val="0"/>
              </w:rPr>
              <w:t xml:space="preserve">E1 Spillovers vs SHAP (code/11_connectedness.py)</w:t>
            </w:r>
          </w:p>
        </w:tc>
        <w:tc>
          <w:tcPr>
            <w:tcW w:type="dxa" w:w="1928"/>
          </w:tcPr>
          <w:p>
            <w:r>
              <w:rPr>
                <w:sz w:val="17"/>
                <w:b w:val="0"/>
              </w:rPr>
              <w:t xml:space="preserve">Does an econometric spillover measure tell the same story as the SHAP fingerprints?</w:t>
            </w:r>
          </w:p>
        </w:tc>
        <w:tc>
          <w:tcPr>
            <w:tcW w:type="dxa" w:w="3061"/>
          </w:tcPr>
          <w:p>
            <w:r>
              <w:rPr>
                <w:sz w:val="17"/>
                <w:b w:val="0"/>
              </w:rPr>
              <w:t xml:space="preserve">Diebold &amp; Yilmaz (2012): VAR(4) on log 5-day RV of ISEQ, S&amp;P 500, DAX; 200-day rolling; generalized FEVD at 10 days; ISEQ row averaged over the SHAP days. Sensitivity: daily r², 100/300-day windows</w:t>
            </w:r>
          </w:p>
        </w:tc>
        <w:tc>
          <w:tcPr>
            <w:tcW w:type="dxa" w:w="3061"/>
          </w:tcPr>
          <w:p>
            <w:r>
              <w:rPr>
                <w:sz w:val="17"/>
                <w:b w:val="0"/>
              </w:rPr>
              <w:t xml:space="preserve">Weak agreement: 4 of 8 direction checks, 2 of 5 rankings (same in all sensitivity runs). Both show the US highest in COVID-19; in 2022 the spillover euro share rises (0.381) while SHAP’s falls. Total spillover 34.0%; ISEQ net receiver (−8.4)</w:t>
            </w:r>
          </w:p>
        </w:tc>
      </w:tr>
      <w:tr>
        <w:tc>
          <w:tcPr>
            <w:tcW w:type="dxa" w:w="1701"/>
          </w:tcPr>
          <w:p>
            <w:r>
              <w:rPr>
                <w:sz w:val="17"/>
                <w:b w:val="0"/>
              </w:rPr>
              <w:t xml:space="preserve">E2 Volatility paradox (code/12_volatility_paradox.py)</w:t>
            </w:r>
          </w:p>
        </w:tc>
        <w:tc>
          <w:tcPr>
            <w:tcW w:type="dxa" w:w="1928"/>
          </w:tcPr>
          <w:p>
            <w:r>
              <w:rPr>
                <w:sz w:val="17"/>
                <w:b w:val="0"/>
              </w:rPr>
              <w:t xml:space="preserve">Were the crises preceded by unusually calm markets?</w:t>
            </w:r>
          </w:p>
        </w:tc>
        <w:tc>
          <w:tcPr>
            <w:tcW w:type="dxa" w:w="3061"/>
          </w:tcPr>
          <w:p>
            <w:r>
              <w:rPr>
                <w:sz w:val="17"/>
                <w:b w:val="0"/>
              </w:rPr>
              <w:t xml:space="preserve">Danielsson et al. (2018): FRED/OECD monthly prices (Ireland from 1955); annual volatility July–June; one-sided HP trend λ = 5,000; mean below-trend part over 5 pre-crisis years; percentile in own history</w:t>
            </w:r>
          </w:p>
        </w:tc>
        <w:tc>
          <w:tcPr>
            <w:tcW w:type="dxa" w:w="3061"/>
          </w:tcPr>
          <w:p>
            <w:r>
              <w:rPr>
                <w:sz w:val="17"/>
                <w:b w:val="0"/>
              </w:rPr>
              <w:t xml:space="preserve">Before the GFC only Germany was unusually calm (4th percentile); Ireland 40th, US 42nd. No market unusually calm before COVID-19</w:t>
            </w:r>
          </w:p>
        </w:tc>
      </w:tr>
    </w:tbl>
    <w:p>
      <w:pPr>
        <w:spacing w:after="40"/>
      </w:pPr>
    </w:p>
    <w:p>
      <w:pPr>
        <w:pStyle w:val="Heading1"/>
      </w:pPr>
      <w:r>
        <w:rPr>
          <w:color w:val="1F4E79"/>
        </w:rPr>
        <w:t>6. Risk register</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835"/>
            <w:shd w:val="clear" w:color="auto" w:fill="1F4E79"/>
          </w:tcPr>
          <w:p>
            <w:r>
              <w:rPr>
                <w:b/>
                <w:color w:val="FFFFFF"/>
                <w:sz w:val="17"/>
              </w:rPr>
              <w:t>Risk</w:t>
            </w:r>
          </w:p>
        </w:tc>
        <w:tc>
          <w:tcPr>
            <w:tcW w:type="dxa" w:w="1247"/>
            <w:shd w:val="clear" w:color="auto" w:fill="1F4E79"/>
          </w:tcPr>
          <w:p>
            <w:r>
              <w:rPr>
                <w:b/>
                <w:color w:val="FFFFFF"/>
                <w:sz w:val="17"/>
              </w:rPr>
              <w:t>Likelihood</w:t>
            </w:r>
          </w:p>
        </w:tc>
        <w:tc>
          <w:tcPr>
            <w:tcW w:type="dxa" w:w="1020"/>
            <w:shd w:val="clear" w:color="auto" w:fill="1F4E79"/>
          </w:tcPr>
          <w:p>
            <w:r>
              <w:rPr>
                <w:b/>
                <w:color w:val="FFFFFF"/>
                <w:sz w:val="17"/>
              </w:rPr>
              <w:t>Impact</w:t>
            </w:r>
          </w:p>
        </w:tc>
        <w:tc>
          <w:tcPr>
            <w:tcW w:type="dxa" w:w="4535"/>
            <w:shd w:val="clear" w:color="auto" w:fill="1F4E79"/>
          </w:tcPr>
          <w:p>
            <w:r>
              <w:rPr>
                <w:b/>
                <w:color w:val="FFFFFF"/>
                <w:sz w:val="17"/>
              </w:rPr>
              <w:t>Mitigation</w:t>
            </w:r>
          </w:p>
        </w:tc>
      </w:tr>
      <w:tr>
        <w:tc>
          <w:tcPr>
            <w:tcW w:type="dxa" w:w="2835"/>
          </w:tcPr>
          <w:p>
            <w:r>
              <w:rPr>
                <w:sz w:val="17"/>
              </w:rPr>
              <w:t>LSTM does not beat HAR/GARCH</w:t>
            </w:r>
          </w:p>
        </w:tc>
        <w:tc>
          <w:tcPr>
            <w:tcW w:type="dxa" w:w="1247"/>
          </w:tcPr>
          <w:p>
            <w:r>
              <w:rPr>
                <w:sz w:val="17"/>
              </w:rPr>
              <w:t>Medium–high</w:t>
            </w:r>
          </w:p>
        </w:tc>
        <w:tc>
          <w:tcPr>
            <w:tcW w:type="dxa" w:w="1020"/>
          </w:tcPr>
          <w:p>
            <w:r>
              <w:rPr>
                <w:sz w:val="17"/>
              </w:rPr>
              <w:t>Low</w:t>
            </w:r>
          </w:p>
        </w:tc>
        <w:tc>
          <w:tcPr>
            <w:tcW w:type="dxa" w:w="4535"/>
          </w:tcPr>
          <w:p>
            <w:r>
              <w:rPr>
                <w:sz w:val="17"/>
              </w:rPr>
              <w:t>Pre-registered; a well-argued negative result is publishable. RQ2–RQ4 still stand</w:t>
            </w:r>
          </w:p>
        </w:tc>
      </w:tr>
      <w:tr>
        <w:tc>
          <w:tcPr>
            <w:tcW w:type="dxa" w:w="2835"/>
          </w:tcPr>
          <w:p>
            <w:r>
              <w:rPr>
                <w:sz w:val="17"/>
              </w:rPr>
              <w:t>SHAP fingerprints unstable across seeds</w:t>
            </w:r>
          </w:p>
        </w:tc>
        <w:tc>
          <w:tcPr>
            <w:tcW w:type="dxa" w:w="1247"/>
          </w:tcPr>
          <w:p>
            <w:r>
              <w:rPr>
                <w:sz w:val="17"/>
              </w:rPr>
              <w:t>Medium</w:t>
            </w:r>
          </w:p>
        </w:tc>
        <w:tc>
          <w:tcPr>
            <w:tcW w:type="dxa" w:w="1020"/>
          </w:tcPr>
          <w:p>
            <w:r>
              <w:rPr>
                <w:sz w:val="17"/>
              </w:rPr>
              <w:t>High</w:t>
            </w:r>
          </w:p>
        </w:tc>
        <w:tc>
          <w:tcPr>
            <w:tcW w:type="dxa" w:w="4535"/>
          </w:tcPr>
          <w:p>
            <w:r>
              <w:rPr>
                <w:sz w:val="17"/>
              </w:rPr>
              <w:t>RQ4 tests it; average over seeds; report honestly</w:t>
            </w:r>
          </w:p>
        </w:tc>
      </w:tr>
      <w:tr>
        <w:tc>
          <w:tcPr>
            <w:tcW w:type="dxa" w:w="2835"/>
          </w:tcPr>
          <w:p>
            <w:r>
              <w:rPr>
                <w:sz w:val="17"/>
              </w:rPr>
              <w:t>SHAP tooling breaks</w:t>
            </w:r>
          </w:p>
        </w:tc>
        <w:tc>
          <w:tcPr>
            <w:tcW w:type="dxa" w:w="1247"/>
          </w:tcPr>
          <w:p>
            <w:r>
              <w:rPr>
                <w:sz w:val="17"/>
              </w:rPr>
              <w:t>Medium</w:t>
            </w:r>
          </w:p>
        </w:tc>
        <w:tc>
          <w:tcPr>
            <w:tcW w:type="dxa" w:w="1020"/>
          </w:tcPr>
          <w:p>
            <w:r>
              <w:rPr>
                <w:sz w:val="17"/>
              </w:rPr>
              <w:t>High</w:t>
            </w:r>
          </w:p>
        </w:tc>
        <w:tc>
          <w:tcPr>
            <w:tcW w:type="dxa" w:w="4535"/>
          </w:tcPr>
          <w:p>
            <w:r>
              <w:rPr>
                <w:sz w:val="17"/>
              </w:rPr>
              <w:t>PyTorch + Captum; toy test in week 2; Integrated Gradients fallback</w:t>
            </w:r>
          </w:p>
        </w:tc>
      </w:tr>
      <w:tr>
        <w:tc>
          <w:tcPr>
            <w:tcW w:type="dxa" w:w="2835"/>
          </w:tcPr>
          <w:p>
            <w:r>
              <w:rPr>
                <w:sz w:val="17"/>
              </w:rPr>
              <w:t>Correlated inputs blur channels</w:t>
            </w:r>
          </w:p>
        </w:tc>
        <w:tc>
          <w:tcPr>
            <w:tcW w:type="dxa" w:w="1247"/>
          </w:tcPr>
          <w:p>
            <w:r>
              <w:rPr>
                <w:sz w:val="17"/>
              </w:rPr>
              <w:t>Medium</w:t>
            </w:r>
          </w:p>
        </w:tc>
        <w:tc>
          <w:tcPr>
            <w:tcW w:type="dxa" w:w="1020"/>
          </w:tcPr>
          <w:p>
            <w:r>
              <w:rPr>
                <w:sz w:val="17"/>
              </w:rPr>
              <w:t>Medium</w:t>
            </w:r>
          </w:p>
        </w:tc>
        <w:tc>
          <w:tcPr>
            <w:tcW w:type="dxa" w:w="4535"/>
          </w:tcPr>
          <w:p>
            <w:r>
              <w:rPr>
                <w:sz w:val="17"/>
              </w:rPr>
              <w:t>Only three markets; FTSE kept out of the main model (0.84 overlap with DAX); discuss in Limitations</w:t>
            </w:r>
          </w:p>
        </w:tc>
      </w:tr>
      <w:tr>
        <w:tc>
          <w:tcPr>
            <w:tcW w:type="dxa" w:w="2835"/>
          </w:tcPr>
          <w:p>
            <w:r>
              <w:rPr>
                <w:sz w:val="17"/>
              </w:rPr>
              <w:t>Yahoo changes or removes data</w:t>
            </w:r>
          </w:p>
        </w:tc>
        <w:tc>
          <w:tcPr>
            <w:tcW w:type="dxa" w:w="1247"/>
          </w:tcPr>
          <w:p>
            <w:r>
              <w:rPr>
                <w:sz w:val="17"/>
              </w:rPr>
              <w:t>Low</w:t>
            </w:r>
          </w:p>
        </w:tc>
        <w:tc>
          <w:tcPr>
            <w:tcW w:type="dxa" w:w="1020"/>
          </w:tcPr>
          <w:p>
            <w:r>
              <w:rPr>
                <w:sz w:val="17"/>
              </w:rPr>
              <w:t>High</w:t>
            </w:r>
          </w:p>
        </w:tc>
        <w:tc>
          <w:tcPr>
            <w:tcW w:type="dxa" w:w="4535"/>
          </w:tcPr>
          <w:p>
            <w:r>
              <w:rPr>
                <w:sz w:val="17"/>
              </w:rPr>
              <w:t>Raw data cached on first download; keep a backup copy</w:t>
            </w:r>
          </w:p>
        </w:tc>
      </w:tr>
      <w:tr>
        <w:tc>
          <w:tcPr>
            <w:tcW w:type="dxa" w:w="2835"/>
          </w:tcPr>
          <w:p>
            <w:r>
              <w:rPr>
                <w:sz w:val="17"/>
              </w:rPr>
              <w:t>Overclaiming causality</w:t>
            </w:r>
          </w:p>
        </w:tc>
        <w:tc>
          <w:tcPr>
            <w:tcW w:type="dxa" w:w="1247"/>
          </w:tcPr>
          <w:p>
            <w:r>
              <w:rPr>
                <w:sz w:val="17"/>
              </w:rPr>
              <w:t>Medium</w:t>
            </w:r>
          </w:p>
        </w:tc>
        <w:tc>
          <w:tcPr>
            <w:tcW w:type="dxa" w:w="1020"/>
          </w:tcPr>
          <w:p>
            <w:r>
              <w:rPr>
                <w:sz w:val="17"/>
              </w:rPr>
              <w:t>High</w:t>
            </w:r>
          </w:p>
        </w:tc>
        <w:tc>
          <w:tcPr>
            <w:tcW w:type="dxa" w:w="4535"/>
          </w:tcPr>
          <w:p>
            <w:r>
              <w:rPr>
                <w:sz w:val="17"/>
              </w:rPr>
              <w:t>Fixed interpretation rule (5.9); supervisor review of Discussion</w:t>
            </w:r>
          </w:p>
        </w:tc>
      </w:tr>
      <w:tr>
        <w:tc>
          <w:tcPr>
            <w:tcW w:type="dxa" w:w="2835"/>
          </w:tcPr>
          <w:p>
            <w:r>
              <w:rPr>
                <w:sz w:val="17"/>
              </w:rPr>
              <w:t>Time squeeze</w:t>
            </w:r>
          </w:p>
        </w:tc>
        <w:tc>
          <w:tcPr>
            <w:tcW w:type="dxa" w:w="1247"/>
          </w:tcPr>
          <w:p>
            <w:r>
              <w:rPr>
                <w:sz w:val="17"/>
              </w:rPr>
              <w:t>High</w:t>
            </w:r>
          </w:p>
        </w:tc>
        <w:tc>
          <w:tcPr>
            <w:tcW w:type="dxa" w:w="1020"/>
          </w:tcPr>
          <w:p>
            <w:r>
              <w:rPr>
                <w:sz w:val="17"/>
              </w:rPr>
              <w:t>High</w:t>
            </w:r>
          </w:p>
        </w:tc>
        <w:tc>
          <w:tcPr>
            <w:tcW w:type="dxa" w:w="4535"/>
          </w:tcPr>
          <w:p>
            <w:r>
              <w:rPr>
                <w:sz w:val="17"/>
              </w:rPr>
              <w:t>MUST tier first; results by early November; SHOULD items only after the core is done</w:t>
            </w:r>
          </w:p>
        </w:tc>
      </w:tr>
      <w:tr>
        <w:tc>
          <w:tcPr>
            <w:tcW w:type="dxa" w:w="2835"/>
          </w:tcPr>
          <w:p>
            <w:r>
              <w:rPr>
                <w:sz w:val="17"/>
              </w:rPr>
              <w:t>Integrity concerns about AI use</w:t>
            </w:r>
          </w:p>
        </w:tc>
        <w:tc>
          <w:tcPr>
            <w:tcW w:type="dxa" w:w="1247"/>
          </w:tcPr>
          <w:p>
            <w:r>
              <w:rPr>
                <w:sz w:val="17"/>
              </w:rPr>
              <w:t>Low if managed</w:t>
            </w:r>
          </w:p>
        </w:tc>
        <w:tc>
          <w:tcPr>
            <w:tcW w:type="dxa" w:w="1020"/>
          </w:tcPr>
          <w:p>
            <w:r>
              <w:rPr>
                <w:sz w:val="17"/>
              </w:rPr>
              <w:t>Very high</w:t>
            </w:r>
          </w:p>
        </w:tc>
        <w:tc>
          <w:tcPr>
            <w:tcW w:type="dxa" w:w="4535"/>
          </w:tcPr>
          <w:p>
            <w:r>
              <w:rPr>
                <w:sz w:val="17"/>
              </w:rPr>
              <w:t>Section 11 protocol; declare everything</w:t>
            </w:r>
          </w:p>
        </w:tc>
      </w:tr>
      <w:tr>
        <w:tc>
          <w:tcPr>
            <w:tcW w:type="dxa" w:w="2835"/>
          </w:tcPr>
          <w:p>
            <w:r>
              <w:rPr>
                <w:sz w:val="17"/>
              </w:rPr>
              <w:t>Validation events contradict hypotheses</w:t>
            </w:r>
          </w:p>
        </w:tc>
        <w:tc>
          <w:tcPr>
            <w:tcW w:type="dxa" w:w="1247"/>
          </w:tcPr>
          <w:p>
            <w:r>
              <w:rPr>
                <w:sz w:val="17"/>
              </w:rPr>
              <w:t>Medium</w:t>
            </w:r>
          </w:p>
        </w:tc>
        <w:tc>
          <w:tcPr>
            <w:tcW w:type="dxa" w:w="1020"/>
          </w:tcPr>
          <w:p>
            <w:r>
              <w:rPr>
                <w:sz w:val="17"/>
              </w:rPr>
              <w:t>Medium</w:t>
            </w:r>
          </w:p>
        </w:tc>
        <w:tc>
          <w:tcPr>
            <w:tcW w:type="dxa" w:w="4535"/>
          </w:tcPr>
          <w:p>
            <w:r>
              <w:rPr>
                <w:sz w:val="17"/>
              </w:rPr>
              <w:t>Pre-registered; report honestly; it is evidence about SHAP’s limits</w:t>
            </w:r>
          </w:p>
        </w:tc>
      </w:tr>
      <w:tr>
        <w:tc>
          <w:tcPr>
            <w:tcW w:type="dxa" w:w="2835"/>
          </w:tcPr>
          <w:p>
            <w:r>
              <w:rPr>
                <w:sz w:val="17"/>
                <w:b w:val="0"/>
              </w:rPr>
              <w:t xml:space="preserve">Extra analyses after the results look like p-hacking</w:t>
            </w:r>
          </w:p>
        </w:tc>
        <w:tc>
          <w:tcPr>
            <w:tcW w:type="dxa" w:w="1247"/>
          </w:tcPr>
          <w:p>
            <w:r>
              <w:rPr>
                <w:sz w:val="17"/>
                <w:b w:val="0"/>
              </w:rPr>
              <w:t xml:space="preserve">Medium</w:t>
            </w:r>
          </w:p>
        </w:tc>
        <w:tc>
          <w:tcPr>
            <w:tcW w:type="dxa" w:w="1020"/>
          </w:tcPr>
          <w:p>
            <w:r>
              <w:rPr>
                <w:sz w:val="17"/>
                <w:b w:val="0"/>
              </w:rPr>
              <w:t xml:space="preserve">High</w:t>
            </w:r>
          </w:p>
        </w:tc>
        <w:tc>
          <w:tcPr>
            <w:tcW w:type="dxa" w:w="4535"/>
          </w:tcPr>
          <w:p>
            <w:r>
              <w:rPr>
                <w:sz w:val="17"/>
                <w:b w:val="0"/>
              </w:rPr>
              <w:t xml:space="preserve">Dated amendment committed before running; labelled exploratory; no pass/fail; reported in full; never used to change a verdict</w:t>
            </w:r>
          </w:p>
        </w:tc>
      </w:tr>
    </w:tbl>
    <w:p>
      <w:pPr>
        <w:spacing w:after="40"/>
      </w:pPr>
    </w:p>
    <w:p>
      <w:pPr>
        <w:pStyle w:val="Heading1"/>
      </w:pPr>
      <w:r>
        <w:rPr>
          <w:color w:val="1F4E79"/>
        </w:rPr>
        <w:t>7. Pathway</w:t>
      </w:r>
    </w:p>
    <w:p>
      <w:pPr>
        <w:pStyle w:val="Heading2"/>
      </w:pPr>
      <w:r>
        <w:rPr>
          <w:color w:val="1F4E79"/>
        </w:rPr>
        <w:t>7.1 Dissertation — 12-week plan (adjust to the official DBS deadline)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67"/>
            <w:shd w:val="clear" w:color="auto" w:fill="1F4E79"/>
          </w:tcPr>
          <w:p>
            <w:r>
              <w:rPr>
                <w:b/>
                <w:color w:val="FFFFFF"/>
                <w:sz w:val="17"/>
              </w:rPr>
              <w:t>Week</w:t>
            </w:r>
          </w:p>
        </w:tc>
        <w:tc>
          <w:tcPr>
            <w:tcW w:type="dxa" w:w="1361"/>
            <w:shd w:val="clear" w:color="auto" w:fill="1F4E79"/>
          </w:tcPr>
          <w:p>
            <w:r>
              <w:rPr>
                <w:b/>
                <w:color w:val="FFFFFF"/>
                <w:sz w:val="17"/>
              </w:rPr>
              <w:t>Dates (approx.)</w:t>
            </w:r>
          </w:p>
        </w:tc>
        <w:tc>
          <w:tcPr>
            <w:tcW w:type="dxa" w:w="2835"/>
            <w:shd w:val="clear" w:color="auto" w:fill="1F4E79"/>
          </w:tcPr>
          <w:p>
            <w:r>
              <w:rPr>
                <w:b/>
                <w:color w:val="FFFFFF"/>
                <w:sz w:val="17"/>
              </w:rPr>
              <w:t>Build</w:t>
            </w:r>
          </w:p>
        </w:tc>
        <w:tc>
          <w:tcPr>
            <w:tcW w:type="dxa" w:w="2494"/>
            <w:shd w:val="clear" w:color="auto" w:fill="1F4E79"/>
          </w:tcPr>
          <w:p>
            <w:r>
              <w:rPr>
                <w:b/>
                <w:color w:val="FFFFFF"/>
                <w:sz w:val="17"/>
              </w:rPr>
              <w:t>Learn / read</w:t>
            </w:r>
          </w:p>
        </w:tc>
        <w:tc>
          <w:tcPr>
            <w:tcW w:type="dxa" w:w="2381"/>
            <w:shd w:val="clear" w:color="auto" w:fill="1F4E79"/>
          </w:tcPr>
          <w:p>
            <w:r>
              <w:rPr>
                <w:b/>
                <w:color w:val="FFFFFF"/>
                <w:sz w:val="17"/>
              </w:rPr>
              <w:t>Deliverable</w:t>
            </w:r>
          </w:p>
        </w:tc>
      </w:tr>
      <w:tr>
        <w:tc>
          <w:tcPr>
            <w:tcW w:type="dxa" w:w="567"/>
          </w:tcPr>
          <w:p>
            <w:r>
              <w:rPr>
                <w:sz w:val="17"/>
              </w:rPr>
              <w:t>0</w:t>
            </w:r>
          </w:p>
        </w:tc>
        <w:tc>
          <w:tcPr>
            <w:tcW w:type="dxa" w:w="1361"/>
          </w:tcPr>
          <w:p>
            <w:r>
              <w:rPr>
                <w:sz w:val="17"/>
              </w:rPr>
              <w:t>now – 4 Oct</w:t>
            </w:r>
          </w:p>
        </w:tc>
        <w:tc>
          <w:tcPr>
            <w:tcW w:type="dxa" w:w="2835"/>
          </w:tcPr>
          <w:p>
            <w:r>
              <w:rPr>
                <w:sz w:val="17"/>
              </w:rPr>
              <w:t>Pipeline + chart (done)</w:t>
            </w:r>
          </w:p>
        </w:tc>
        <w:tc>
          <w:tcPr>
            <w:tcW w:type="dxa" w:w="2494"/>
          </w:tcPr>
          <w:p>
            <w:r>
              <w:rPr>
                <w:sz w:val="17"/>
              </w:rPr>
              <w:t>Reinhart &amp; Rogoff ch.1; Corsi (2009)</w:t>
            </w:r>
          </w:p>
        </w:tc>
        <w:tc>
          <w:tcPr>
            <w:tcW w:type="dxa" w:w="2381"/>
          </w:tcPr>
          <w:p>
            <w:r>
              <w:rPr>
                <w:sz w:val="17"/>
              </w:rPr>
              <w:t>1-page pitch + chart for supervisor</w:t>
            </w:r>
          </w:p>
        </w:tc>
      </w:tr>
      <w:tr>
        <w:tc>
          <w:tcPr>
            <w:tcW w:type="dxa" w:w="567"/>
          </w:tcPr>
          <w:p>
            <w:r>
              <w:rPr>
                <w:sz w:val="17"/>
              </w:rPr>
              <w:t>1</w:t>
            </w:r>
          </w:p>
        </w:tc>
        <w:tc>
          <w:tcPr>
            <w:tcW w:type="dxa" w:w="1361"/>
          </w:tcPr>
          <w:p>
            <w:r>
              <w:rPr>
                <w:sz w:val="17"/>
              </w:rPr>
              <w:t>5–11 Oct</w:t>
            </w:r>
          </w:p>
        </w:tc>
        <w:tc>
          <w:tcPr>
            <w:tcW w:type="dxa" w:w="2835"/>
          </w:tcPr>
          <w:p>
            <w:r>
              <w:rPr>
                <w:sz w:val="17"/>
              </w:rPr>
              <w:t>Supervisor sign-off; Git repo; PREREGISTRATION.md</w:t>
            </w:r>
          </w:p>
        </w:tc>
        <w:tc>
          <w:tcPr>
            <w:tcW w:type="dxa" w:w="2494"/>
          </w:tcPr>
          <w:p>
            <w:r>
              <w:rPr>
                <w:sz w:val="17"/>
              </w:rPr>
              <w:t>Forbes &amp; Rigobon; Hansen &amp; Lunde</w:t>
            </w:r>
          </w:p>
        </w:tc>
        <w:tc>
          <w:tcPr>
            <w:tcW w:type="dxa" w:w="2381"/>
          </w:tcPr>
          <w:p>
            <w:r>
              <w:rPr>
                <w:sz w:val="17"/>
              </w:rPr>
              <w:t>Approved topic; hypotheses committed</w:t>
            </w:r>
          </w:p>
        </w:tc>
      </w:tr>
      <w:tr>
        <w:tc>
          <w:tcPr>
            <w:tcW w:type="dxa" w:w="567"/>
          </w:tcPr>
          <w:p>
            <w:r>
              <w:rPr>
                <w:sz w:val="17"/>
              </w:rPr>
              <w:t>2</w:t>
            </w:r>
          </w:p>
        </w:tc>
        <w:tc>
          <w:tcPr>
            <w:tcW w:type="dxa" w:w="1361"/>
          </w:tcPr>
          <w:p>
            <w:r>
              <w:rPr>
                <w:sz w:val="17"/>
              </w:rPr>
              <w:t>12–18 Oct</w:t>
            </w:r>
          </w:p>
        </w:tc>
        <w:tc>
          <w:tcPr>
            <w:tcW w:type="dxa" w:w="2835"/>
          </w:tcPr>
          <w:p>
            <w:r>
              <w:rPr>
                <w:sz w:val="17"/>
              </w:rPr>
              <w:t>Install arch, statsmodels, PyTorch, Captum; toy LSTM + GradientShap test</w:t>
            </w:r>
          </w:p>
        </w:tc>
        <w:tc>
          <w:tcPr>
            <w:tcW w:type="dxa" w:w="2494"/>
          </w:tcPr>
          <w:p>
            <w:r>
              <w:rPr>
                <w:sz w:val="17"/>
              </w:rPr>
              <w:t>Lundberg &amp; Lee; Captum docs</w:t>
            </w:r>
          </w:p>
        </w:tc>
        <w:tc>
          <w:tcPr>
            <w:tcW w:type="dxa" w:w="2381"/>
          </w:tcPr>
          <w:p>
            <w:r>
              <w:rPr>
                <w:sz w:val="17"/>
              </w:rPr>
              <w:t>SHAP proven to work</w:t>
            </w:r>
          </w:p>
        </w:tc>
      </w:tr>
      <w:tr>
        <w:tc>
          <w:tcPr>
            <w:tcW w:type="dxa" w:w="567"/>
          </w:tcPr>
          <w:p>
            <w:r>
              <w:rPr>
                <w:sz w:val="17"/>
              </w:rPr>
              <w:t>3</w:t>
            </w:r>
          </w:p>
        </w:tc>
        <w:tc>
          <w:tcPr>
            <w:tcW w:type="dxa" w:w="1361"/>
          </w:tcPr>
          <w:p>
            <w:r>
              <w:rPr>
                <w:sz w:val="17"/>
              </w:rPr>
              <w:t>19–25 Oct</w:t>
            </w:r>
          </w:p>
        </w:tc>
        <w:tc>
          <w:tcPr>
            <w:tcW w:type="dxa" w:w="2835"/>
          </w:tcPr>
          <w:p>
            <w:r>
              <w:rPr>
                <w:sz w:val="17"/>
              </w:rPr>
              <w:t>GARCH + HAR walk-forward; loss functions; time one LSTM fit</w:t>
            </w:r>
          </w:p>
        </w:tc>
        <w:tc>
          <w:tcPr>
            <w:tcW w:type="dxa" w:w="2494"/>
          </w:tcPr>
          <w:p>
            <w:r>
              <w:rPr>
                <w:sz w:val="17"/>
              </w:rPr>
              <w:t>Patton (2011); DM + HLN</w:t>
            </w:r>
          </w:p>
        </w:tc>
        <w:tc>
          <w:tcPr>
            <w:tcW w:type="dxa" w:w="2381"/>
          </w:tcPr>
          <w:p>
            <w:r>
              <w:rPr>
                <w:sz w:val="17"/>
              </w:rPr>
              <w:t>Benchmark forecasts</w:t>
            </w:r>
          </w:p>
        </w:tc>
      </w:tr>
      <w:tr>
        <w:tc>
          <w:tcPr>
            <w:tcW w:type="dxa" w:w="567"/>
          </w:tcPr>
          <w:p>
            <w:r>
              <w:rPr>
                <w:sz w:val="17"/>
              </w:rPr>
              <w:t>4–5</w:t>
            </w:r>
          </w:p>
        </w:tc>
        <w:tc>
          <w:tcPr>
            <w:tcW w:type="dxa" w:w="1361"/>
          </w:tcPr>
          <w:p>
            <w:r>
              <w:rPr>
                <w:sz w:val="17"/>
              </w:rPr>
              <w:t>26 Oct – 8 Nov</w:t>
            </w:r>
          </w:p>
        </w:tc>
        <w:tc>
          <w:tcPr>
            <w:tcW w:type="dxa" w:w="2835"/>
          </w:tcPr>
          <w:p>
            <w:r>
              <w:rPr>
                <w:sz w:val="17"/>
              </w:rPr>
              <w:t>LSTM walk-forward, 5 seeds</w:t>
            </w:r>
          </w:p>
        </w:tc>
        <w:tc>
          <w:tcPr>
            <w:tcW w:type="dxa" w:w="2494"/>
          </w:tcPr>
          <w:p>
            <w:r>
              <w:rPr>
                <w:sz w:val="17"/>
              </w:rPr>
              <w:t>Bucci (2020); Christensen et al. (2023)</w:t>
            </w:r>
          </w:p>
        </w:tc>
        <w:tc>
          <w:tcPr>
            <w:tcW w:type="dxa" w:w="2381"/>
          </w:tcPr>
          <w:p>
            <w:r>
              <w:rPr>
                <w:sz w:val="17"/>
              </w:rPr>
              <w:t>First LSTM vs benchmarks table; first draft of Lit Review 2.2–2.4</w:t>
            </w:r>
          </w:p>
        </w:tc>
      </w:tr>
      <w:tr>
        <w:tc>
          <w:tcPr>
            <w:tcW w:type="dxa" w:w="567"/>
          </w:tcPr>
          <w:p>
            <w:r>
              <w:rPr>
                <w:sz w:val="17"/>
              </w:rPr>
              <w:t>6</w:t>
            </w:r>
          </w:p>
        </w:tc>
        <w:tc>
          <w:tcPr>
            <w:tcW w:type="dxa" w:w="1361"/>
          </w:tcPr>
          <w:p>
            <w:r>
              <w:rPr>
                <w:sz w:val="17"/>
              </w:rPr>
              <w:t>9–15 Nov</w:t>
            </w:r>
          </w:p>
        </w:tc>
        <w:tc>
          <w:tcPr>
            <w:tcW w:type="dxa" w:w="2835"/>
          </w:tcPr>
          <w:p>
            <w:r>
              <w:rPr>
                <w:sz w:val="17"/>
              </w:rPr>
              <w:t>DM-HLN tests overall and by window; RQ3 frozen models</w:t>
            </w:r>
          </w:p>
        </w:tc>
        <w:tc>
          <w:tcPr>
            <w:tcW w:type="dxa" w:w="2494"/>
          </w:tcPr>
          <w:p>
            <w:r>
              <w:rPr>
                <w:sz w:val="17"/>
              </w:rPr>
              <w:t>Sahiner (2023)</w:t>
            </w:r>
          </w:p>
        </w:tc>
        <w:tc>
          <w:tcPr>
            <w:tcW w:type="dxa" w:w="2381"/>
          </w:tcPr>
          <w:p>
            <w:r>
              <w:rPr>
                <w:sz w:val="17"/>
              </w:rPr>
              <w:t>RQ1 + RQ3 results</w:t>
            </w:r>
          </w:p>
        </w:tc>
      </w:tr>
      <w:tr>
        <w:tc>
          <w:tcPr>
            <w:tcW w:type="dxa" w:w="567"/>
          </w:tcPr>
          <w:p>
            <w:r>
              <w:rPr>
                <w:sz w:val="17"/>
              </w:rPr>
              <w:t>7</w:t>
            </w:r>
          </w:p>
        </w:tc>
        <w:tc>
          <w:tcPr>
            <w:tcW w:type="dxa" w:w="1361"/>
          </w:tcPr>
          <w:p>
            <w:r>
              <w:rPr>
                <w:sz w:val="17"/>
              </w:rPr>
              <w:t>16–22 Nov</w:t>
            </w:r>
          </w:p>
        </w:tc>
        <w:tc>
          <w:tcPr>
            <w:tcW w:type="dxa" w:w="2835"/>
          </w:tcPr>
          <w:p>
            <w:r>
              <w:rPr>
                <w:sz w:val="17"/>
              </w:rPr>
              <w:t>Grouped GradientShap by window; bootstrap intervals</w:t>
            </w:r>
          </w:p>
        </w:tc>
        <w:tc>
          <w:tcPr>
            <w:tcW w:type="dxa" w:w="2494"/>
          </w:tcPr>
          <w:p>
            <w:r>
              <w:rPr>
                <w:sz w:val="17"/>
              </w:rPr>
              <w:t>Aas et al. (2021); Kumar et al. (2020)</w:t>
            </w:r>
          </w:p>
        </w:tc>
        <w:tc>
          <w:tcPr>
            <w:tcW w:type="dxa" w:w="2381"/>
          </w:tcPr>
          <w:p>
            <w:r>
              <w:rPr>
                <w:sz w:val="17"/>
              </w:rPr>
              <w:t>RQ2 results</w:t>
            </w:r>
          </w:p>
        </w:tc>
      </w:tr>
      <w:tr>
        <w:tc>
          <w:tcPr>
            <w:tcW w:type="dxa" w:w="567"/>
          </w:tcPr>
          <w:p>
            <w:r>
              <w:rPr>
                <w:sz w:val="17"/>
              </w:rPr>
              <w:t>8</w:t>
            </w:r>
          </w:p>
        </w:tc>
        <w:tc>
          <w:tcPr>
            <w:tcW w:type="dxa" w:w="1361"/>
          </w:tcPr>
          <w:p>
            <w:r>
              <w:rPr>
                <w:sz w:val="17"/>
              </w:rPr>
              <w:t>23–29 Nov</w:t>
            </w:r>
          </w:p>
        </w:tc>
        <w:tc>
          <w:tcPr>
            <w:tcW w:type="dxa" w:w="2835"/>
          </w:tcPr>
          <w:p>
            <w:r>
              <w:rPr>
                <w:sz w:val="17"/>
              </w:rPr>
              <w:t>Seed stability; 2022 check; FTSE robustness run (Brexit); Parkinson robustness</w:t>
            </w:r>
          </w:p>
        </w:tc>
        <w:tc>
          <w:tcPr>
            <w:tcW w:type="dxa" w:w="2494"/>
          </w:tcPr>
          <w:p>
            <w:r>
              <w:rPr>
                <w:sz w:val="17"/>
              </w:rPr>
              <w:t>Corbet &amp; Twomey (2015)</w:t>
            </w:r>
          </w:p>
        </w:tc>
        <w:tc>
          <w:tcPr>
            <w:tcW w:type="dxa" w:w="2381"/>
          </w:tcPr>
          <w:p>
            <w:r>
              <w:rPr>
                <w:sz w:val="17"/>
              </w:rPr>
              <w:t>RQ4 + robustness</w:t>
            </w:r>
          </w:p>
        </w:tc>
      </w:tr>
      <w:tr>
        <w:tc>
          <w:tcPr>
            <w:tcW w:type="dxa" w:w="567"/>
          </w:tcPr>
          <w:p>
            <w:r>
              <w:rPr>
                <w:sz w:val="17"/>
              </w:rPr>
              <w:t>9</w:t>
            </w:r>
          </w:p>
        </w:tc>
        <w:tc>
          <w:tcPr>
            <w:tcW w:type="dxa" w:w="1361"/>
          </w:tcPr>
          <w:p>
            <w:r>
              <w:rPr>
                <w:sz w:val="17"/>
              </w:rPr>
              <w:t>30 Nov – 6 Dec</w:t>
            </w:r>
          </w:p>
        </w:tc>
        <w:tc>
          <w:tcPr>
            <w:tcW w:type="dxa" w:w="2835"/>
          </w:tcPr>
          <w:p>
            <w:r>
              <w:rPr>
                <w:sz w:val="17"/>
              </w:rPr>
              <w:t>Write Methodology + Results</w:t>
            </w:r>
          </w:p>
        </w:tc>
        <w:tc>
          <w:tcPr>
            <w:tcW w:type="dxa" w:w="2494"/>
          </w:tcPr>
          <w:p>
            <w:r>
              <w:rPr>
                <w:sz w:val="17"/>
              </w:rPr>
              <w:t>—</w:t>
            </w:r>
          </w:p>
        </w:tc>
        <w:tc>
          <w:tcPr>
            <w:tcW w:type="dxa" w:w="2381"/>
          </w:tcPr>
          <w:p>
            <w:r>
              <w:rPr>
                <w:sz w:val="17"/>
              </w:rPr>
              <w:t>Draft ch.3–4 to supervisor</w:t>
            </w:r>
          </w:p>
        </w:tc>
      </w:tr>
      <w:tr>
        <w:tc>
          <w:tcPr>
            <w:tcW w:type="dxa" w:w="567"/>
          </w:tcPr>
          <w:p>
            <w:r>
              <w:rPr>
                <w:sz w:val="17"/>
              </w:rPr>
              <w:t>10</w:t>
            </w:r>
          </w:p>
        </w:tc>
        <w:tc>
          <w:tcPr>
            <w:tcW w:type="dxa" w:w="1361"/>
          </w:tcPr>
          <w:p>
            <w:r>
              <w:rPr>
                <w:sz w:val="17"/>
              </w:rPr>
              <w:t>7–13 Dec</w:t>
            </w:r>
          </w:p>
        </w:tc>
        <w:tc>
          <w:tcPr>
            <w:tcW w:type="dxa" w:w="2835"/>
          </w:tcPr>
          <w:p>
            <w:r>
              <w:rPr>
                <w:sz w:val="17"/>
              </w:rPr>
              <w:t>Polish Literature Review (first draft done in week 5); write Discussion</w:t>
            </w:r>
          </w:p>
        </w:tc>
        <w:tc>
          <w:tcPr>
            <w:tcW w:type="dxa" w:w="2494"/>
          </w:tcPr>
          <w:p>
            <w:r>
              <w:rPr>
                <w:sz w:val="17"/>
              </w:rPr>
              <w:t>Crisis history sources</w:t>
            </w:r>
          </w:p>
        </w:tc>
        <w:tc>
          <w:tcPr>
            <w:tcW w:type="dxa" w:w="2381"/>
          </w:tcPr>
          <w:p>
            <w:r>
              <w:rPr>
                <w:sz w:val="17"/>
              </w:rPr>
              <w:t>Final ch.2, draft ch.5</w:t>
            </w:r>
          </w:p>
        </w:tc>
      </w:tr>
      <w:tr>
        <w:tc>
          <w:tcPr>
            <w:tcW w:type="dxa" w:w="567"/>
          </w:tcPr>
          <w:p>
            <w:r>
              <w:rPr>
                <w:sz w:val="17"/>
              </w:rPr>
              <w:t>11</w:t>
            </w:r>
          </w:p>
        </w:tc>
        <w:tc>
          <w:tcPr>
            <w:tcW w:type="dxa" w:w="1361"/>
          </w:tcPr>
          <w:p>
            <w:r>
              <w:rPr>
                <w:sz w:val="17"/>
              </w:rPr>
              <w:t>14–20 Dec</w:t>
            </w:r>
          </w:p>
        </w:tc>
        <w:tc>
          <w:tcPr>
            <w:tcW w:type="dxa" w:w="2835"/>
          </w:tcPr>
          <w:p>
            <w:r>
              <w:rPr>
                <w:sz w:val="17"/>
              </w:rPr>
              <w:t>Introduction, Conclusion, Abstract; references</w:t>
            </w:r>
          </w:p>
        </w:tc>
        <w:tc>
          <w:tcPr>
            <w:tcW w:type="dxa" w:w="2494"/>
          </w:tcPr>
          <w:p>
            <w:r>
              <w:rPr>
                <w:sz w:val="17"/>
              </w:rPr>
              <w:t>—</w:t>
            </w:r>
          </w:p>
        </w:tc>
        <w:tc>
          <w:tcPr>
            <w:tcW w:type="dxa" w:w="2381"/>
          </w:tcPr>
          <w:p>
            <w:r>
              <w:rPr>
                <w:sz w:val="17"/>
              </w:rPr>
              <w:t>Full draft</w:t>
            </w:r>
          </w:p>
        </w:tc>
      </w:tr>
      <w:tr>
        <w:tc>
          <w:tcPr>
            <w:tcW w:type="dxa" w:w="567"/>
          </w:tcPr>
          <w:p>
            <w:r>
              <w:rPr>
                <w:sz w:val="17"/>
              </w:rPr>
              <w:t>12</w:t>
            </w:r>
          </w:p>
        </w:tc>
        <w:tc>
          <w:tcPr>
            <w:tcW w:type="dxa" w:w="1361"/>
          </w:tcPr>
          <w:p>
            <w:r>
              <w:rPr>
                <w:sz w:val="17"/>
              </w:rPr>
              <w:t>by deadline</w:t>
            </w:r>
          </w:p>
        </w:tc>
        <w:tc>
          <w:tcPr>
            <w:tcW w:type="dxa" w:w="2835"/>
          </w:tcPr>
          <w:p>
            <w:r>
              <w:rPr>
                <w:sz w:val="17"/>
              </w:rPr>
              <w:t>Proofread; reproducibility check; AI declaration</w:t>
            </w:r>
          </w:p>
        </w:tc>
        <w:tc>
          <w:tcPr>
            <w:tcW w:type="dxa" w:w="2494"/>
          </w:tcPr>
          <w:p>
            <w:r>
              <w:rPr>
                <w:sz w:val="17"/>
              </w:rPr>
              <w:t>—</w:t>
            </w:r>
          </w:p>
        </w:tc>
        <w:tc>
          <w:tcPr>
            <w:tcW w:type="dxa" w:w="2381"/>
          </w:tcPr>
          <w:p>
            <w:r>
              <w:rPr>
                <w:sz w:val="17"/>
              </w:rPr>
              <w:t>Submission</w:t>
            </w:r>
          </w:p>
        </w:tc>
      </w:tr>
    </w:tbl>
    <w:p>
      <w:pPr>
        <w:spacing w:after="40"/>
      </w:pPr>
    </w:p>
    <w:p>
      <w:pPr>
        <w:spacing w:after="80"/>
      </w:pPr>
      <w:r>
        <w:rPr>
          <w:i w:val="0"/>
        </w:rPr>
        <w:t xml:space="preserve">Status at 30 Sep 2026: the build work planned for weeks 1–8 is done except the FTSE, look-back-66 and post-2023 robustness runs, and two exploratory extensions have been added (5.14). The remaining weeks are for reading, the robustness runs and writing.</w:t>
      </w:r>
    </w:p>
    <w:p>
      <w:pPr>
        <w:spacing w:after="80"/>
      </w:pPr>
      <w:r>
        <w:rPr>
          <w:i w:val="0"/>
        </w:rPr>
        <w:t xml:space="preserve">Future work beyond the MSc: extend the exploratory Diebold–Yilmaz comparison (E1) to time-varying (TVP-VAR) connectedness, the approach used by Irish finance groups; add honest uncertainty (Monte Carlo Dropout vs GARCH simulation); test the volatility paradox properly on a panel; extend to Irish banks, sovereign bonds and more small open economies; build an explainable early-warning system for crises.</w:t>
      </w:r>
    </w:p>
    <w:p>
      <w:pPr>
        <w:pStyle w:val="Heading1"/>
      </w:pPr>
      <w:r>
        <w:rPr>
          <w:color w:val="1F4E79"/>
        </w:rPr>
        <w:t>8. Reading list</w:t>
      </w:r>
    </w:p>
    <w:p>
      <w:pPr>
        <w:spacing w:after="80"/>
      </w:pPr>
      <w:r>
        <w:rPr>
          <w:i w:val="0"/>
        </w:rPr>
        <w:t>How to read: pass 1 (10 minutes) — abstract, introduction, figures, conclusion. Pass 2 (1 hour) — method and results, noting data, model, test and finding. Pass 3 only for the six ★ papers. Keep one note per paper in Zotero (free) and use Harvard style as DBS requires.</w:t>
      </w:r>
    </w:p>
    <w:p>
      <w:pPr>
        <w:spacing w:after="80"/>
      </w:pPr>
      <w:r>
        <w:rPr>
          <w:i w:val="0"/>
        </w:rPr>
        <w:t>Where to get them: DBS library (ScienceDirect, JSTOR, Oxford Academic), Google Scholar ‘All versions’ for free PDFs, SSRN, arXiv, and authors’ web pages (e.g. Patton’s paper is free on his Duke page).</w:t>
      </w:r>
    </w:p>
    <w:p>
      <w:pPr>
        <w:spacing w:after="80"/>
      </w:pPr>
      <w:r>
        <w:rPr>
          <w:i/>
          <w:sz w:val="18"/>
        </w:rPr>
        <w:t>✔ = details confirmed in this session. Others are standard references believed correct: confirm volume and pages in the library before citing.</w:t>
      </w:r>
    </w:p>
    <w:p>
      <w:pPr>
        <w:pStyle w:val="Heading2"/>
      </w:pPr>
      <w:r>
        <w:rPr>
          <w:color w:val="1F4E79"/>
        </w:rPr>
        <w:t>8.1 Start here (weeks 0–2)</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40"/>
            <w:shd w:val="clear" w:color="auto" w:fill="1F4E79"/>
          </w:tcPr>
          <w:p>
            <w:r>
              <w:rPr>
                <w:b/>
                <w:color w:val="FFFFFF"/>
                <w:sz w:val="17"/>
              </w:rPr>
            </w:r>
          </w:p>
        </w:tc>
        <w:tc>
          <w:tcPr>
            <w:tcW w:type="dxa" w:w="5783"/>
            <w:shd w:val="clear" w:color="auto" w:fill="1F4E79"/>
          </w:tcPr>
          <w:p>
            <w:r>
              <w:rPr>
                <w:b/>
                <w:color w:val="FFFFFF"/>
                <w:sz w:val="17"/>
              </w:rPr>
              <w:t>Reference</w:t>
            </w:r>
          </w:p>
        </w:tc>
        <w:tc>
          <w:tcPr>
            <w:tcW w:type="dxa" w:w="2948"/>
            <w:shd w:val="clear" w:color="auto" w:fill="1F4E79"/>
          </w:tcPr>
          <w:p>
            <w:r>
              <w:rPr>
                <w:b/>
                <w:color w:val="FFFFFF"/>
                <w:sz w:val="17"/>
              </w:rPr>
              <w:t>Why read it</w:t>
            </w:r>
          </w:p>
        </w:tc>
        <w:tc>
          <w:tcPr>
            <w:tcW w:type="dxa" w:w="680"/>
            <w:shd w:val="clear" w:color="auto" w:fill="1F4E79"/>
          </w:tcPr>
          <w:p>
            <w:r>
              <w:rPr>
                <w:b/>
                <w:color w:val="FFFFFF"/>
                <w:sz w:val="17"/>
              </w:rPr>
              <w:t>✔</w:t>
            </w:r>
          </w:p>
        </w:tc>
      </w:tr>
      <w:tr>
        <w:tc>
          <w:tcPr>
            <w:tcW w:type="dxa" w:w="340"/>
          </w:tcPr>
          <w:p>
            <w:r>
              <w:rPr>
                <w:sz w:val="17"/>
              </w:rPr>
              <w:t>★</w:t>
            </w:r>
          </w:p>
        </w:tc>
        <w:tc>
          <w:tcPr>
            <w:tcW w:type="dxa" w:w="5783"/>
          </w:tcPr>
          <w:p>
            <w:r>
              <w:rPr>
                <w:sz w:val="17"/>
              </w:rPr>
              <w:t>Reinhart, C. &amp; Rogoff, K. (2009) This Time Is Different: Eight Centuries of Financial Folly. Princeton UP.</w:t>
            </w:r>
          </w:p>
        </w:tc>
        <w:tc>
          <w:tcPr>
            <w:tcW w:type="dxa" w:w="2948"/>
          </w:tcPr>
          <w:p>
            <w:r>
              <w:rPr>
                <w:sz w:val="17"/>
              </w:rPr>
              <w:t>Your title and historical frame; crisis typology</w:t>
            </w:r>
          </w:p>
        </w:tc>
        <w:tc>
          <w:tcPr>
            <w:tcW w:type="dxa" w:w="680"/>
          </w:tcPr>
          <w:p>
            <w:r>
              <w:rPr>
                <w:sz w:val="17"/>
              </w:rPr>
              <w:t>–</w:t>
            </w:r>
          </w:p>
        </w:tc>
      </w:tr>
      <w:tr>
        <w:tc>
          <w:tcPr>
            <w:tcW w:type="dxa" w:w="340"/>
          </w:tcPr>
          <w:p>
            <w:r>
              <w:rPr>
                <w:sz w:val="17"/>
              </w:rPr>
              <w:t>★</w:t>
            </w:r>
          </w:p>
        </w:tc>
        <w:tc>
          <w:tcPr>
            <w:tcW w:type="dxa" w:w="5783"/>
          </w:tcPr>
          <w:p>
            <w:r>
              <w:rPr>
                <w:sz w:val="17"/>
              </w:rPr>
              <w:t>Corsi, F. (2009) A simple approximate long-memory model of realized volatility. J. Financial Econometrics 7(2), 174–196.</w:t>
            </w:r>
          </w:p>
        </w:tc>
        <w:tc>
          <w:tcPr>
            <w:tcW w:type="dxa" w:w="2948"/>
          </w:tcPr>
          <w:p>
            <w:r>
              <w:rPr>
                <w:sz w:val="17"/>
              </w:rPr>
              <w:t>The HAR benchmark</w:t>
            </w:r>
          </w:p>
        </w:tc>
        <w:tc>
          <w:tcPr>
            <w:tcW w:type="dxa" w:w="680"/>
          </w:tcPr>
          <w:p>
            <w:r>
              <w:rPr>
                <w:sz w:val="17"/>
              </w:rPr>
              <w:t>–</w:t>
            </w:r>
          </w:p>
        </w:tc>
      </w:tr>
      <w:tr>
        <w:tc>
          <w:tcPr>
            <w:tcW w:type="dxa" w:w="340"/>
          </w:tcPr>
          <w:p>
            <w:r>
              <w:rPr>
                <w:sz w:val="17"/>
              </w:rPr>
              <w:t>★</w:t>
            </w:r>
          </w:p>
        </w:tc>
        <w:tc>
          <w:tcPr>
            <w:tcW w:type="dxa" w:w="5783"/>
          </w:tcPr>
          <w:p>
            <w:r>
              <w:rPr>
                <w:sz w:val="17"/>
              </w:rPr>
              <w:t>Bucci, A. (2020) Realized volatility forecasting with neural networks. J. Financial Econometrics 18(3), 502–531.</w:t>
            </w:r>
          </w:p>
        </w:tc>
        <w:tc>
          <w:tcPr>
            <w:tcW w:type="dxa" w:w="2948"/>
          </w:tcPr>
          <w:p>
            <w:r>
              <w:rPr>
                <w:sz w:val="17"/>
              </w:rPr>
              <w:t>Closest LSTM-volatility evidence</w:t>
            </w:r>
          </w:p>
        </w:tc>
        <w:tc>
          <w:tcPr>
            <w:tcW w:type="dxa" w:w="680"/>
          </w:tcPr>
          <w:p>
            <w:r>
              <w:rPr>
                <w:sz w:val="17"/>
              </w:rPr>
              <w:t>✔</w:t>
            </w:r>
          </w:p>
        </w:tc>
      </w:tr>
      <w:tr>
        <w:tc>
          <w:tcPr>
            <w:tcW w:type="dxa" w:w="340"/>
          </w:tcPr>
          <w:p>
            <w:r>
              <w:rPr>
                <w:sz w:val="17"/>
              </w:rPr>
              <w:t>★</w:t>
            </w:r>
          </w:p>
        </w:tc>
        <w:tc>
          <w:tcPr>
            <w:tcW w:type="dxa" w:w="5783"/>
          </w:tcPr>
          <w:p>
            <w:r>
              <w:rPr>
                <w:sz w:val="17"/>
              </w:rPr>
              <w:t>Christensen, K., Siggaard, M. &amp; Veliyev, B. (2023) A machine learning approach to volatility forecasting. J. Financial Econometrics 21(5), 1680–1727.</w:t>
            </w:r>
          </w:p>
        </w:tc>
        <w:tc>
          <w:tcPr>
            <w:tcW w:type="dxa" w:w="2948"/>
          </w:tcPr>
          <w:p>
            <w:r>
              <w:rPr>
                <w:sz w:val="17"/>
              </w:rPr>
              <w:t>ML vs HAR; how to set up the comparison</w:t>
            </w:r>
          </w:p>
        </w:tc>
        <w:tc>
          <w:tcPr>
            <w:tcW w:type="dxa" w:w="680"/>
          </w:tcPr>
          <w:p>
            <w:r>
              <w:rPr>
                <w:sz w:val="17"/>
              </w:rPr>
              <w:t>✔</w:t>
            </w:r>
          </w:p>
        </w:tc>
      </w:tr>
      <w:tr>
        <w:tc>
          <w:tcPr>
            <w:tcW w:type="dxa" w:w="340"/>
          </w:tcPr>
          <w:p>
            <w:r>
              <w:rPr>
                <w:sz w:val="17"/>
              </w:rPr>
              <w:t>★</w:t>
            </w:r>
          </w:p>
        </w:tc>
        <w:tc>
          <w:tcPr>
            <w:tcW w:type="dxa" w:w="5783"/>
          </w:tcPr>
          <w:p>
            <w:r>
              <w:rPr>
                <w:sz w:val="17"/>
              </w:rPr>
              <w:t>Lundberg, S. &amp; Lee, S.-I. (2017) A unified approach to interpreting model predictions. NeurIPS 30.</w:t>
            </w:r>
          </w:p>
        </w:tc>
        <w:tc>
          <w:tcPr>
            <w:tcW w:type="dxa" w:w="2948"/>
          </w:tcPr>
          <w:p>
            <w:r>
              <w:rPr>
                <w:sz w:val="17"/>
              </w:rPr>
              <w:t>SHAP itself</w:t>
            </w:r>
          </w:p>
        </w:tc>
        <w:tc>
          <w:tcPr>
            <w:tcW w:type="dxa" w:w="680"/>
          </w:tcPr>
          <w:p>
            <w:r>
              <w:rPr>
                <w:sz w:val="17"/>
              </w:rPr>
              <w:t>–</w:t>
            </w:r>
          </w:p>
        </w:tc>
      </w:tr>
      <w:tr>
        <w:tc>
          <w:tcPr>
            <w:tcW w:type="dxa" w:w="340"/>
          </w:tcPr>
          <w:p>
            <w:r>
              <w:rPr>
                <w:sz w:val="17"/>
              </w:rPr>
              <w:t>★</w:t>
            </w:r>
          </w:p>
        </w:tc>
        <w:tc>
          <w:tcPr>
            <w:tcW w:type="dxa" w:w="5783"/>
          </w:tcPr>
          <w:p>
            <w:r>
              <w:rPr>
                <w:sz w:val="17"/>
              </w:rPr>
              <w:t>Forbes, K. &amp; Rigobon, R. (2002) No contagion, only interdependence. J. Finance 57(5), 2223–2261.</w:t>
            </w:r>
          </w:p>
        </w:tc>
        <w:tc>
          <w:tcPr>
            <w:tcW w:type="dxa" w:w="2948"/>
          </w:tcPr>
          <w:p>
            <w:r>
              <w:rPr>
                <w:sz w:val="17"/>
              </w:rPr>
              <w:t>Why rising co-movement in crises is not automatically contagion</w:t>
            </w:r>
          </w:p>
        </w:tc>
        <w:tc>
          <w:tcPr>
            <w:tcW w:type="dxa" w:w="680"/>
          </w:tcPr>
          <w:p>
            <w:r>
              <w:rPr>
                <w:sz w:val="17"/>
              </w:rPr>
              <w:t>–</w:t>
            </w:r>
          </w:p>
        </w:tc>
      </w:tr>
      <w:tr>
        <w:tc>
          <w:tcPr>
            <w:tcW w:type="dxa" w:w="340"/>
          </w:tcPr>
          <w:p>
            <w:r>
              <w:rPr>
                <w:sz w:val="17"/>
              </w:rPr>
            </w:r>
          </w:p>
        </w:tc>
        <w:tc>
          <w:tcPr>
            <w:tcW w:type="dxa" w:w="5783"/>
          </w:tcPr>
          <w:p>
            <w:r>
              <w:rPr>
                <w:sz w:val="17"/>
              </w:rPr>
              <w:t>Corbet, S. &amp; Twomey, C. (2015) European equity market contagion: an empirical application to Ireland’s sovereign debt crisis. European Financial and Accounting Journal 2015(3), 15–34.</w:t>
            </w:r>
          </w:p>
        </w:tc>
        <w:tc>
          <w:tcPr>
            <w:tcW w:type="dxa" w:w="2948"/>
          </w:tcPr>
          <w:p>
            <w:r>
              <w:rPr>
                <w:sz w:val="17"/>
              </w:rPr>
              <w:t>Twomey’s Irish evidence; compare with your euro-crisis window</w:t>
            </w:r>
          </w:p>
        </w:tc>
        <w:tc>
          <w:tcPr>
            <w:tcW w:type="dxa" w:w="680"/>
          </w:tcPr>
          <w:p>
            <w:r>
              <w:rPr>
                <w:sz w:val="17"/>
              </w:rPr>
              <w:t>✔</w:t>
            </w:r>
          </w:p>
        </w:tc>
      </w:tr>
      <w:tr>
        <w:tc>
          <w:tcPr>
            <w:tcW w:type="dxa" w:w="340"/>
          </w:tcPr>
          <w:p>
            <w:r>
              <w:rPr>
                <w:sz w:val="17"/>
              </w:rPr>
            </w:r>
          </w:p>
        </w:tc>
        <w:tc>
          <w:tcPr>
            <w:tcW w:type="dxa" w:w="5783"/>
          </w:tcPr>
          <w:p>
            <w:r>
              <w:rPr>
                <w:sz w:val="17"/>
              </w:rPr>
              <w:t>Sahiner, M. (2023) Volatility spillovers and contagion during major crises: an early warning approach based on a deep learning model. Computational Economics.</w:t>
            </w:r>
          </w:p>
        </w:tc>
        <w:tc>
          <w:tcPr>
            <w:tcW w:type="dxa" w:w="2948"/>
          </w:tcPr>
          <w:p>
            <w:r>
              <w:rPr>
                <w:sz w:val="17"/>
              </w:rPr>
              <w:t>Closest prior work: cite and differentiate</w:t>
            </w:r>
          </w:p>
        </w:tc>
        <w:tc>
          <w:tcPr>
            <w:tcW w:type="dxa" w:w="680"/>
          </w:tcPr>
          <w:p>
            <w:r>
              <w:rPr>
                <w:sz w:val="17"/>
              </w:rPr>
              <w:t>✔</w:t>
            </w:r>
          </w:p>
        </w:tc>
      </w:tr>
    </w:tbl>
    <w:p>
      <w:pPr>
        <w:spacing w:after="40"/>
      </w:pPr>
    </w:p>
    <w:p>
      <w:pPr>
        <w:pStyle w:val="Heading2"/>
      </w:pPr>
      <w:r>
        <w:rPr>
          <w:color w:val="1F4E79"/>
        </w:rPr>
        <w:t>8.2 Volatility econometrics and forecast evaluation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40"/>
            <w:shd w:val="clear" w:color="auto" w:fill="1F4E79"/>
          </w:tcPr>
          <w:p>
            <w:r>
              <w:rPr>
                <w:b/>
                <w:color w:val="FFFFFF"/>
                <w:sz w:val="17"/>
              </w:rPr>
            </w:r>
          </w:p>
        </w:tc>
        <w:tc>
          <w:tcPr>
            <w:tcW w:type="dxa" w:w="5783"/>
            <w:shd w:val="clear" w:color="auto" w:fill="1F4E79"/>
          </w:tcPr>
          <w:p>
            <w:r>
              <w:rPr>
                <w:b/>
                <w:color w:val="FFFFFF"/>
                <w:sz w:val="17"/>
              </w:rPr>
              <w:t>Reference</w:t>
            </w:r>
          </w:p>
        </w:tc>
        <w:tc>
          <w:tcPr>
            <w:tcW w:type="dxa" w:w="2948"/>
            <w:shd w:val="clear" w:color="auto" w:fill="1F4E79"/>
          </w:tcPr>
          <w:p>
            <w:r>
              <w:rPr>
                <w:b/>
                <w:color w:val="FFFFFF"/>
                <w:sz w:val="17"/>
              </w:rPr>
              <w:t>Why read it</w:t>
            </w:r>
          </w:p>
        </w:tc>
        <w:tc>
          <w:tcPr>
            <w:tcW w:type="dxa" w:w="680"/>
            <w:shd w:val="clear" w:color="auto" w:fill="1F4E79"/>
          </w:tcPr>
          <w:p>
            <w:r>
              <w:rPr>
                <w:b/>
                <w:color w:val="FFFFFF"/>
                <w:sz w:val="17"/>
              </w:rPr>
              <w:t>✔</w:t>
            </w:r>
          </w:p>
        </w:tc>
      </w:tr>
      <w:tr>
        <w:tc>
          <w:tcPr>
            <w:tcW w:type="dxa" w:w="340"/>
          </w:tcPr>
          <w:p>
            <w:r>
              <w:rPr>
                <w:sz w:val="17"/>
              </w:rPr>
            </w:r>
          </w:p>
        </w:tc>
        <w:tc>
          <w:tcPr>
            <w:tcW w:type="dxa" w:w="5783"/>
          </w:tcPr>
          <w:p>
            <w:r>
              <w:rPr>
                <w:sz w:val="17"/>
              </w:rPr>
              <w:t>Engle, R. (1982) Autoregressive conditional heteroscedasticity… Econometrica 50(4), 987–1007.</w:t>
            </w:r>
          </w:p>
        </w:tc>
        <w:tc>
          <w:tcPr>
            <w:tcW w:type="dxa" w:w="2948"/>
          </w:tcPr>
          <w:p>
            <w:r>
              <w:rPr>
                <w:sz w:val="17"/>
              </w:rPr>
              <w:t>ARCH origin</w:t>
            </w:r>
          </w:p>
        </w:tc>
        <w:tc>
          <w:tcPr>
            <w:tcW w:type="dxa" w:w="680"/>
          </w:tcPr>
          <w:p>
            <w:r>
              <w:rPr>
                <w:sz w:val="17"/>
              </w:rPr>
              <w:t>–</w:t>
            </w:r>
          </w:p>
        </w:tc>
      </w:tr>
      <w:tr>
        <w:tc>
          <w:tcPr>
            <w:tcW w:type="dxa" w:w="340"/>
          </w:tcPr>
          <w:p>
            <w:r>
              <w:rPr>
                <w:sz w:val="17"/>
              </w:rPr>
            </w:r>
          </w:p>
        </w:tc>
        <w:tc>
          <w:tcPr>
            <w:tcW w:type="dxa" w:w="5783"/>
          </w:tcPr>
          <w:p>
            <w:r>
              <w:rPr>
                <w:sz w:val="17"/>
              </w:rPr>
              <w:t>Bollerslev, T. (1986) Generalized autoregressive conditional heteroskedasticity. J. Econometrics 31(3), 307–327.</w:t>
            </w:r>
          </w:p>
        </w:tc>
        <w:tc>
          <w:tcPr>
            <w:tcW w:type="dxa" w:w="2948"/>
          </w:tcPr>
          <w:p>
            <w:r>
              <w:rPr>
                <w:sz w:val="17"/>
              </w:rPr>
              <w:t>GARCH</w:t>
            </w:r>
          </w:p>
        </w:tc>
        <w:tc>
          <w:tcPr>
            <w:tcW w:type="dxa" w:w="680"/>
          </w:tcPr>
          <w:p>
            <w:r>
              <w:rPr>
                <w:sz w:val="17"/>
              </w:rPr>
              <w:t>–</w:t>
            </w:r>
          </w:p>
        </w:tc>
      </w:tr>
      <w:tr>
        <w:tc>
          <w:tcPr>
            <w:tcW w:type="dxa" w:w="340"/>
          </w:tcPr>
          <w:p>
            <w:r>
              <w:rPr>
                <w:sz w:val="17"/>
              </w:rPr>
            </w:r>
          </w:p>
        </w:tc>
        <w:tc>
          <w:tcPr>
            <w:tcW w:type="dxa" w:w="5783"/>
          </w:tcPr>
          <w:p>
            <w:r>
              <w:rPr>
                <w:sz w:val="17"/>
              </w:rPr>
              <w:t>Hansen, P. &amp; Lunde, A. (2005) A forecast comparison of volatility models: does anything beat a GARCH(1,1)? J. Applied Econometrics 20(7), 873–889.</w:t>
            </w:r>
          </w:p>
        </w:tc>
        <w:tc>
          <w:tcPr>
            <w:tcW w:type="dxa" w:w="2948"/>
          </w:tcPr>
          <w:p>
            <w:r>
              <w:rPr>
                <w:sz w:val="17"/>
              </w:rPr>
              <w:t>Why GARCH is a tough benchmark</w:t>
            </w:r>
          </w:p>
        </w:tc>
        <w:tc>
          <w:tcPr>
            <w:tcW w:type="dxa" w:w="680"/>
          </w:tcPr>
          <w:p>
            <w:r>
              <w:rPr>
                <w:sz w:val="17"/>
              </w:rPr>
              <w:t>–</w:t>
            </w:r>
          </w:p>
        </w:tc>
      </w:tr>
      <w:tr>
        <w:tc>
          <w:tcPr>
            <w:tcW w:type="dxa" w:w="340"/>
          </w:tcPr>
          <w:p>
            <w:r>
              <w:rPr>
                <w:sz w:val="17"/>
              </w:rPr>
            </w:r>
          </w:p>
        </w:tc>
        <w:tc>
          <w:tcPr>
            <w:tcW w:type="dxa" w:w="5783"/>
          </w:tcPr>
          <w:p>
            <w:r>
              <w:rPr>
                <w:sz w:val="17"/>
              </w:rPr>
              <w:t>Andersen, T. &amp; Bollerslev, T. (1998) Answering the skeptics… International Economic Review 39(4), 885–905.</w:t>
            </w:r>
          </w:p>
        </w:tc>
        <w:tc>
          <w:tcPr>
            <w:tcW w:type="dxa" w:w="2948"/>
          </w:tcPr>
          <w:p>
            <w:r>
              <w:rPr>
                <w:sz w:val="17"/>
              </w:rPr>
              <w:t>Noisy proxies make good models look bad</w:t>
            </w:r>
          </w:p>
        </w:tc>
        <w:tc>
          <w:tcPr>
            <w:tcW w:type="dxa" w:w="680"/>
          </w:tcPr>
          <w:p>
            <w:r>
              <w:rPr>
                <w:sz w:val="17"/>
              </w:rPr>
              <w:t>–</w:t>
            </w:r>
          </w:p>
        </w:tc>
      </w:tr>
      <w:tr>
        <w:tc>
          <w:tcPr>
            <w:tcW w:type="dxa" w:w="340"/>
          </w:tcPr>
          <w:p>
            <w:r>
              <w:rPr>
                <w:sz w:val="17"/>
              </w:rPr>
            </w:r>
          </w:p>
        </w:tc>
        <w:tc>
          <w:tcPr>
            <w:tcW w:type="dxa" w:w="5783"/>
          </w:tcPr>
          <w:p>
            <w:r>
              <w:rPr>
                <w:sz w:val="17"/>
              </w:rPr>
              <w:t>Andersen, T., Bollerslev, T., Diebold, F. &amp; Labys, P. (2003) Modeling and forecasting realized volatility. Econometrica 71(2), 579–625.</w:t>
            </w:r>
          </w:p>
        </w:tc>
        <w:tc>
          <w:tcPr>
            <w:tcW w:type="dxa" w:w="2948"/>
          </w:tcPr>
          <w:p>
            <w:r>
              <w:rPr>
                <w:sz w:val="17"/>
              </w:rPr>
              <w:t>Realised variance</w:t>
            </w:r>
          </w:p>
        </w:tc>
        <w:tc>
          <w:tcPr>
            <w:tcW w:type="dxa" w:w="680"/>
          </w:tcPr>
          <w:p>
            <w:r>
              <w:rPr>
                <w:sz w:val="17"/>
              </w:rPr>
              <w:t>–</w:t>
            </w:r>
          </w:p>
        </w:tc>
      </w:tr>
      <w:tr>
        <w:tc>
          <w:tcPr>
            <w:tcW w:type="dxa" w:w="340"/>
          </w:tcPr>
          <w:p>
            <w:r>
              <w:rPr>
                <w:sz w:val="17"/>
              </w:rPr>
            </w:r>
          </w:p>
        </w:tc>
        <w:tc>
          <w:tcPr>
            <w:tcW w:type="dxa" w:w="5783"/>
          </w:tcPr>
          <w:p>
            <w:r>
              <w:rPr>
                <w:sz w:val="17"/>
              </w:rPr>
              <w:t>Patton, A. (2011) Volatility forecast comparison using imperfect volatility proxies. J. Econometrics 160(1), 246–256.</w:t>
            </w:r>
          </w:p>
        </w:tc>
        <w:tc>
          <w:tcPr>
            <w:tcW w:type="dxa" w:w="2948"/>
          </w:tcPr>
          <w:p>
            <w:r>
              <w:rPr>
                <w:sz w:val="17"/>
              </w:rPr>
              <w:t>Why QLIKE</w:t>
            </w:r>
          </w:p>
        </w:tc>
        <w:tc>
          <w:tcPr>
            <w:tcW w:type="dxa" w:w="680"/>
          </w:tcPr>
          <w:p>
            <w:r>
              <w:rPr>
                <w:sz w:val="17"/>
              </w:rPr>
              <w:t>✔</w:t>
            </w:r>
          </w:p>
        </w:tc>
      </w:tr>
      <w:tr>
        <w:tc>
          <w:tcPr>
            <w:tcW w:type="dxa" w:w="340"/>
          </w:tcPr>
          <w:p>
            <w:r>
              <w:rPr>
                <w:sz w:val="17"/>
              </w:rPr>
            </w:r>
          </w:p>
        </w:tc>
        <w:tc>
          <w:tcPr>
            <w:tcW w:type="dxa" w:w="5783"/>
          </w:tcPr>
          <w:p>
            <w:r>
              <w:rPr>
                <w:sz w:val="17"/>
              </w:rPr>
              <w:t>Diebold, F. &amp; Mariano, R. (1995) Comparing predictive accuracy. J. Business &amp; Economic Statistics 13(3), 253–263.</w:t>
            </w:r>
          </w:p>
        </w:tc>
        <w:tc>
          <w:tcPr>
            <w:tcW w:type="dxa" w:w="2948"/>
          </w:tcPr>
          <w:p>
            <w:r>
              <w:rPr>
                <w:sz w:val="17"/>
              </w:rPr>
              <w:t>DM test</w:t>
            </w:r>
          </w:p>
        </w:tc>
        <w:tc>
          <w:tcPr>
            <w:tcW w:type="dxa" w:w="680"/>
          </w:tcPr>
          <w:p>
            <w:r>
              <w:rPr>
                <w:sz w:val="17"/>
              </w:rPr>
              <w:t>–</w:t>
            </w:r>
          </w:p>
        </w:tc>
      </w:tr>
      <w:tr>
        <w:tc>
          <w:tcPr>
            <w:tcW w:type="dxa" w:w="340"/>
          </w:tcPr>
          <w:p>
            <w:r>
              <w:rPr>
                <w:sz w:val="17"/>
              </w:rPr>
            </w:r>
          </w:p>
        </w:tc>
        <w:tc>
          <w:tcPr>
            <w:tcW w:type="dxa" w:w="5783"/>
          </w:tcPr>
          <w:p>
            <w:r>
              <w:rPr>
                <w:sz w:val="17"/>
              </w:rPr>
              <w:t>Harvey, D., Leybourne, S. &amp; Newbold, P. (1997) Testing the equality of prediction mean squared errors. International J. Forecasting 13(2), 281–291.</w:t>
            </w:r>
          </w:p>
        </w:tc>
        <w:tc>
          <w:tcPr>
            <w:tcW w:type="dxa" w:w="2948"/>
          </w:tcPr>
          <w:p>
            <w:r>
              <w:rPr>
                <w:sz w:val="17"/>
              </w:rPr>
              <w:t>HLN correction</w:t>
            </w:r>
          </w:p>
        </w:tc>
        <w:tc>
          <w:tcPr>
            <w:tcW w:type="dxa" w:w="680"/>
          </w:tcPr>
          <w:p>
            <w:r>
              <w:rPr>
                <w:sz w:val="17"/>
              </w:rPr>
              <w:t>–</w:t>
            </w:r>
          </w:p>
        </w:tc>
      </w:tr>
      <w:tr>
        <w:tc>
          <w:tcPr>
            <w:tcW w:type="dxa" w:w="340"/>
          </w:tcPr>
          <w:p>
            <w:r>
              <w:rPr>
                <w:sz w:val="17"/>
              </w:rPr>
            </w:r>
          </w:p>
        </w:tc>
        <w:tc>
          <w:tcPr>
            <w:tcW w:type="dxa" w:w="5783"/>
          </w:tcPr>
          <w:p>
            <w:r>
              <w:rPr>
                <w:sz w:val="17"/>
              </w:rPr>
              <w:t>Parkinson, M. (1980) The extreme value method for estimating the variance of the rate of return. J. Business 53(1), 61–65.</w:t>
            </w:r>
          </w:p>
        </w:tc>
        <w:tc>
          <w:tcPr>
            <w:tcW w:type="dxa" w:w="2948"/>
          </w:tcPr>
          <w:p>
            <w:r>
              <w:rPr>
                <w:sz w:val="17"/>
              </w:rPr>
              <w:t>Robustness estimator</w:t>
            </w:r>
          </w:p>
        </w:tc>
        <w:tc>
          <w:tcPr>
            <w:tcW w:type="dxa" w:w="680"/>
          </w:tcPr>
          <w:p>
            <w:r>
              <w:rPr>
                <w:sz w:val="17"/>
              </w:rPr>
              <w:t>–</w:t>
            </w:r>
          </w:p>
        </w:tc>
      </w:tr>
      <w:tr>
        <w:tc>
          <w:tcPr>
            <w:tcW w:type="dxa" w:w="340"/>
          </w:tcPr>
          <w:p>
            <w:r>
              <w:rPr>
                <w:sz w:val="17"/>
              </w:rPr>
            </w:r>
          </w:p>
        </w:tc>
        <w:tc>
          <w:tcPr>
            <w:tcW w:type="dxa" w:w="5783"/>
          </w:tcPr>
          <w:p>
            <w:r>
              <w:rPr>
                <w:sz w:val="17"/>
              </w:rPr>
              <w:t>Garman, M. &amp; Klass, M. (1980) On the estimation of security price volatilities from historical data. J. Business 53(1), 67–78.</w:t>
            </w:r>
          </w:p>
        </w:tc>
        <w:tc>
          <w:tcPr>
            <w:tcW w:type="dxa" w:w="2948"/>
          </w:tcPr>
          <w:p>
            <w:r>
              <w:rPr>
                <w:sz w:val="17"/>
              </w:rPr>
              <w:t>Explains why you rejected it</w:t>
            </w:r>
          </w:p>
        </w:tc>
        <w:tc>
          <w:tcPr>
            <w:tcW w:type="dxa" w:w="680"/>
          </w:tcPr>
          <w:p>
            <w:r>
              <w:rPr>
                <w:sz w:val="17"/>
              </w:rPr>
              <w:t>–</w:t>
            </w:r>
          </w:p>
        </w:tc>
      </w:tr>
      <w:tr>
        <w:tc>
          <w:tcPr>
            <w:tcW w:type="dxa" w:w="340"/>
          </w:tcPr>
          <w:p>
            <w:r>
              <w:rPr>
                <w:sz w:val="17"/>
              </w:rPr>
            </w:r>
          </w:p>
        </w:tc>
        <w:tc>
          <w:tcPr>
            <w:tcW w:type="dxa" w:w="5783"/>
          </w:tcPr>
          <w:p>
            <w:r>
              <w:rPr>
                <w:sz w:val="17"/>
              </w:rPr>
              <w:t>Cont, R. (2001) Empirical properties of asset returns: stylized facts and statistical issues. Quantitative Finance 1(2), 223–236.</w:t>
            </w:r>
          </w:p>
        </w:tc>
        <w:tc>
          <w:tcPr>
            <w:tcW w:type="dxa" w:w="2948"/>
          </w:tcPr>
          <w:p>
            <w:r>
              <w:rPr>
                <w:sz w:val="17"/>
              </w:rPr>
              <w:t>Volatility clustering, fat tails</w:t>
            </w:r>
          </w:p>
        </w:tc>
        <w:tc>
          <w:tcPr>
            <w:tcW w:type="dxa" w:w="680"/>
          </w:tcPr>
          <w:p>
            <w:r>
              <w:rPr>
                <w:sz w:val="17"/>
              </w:rPr>
              <w:t>–</w:t>
            </w:r>
          </w:p>
        </w:tc>
      </w:tr>
    </w:tbl>
    <w:p>
      <w:pPr>
        <w:spacing w:after="40"/>
      </w:pPr>
    </w:p>
    <w:p>
      <w:pPr>
        <w:pStyle w:val="Heading2"/>
      </w:pPr>
      <w:r>
        <w:rPr>
          <w:color w:val="1F4E79"/>
        </w:rPr>
        <w:t>8.3 Deep learning and explainability</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40"/>
            <w:shd w:val="clear" w:color="auto" w:fill="1F4E79"/>
          </w:tcPr>
          <w:p>
            <w:r>
              <w:rPr>
                <w:b/>
                <w:color w:val="FFFFFF"/>
                <w:sz w:val="17"/>
              </w:rPr>
            </w:r>
          </w:p>
        </w:tc>
        <w:tc>
          <w:tcPr>
            <w:tcW w:type="dxa" w:w="5783"/>
            <w:shd w:val="clear" w:color="auto" w:fill="1F4E79"/>
          </w:tcPr>
          <w:p>
            <w:r>
              <w:rPr>
                <w:b/>
                <w:color w:val="FFFFFF"/>
                <w:sz w:val="17"/>
              </w:rPr>
              <w:t>Reference</w:t>
            </w:r>
          </w:p>
        </w:tc>
        <w:tc>
          <w:tcPr>
            <w:tcW w:type="dxa" w:w="2948"/>
            <w:shd w:val="clear" w:color="auto" w:fill="1F4E79"/>
          </w:tcPr>
          <w:p>
            <w:r>
              <w:rPr>
                <w:b/>
                <w:color w:val="FFFFFF"/>
                <w:sz w:val="17"/>
              </w:rPr>
              <w:t>Why read it</w:t>
            </w:r>
          </w:p>
        </w:tc>
        <w:tc>
          <w:tcPr>
            <w:tcW w:type="dxa" w:w="680"/>
            <w:shd w:val="clear" w:color="auto" w:fill="1F4E79"/>
          </w:tcPr>
          <w:p>
            <w:r>
              <w:rPr>
                <w:b/>
                <w:color w:val="FFFFFF"/>
                <w:sz w:val="17"/>
              </w:rPr>
              <w:t>✔</w:t>
            </w:r>
          </w:p>
        </w:tc>
      </w:tr>
      <w:tr>
        <w:tc>
          <w:tcPr>
            <w:tcW w:type="dxa" w:w="340"/>
          </w:tcPr>
          <w:p>
            <w:r>
              <w:rPr>
                <w:sz w:val="17"/>
              </w:rPr>
            </w:r>
          </w:p>
        </w:tc>
        <w:tc>
          <w:tcPr>
            <w:tcW w:type="dxa" w:w="5783"/>
          </w:tcPr>
          <w:p>
            <w:r>
              <w:rPr>
                <w:sz w:val="17"/>
              </w:rPr>
              <w:t>Hochreiter, S. &amp; Schmidhuber, J. (1997) Long short-term memory. Neural Computation 9(8), 1735–1780.</w:t>
            </w:r>
          </w:p>
        </w:tc>
        <w:tc>
          <w:tcPr>
            <w:tcW w:type="dxa" w:w="2948"/>
          </w:tcPr>
          <w:p>
            <w:r>
              <w:rPr>
                <w:sz w:val="17"/>
              </w:rPr>
              <w:t>LSTM</w:t>
            </w:r>
          </w:p>
        </w:tc>
        <w:tc>
          <w:tcPr>
            <w:tcW w:type="dxa" w:w="680"/>
          </w:tcPr>
          <w:p>
            <w:r>
              <w:rPr>
                <w:sz w:val="17"/>
              </w:rPr>
              <w:t>–</w:t>
            </w:r>
          </w:p>
        </w:tc>
      </w:tr>
      <w:tr>
        <w:tc>
          <w:tcPr>
            <w:tcW w:type="dxa" w:w="340"/>
          </w:tcPr>
          <w:p>
            <w:r>
              <w:rPr>
                <w:sz w:val="17"/>
              </w:rPr>
            </w:r>
          </w:p>
        </w:tc>
        <w:tc>
          <w:tcPr>
            <w:tcW w:type="dxa" w:w="5783"/>
          </w:tcPr>
          <w:p>
            <w:r>
              <w:rPr>
                <w:sz w:val="17"/>
              </w:rPr>
              <w:t>Srivastava, N. et al. (2014) Dropout. J. Machine Learning Research 15, 1929–1958.</w:t>
            </w:r>
          </w:p>
        </w:tc>
        <w:tc>
          <w:tcPr>
            <w:tcW w:type="dxa" w:w="2948"/>
          </w:tcPr>
          <w:p>
            <w:r>
              <w:rPr>
                <w:sz w:val="17"/>
              </w:rPr>
              <w:t>Regularisation</w:t>
            </w:r>
          </w:p>
        </w:tc>
        <w:tc>
          <w:tcPr>
            <w:tcW w:type="dxa" w:w="680"/>
          </w:tcPr>
          <w:p>
            <w:r>
              <w:rPr>
                <w:sz w:val="17"/>
              </w:rPr>
              <w:t>–</w:t>
            </w:r>
          </w:p>
        </w:tc>
      </w:tr>
      <w:tr>
        <w:tc>
          <w:tcPr>
            <w:tcW w:type="dxa" w:w="340"/>
          </w:tcPr>
          <w:p>
            <w:r>
              <w:rPr>
                <w:sz w:val="17"/>
              </w:rPr>
            </w:r>
          </w:p>
        </w:tc>
        <w:tc>
          <w:tcPr>
            <w:tcW w:type="dxa" w:w="5783"/>
          </w:tcPr>
          <w:p>
            <w:r>
              <w:rPr>
                <w:sz w:val="17"/>
              </w:rPr>
              <w:t>Fischer, T. &amp; Krauss, C. (2018) Deep learning with LSTM networks for financial market predictions. European J. Operational Research 270(2), 654–669.</w:t>
            </w:r>
          </w:p>
        </w:tc>
        <w:tc>
          <w:tcPr>
            <w:tcW w:type="dxa" w:w="2948"/>
          </w:tcPr>
          <w:p>
            <w:r>
              <w:rPr>
                <w:sz w:val="17"/>
              </w:rPr>
              <w:t>LSTM in finance</w:t>
            </w:r>
          </w:p>
        </w:tc>
        <w:tc>
          <w:tcPr>
            <w:tcW w:type="dxa" w:w="680"/>
          </w:tcPr>
          <w:p>
            <w:r>
              <w:rPr>
                <w:sz w:val="17"/>
              </w:rPr>
              <w:t>–</w:t>
            </w:r>
          </w:p>
        </w:tc>
      </w:tr>
      <w:tr>
        <w:tc>
          <w:tcPr>
            <w:tcW w:type="dxa" w:w="340"/>
          </w:tcPr>
          <w:p>
            <w:r>
              <w:rPr>
                <w:sz w:val="17"/>
              </w:rPr>
            </w:r>
          </w:p>
        </w:tc>
        <w:tc>
          <w:tcPr>
            <w:tcW w:type="dxa" w:w="5783"/>
          </w:tcPr>
          <w:p>
            <w:r>
              <w:rPr>
                <w:sz w:val="17"/>
              </w:rPr>
              <w:t>Kim, H. &amp; Won, C. (2018) Forecasting the volatility of stock price index: a hybrid model integrating LSTM with multiple GARCH-type models. Expert Systems with Applications 103, 25–37.</w:t>
            </w:r>
          </w:p>
        </w:tc>
        <w:tc>
          <w:tcPr>
            <w:tcW w:type="dxa" w:w="2948"/>
          </w:tcPr>
          <w:p>
            <w:r>
              <w:rPr>
                <w:sz w:val="17"/>
              </w:rPr>
              <w:t>LSTM + GARCH hybrids</w:t>
            </w:r>
          </w:p>
        </w:tc>
        <w:tc>
          <w:tcPr>
            <w:tcW w:type="dxa" w:w="680"/>
          </w:tcPr>
          <w:p>
            <w:r>
              <w:rPr>
                <w:sz w:val="17"/>
              </w:rPr>
              <w:t>–</w:t>
            </w:r>
          </w:p>
        </w:tc>
      </w:tr>
      <w:tr>
        <w:tc>
          <w:tcPr>
            <w:tcW w:type="dxa" w:w="340"/>
          </w:tcPr>
          <w:p>
            <w:r>
              <w:rPr>
                <w:sz w:val="17"/>
              </w:rPr>
            </w:r>
          </w:p>
        </w:tc>
        <w:tc>
          <w:tcPr>
            <w:tcW w:type="dxa" w:w="5783"/>
          </w:tcPr>
          <w:p>
            <w:r>
              <w:rPr>
                <w:sz w:val="17"/>
              </w:rPr>
              <w:t>Sundararajan, M., Taly, A. &amp; Yan, Q. (2017) Axiomatic attribution for deep networks. ICML.</w:t>
            </w:r>
          </w:p>
        </w:tc>
        <w:tc>
          <w:tcPr>
            <w:tcW w:type="dxa" w:w="2948"/>
          </w:tcPr>
          <w:p>
            <w:r>
              <w:rPr>
                <w:sz w:val="17"/>
              </w:rPr>
              <w:t>Integrated Gradients</w:t>
            </w:r>
          </w:p>
        </w:tc>
        <w:tc>
          <w:tcPr>
            <w:tcW w:type="dxa" w:w="680"/>
          </w:tcPr>
          <w:p>
            <w:r>
              <w:rPr>
                <w:sz w:val="17"/>
              </w:rPr>
              <w:t>–</w:t>
            </w:r>
          </w:p>
        </w:tc>
      </w:tr>
      <w:tr>
        <w:tc>
          <w:tcPr>
            <w:tcW w:type="dxa" w:w="340"/>
          </w:tcPr>
          <w:p>
            <w:r>
              <w:rPr>
                <w:sz w:val="17"/>
              </w:rPr>
            </w:r>
          </w:p>
        </w:tc>
        <w:tc>
          <w:tcPr>
            <w:tcW w:type="dxa" w:w="5783"/>
          </w:tcPr>
          <w:p>
            <w:r>
              <w:rPr>
                <w:sz w:val="17"/>
              </w:rPr>
              <w:t>Erion, G. et al. (2021) Improving performance of deep learning models with axiomatic attribution priors and expected gradients. Nature Machine Intelligence 3, 620–631.</w:t>
            </w:r>
          </w:p>
        </w:tc>
        <w:tc>
          <w:tcPr>
            <w:tcW w:type="dxa" w:w="2948"/>
          </w:tcPr>
          <w:p>
            <w:r>
              <w:rPr>
                <w:sz w:val="17"/>
              </w:rPr>
              <w:t>Expected gradients = GradientSHAP</w:t>
            </w:r>
          </w:p>
        </w:tc>
        <w:tc>
          <w:tcPr>
            <w:tcW w:type="dxa" w:w="680"/>
          </w:tcPr>
          <w:p>
            <w:r>
              <w:rPr>
                <w:sz w:val="17"/>
              </w:rPr>
              <w:t>–</w:t>
            </w:r>
          </w:p>
        </w:tc>
      </w:tr>
      <w:tr>
        <w:tc>
          <w:tcPr>
            <w:tcW w:type="dxa" w:w="340"/>
          </w:tcPr>
          <w:p>
            <w:r>
              <w:rPr>
                <w:sz w:val="17"/>
              </w:rPr>
            </w:r>
          </w:p>
        </w:tc>
        <w:tc>
          <w:tcPr>
            <w:tcW w:type="dxa" w:w="5783"/>
          </w:tcPr>
          <w:p>
            <w:r>
              <w:rPr>
                <w:sz w:val="17"/>
              </w:rPr>
              <w:t>Aas, K., Jullum, M. &amp; Løland, A. (2021) Explaining individual predictions when features are dependent. Artificial Intelligence 298, 103502.</w:t>
            </w:r>
          </w:p>
        </w:tc>
        <w:tc>
          <w:tcPr>
            <w:tcW w:type="dxa" w:w="2948"/>
          </w:tcPr>
          <w:p>
            <w:r>
              <w:rPr>
                <w:sz w:val="17"/>
              </w:rPr>
              <w:t>Correlated features</w:t>
            </w:r>
          </w:p>
        </w:tc>
        <w:tc>
          <w:tcPr>
            <w:tcW w:type="dxa" w:w="680"/>
          </w:tcPr>
          <w:p>
            <w:r>
              <w:rPr>
                <w:sz w:val="17"/>
              </w:rPr>
              <w:t>–</w:t>
            </w:r>
          </w:p>
        </w:tc>
      </w:tr>
      <w:tr>
        <w:tc>
          <w:tcPr>
            <w:tcW w:type="dxa" w:w="340"/>
          </w:tcPr>
          <w:p>
            <w:r>
              <w:rPr>
                <w:sz w:val="17"/>
              </w:rPr>
            </w:r>
          </w:p>
        </w:tc>
        <w:tc>
          <w:tcPr>
            <w:tcW w:type="dxa" w:w="5783"/>
          </w:tcPr>
          <w:p>
            <w:r>
              <w:rPr>
                <w:sz w:val="17"/>
              </w:rPr>
              <w:t>Kumar, I. et al. (2020) Problems with Shapley-value-based explanations as feature importance measures. ICML.</w:t>
            </w:r>
          </w:p>
        </w:tc>
        <w:tc>
          <w:tcPr>
            <w:tcW w:type="dxa" w:w="2948"/>
          </w:tcPr>
          <w:p>
            <w:r>
              <w:rPr>
                <w:sz w:val="17"/>
              </w:rPr>
              <w:t>Limits of SHAP</w:t>
            </w:r>
          </w:p>
        </w:tc>
        <w:tc>
          <w:tcPr>
            <w:tcW w:type="dxa" w:w="680"/>
          </w:tcPr>
          <w:p>
            <w:r>
              <w:rPr>
                <w:sz w:val="17"/>
              </w:rPr>
              <w:t>–</w:t>
            </w:r>
          </w:p>
        </w:tc>
      </w:tr>
      <w:tr>
        <w:tc>
          <w:tcPr>
            <w:tcW w:type="dxa" w:w="340"/>
          </w:tcPr>
          <w:p>
            <w:r>
              <w:rPr>
                <w:sz w:val="17"/>
              </w:rPr>
            </w:r>
          </w:p>
        </w:tc>
        <w:tc>
          <w:tcPr>
            <w:tcW w:type="dxa" w:w="5783"/>
          </w:tcPr>
          <w:p>
            <w:r>
              <w:rPr>
                <w:sz w:val="17"/>
              </w:rPr>
              <w:t>Rudin, C. (2019) Stop explaining black box machine learning models for high stakes decisions… Nature Machine Intelligence 1, 206–215.</w:t>
            </w:r>
          </w:p>
        </w:tc>
        <w:tc>
          <w:tcPr>
            <w:tcW w:type="dxa" w:w="2948"/>
          </w:tcPr>
          <w:p>
            <w:r>
              <w:rPr>
                <w:sz w:val="17"/>
              </w:rPr>
              <w:t>The counter-argument to discuss</w:t>
            </w:r>
          </w:p>
        </w:tc>
        <w:tc>
          <w:tcPr>
            <w:tcW w:type="dxa" w:w="680"/>
          </w:tcPr>
          <w:p>
            <w:r>
              <w:rPr>
                <w:sz w:val="17"/>
              </w:rPr>
              <w:t>–</w:t>
            </w:r>
          </w:p>
        </w:tc>
      </w:tr>
      <w:tr>
        <w:tc>
          <w:tcPr>
            <w:tcW w:type="dxa" w:w="340"/>
          </w:tcPr>
          <w:p>
            <w:r>
              <w:rPr>
                <w:sz w:val="17"/>
              </w:rPr>
            </w:r>
          </w:p>
        </w:tc>
        <w:tc>
          <w:tcPr>
            <w:tcW w:type="dxa" w:w="5783"/>
          </w:tcPr>
          <w:p>
            <w:r>
              <w:rPr>
                <w:sz w:val="17"/>
              </w:rPr>
              <w:t>Ahmed, A. (2026) Explainable deep learning for financial volatility forecasting: an LSTM-Attention-SHAP framework. SSRN preprint.</w:t>
            </w:r>
          </w:p>
        </w:tc>
        <w:tc>
          <w:tcPr>
            <w:tcW w:type="dxa" w:w="2948"/>
          </w:tcPr>
          <w:p>
            <w:r>
              <w:rPr>
                <w:sz w:val="17"/>
              </w:rPr>
              <w:t>Recent close work; preprint, not peer-reviewed</w:t>
            </w:r>
          </w:p>
        </w:tc>
        <w:tc>
          <w:tcPr>
            <w:tcW w:type="dxa" w:w="680"/>
          </w:tcPr>
          <w:p>
            <w:r>
              <w:rPr>
                <w:sz w:val="17"/>
              </w:rPr>
              <w:t>✔</w:t>
            </w:r>
          </w:p>
        </w:tc>
      </w:tr>
      <w:tr>
        <w:tc>
          <w:tcPr>
            <w:tcW w:type="dxa" w:w="340"/>
          </w:tcPr>
          <w:p>
            <w:r>
              <w:rPr>
                <w:sz w:val="17"/>
              </w:rPr>
            </w:r>
          </w:p>
        </w:tc>
        <w:tc>
          <w:tcPr>
            <w:tcW w:type="dxa" w:w="5783"/>
          </w:tcPr>
          <w:p>
            <w:r>
              <w:rPr>
                <w:sz w:val="17"/>
              </w:rPr>
              <w:t>Bergmeir, C. &amp; Benítez, J. (2012) On the use of cross-validation for time series predictor evaluation. Information Sciences 191, 192–213.</w:t>
            </w:r>
          </w:p>
        </w:tc>
        <w:tc>
          <w:tcPr>
            <w:tcW w:type="dxa" w:w="2948"/>
          </w:tcPr>
          <w:p>
            <w:r>
              <w:rPr>
                <w:sz w:val="17"/>
              </w:rPr>
              <w:t>Time-series validation</w:t>
            </w:r>
          </w:p>
        </w:tc>
        <w:tc>
          <w:tcPr>
            <w:tcW w:type="dxa" w:w="680"/>
          </w:tcPr>
          <w:p>
            <w:r>
              <w:rPr>
                <w:sz w:val="17"/>
              </w:rPr>
              <w:t>–</w:t>
            </w:r>
          </w:p>
        </w:tc>
      </w:tr>
      <w:tr>
        <w:tc>
          <w:tcPr>
            <w:tcW w:type="dxa" w:w="340"/>
          </w:tcPr>
          <w:p>
            <w:r>
              <w:rPr>
                <w:sz w:val="17"/>
                <w:b w:val="0"/>
              </w:rPr>
              <w:t xml:space="preserve"/>
            </w:r>
          </w:p>
        </w:tc>
        <w:tc>
          <w:tcPr>
            <w:tcW w:type="dxa" w:w="5783"/>
          </w:tcPr>
          <w:p>
            <w:r>
              <w:rPr>
                <w:sz w:val="17"/>
                <w:b w:val="0"/>
              </w:rPr>
              <w:t xml:space="preserve">Feng, L., Shi, J. &amp; Kutan, A. (2026) Your fear is (partly) mine: the role of non-VIX volatility in forecasting regional stock market volatility using interpretable machine learning. J. International Money and Finance 160, 103467.</w:t>
            </w:r>
          </w:p>
        </w:tc>
        <w:tc>
          <w:tcPr>
            <w:tcW w:type="dxa" w:w="2948"/>
          </w:tcPr>
          <w:p>
            <w:r>
              <w:rPr>
                <w:sz w:val="17"/>
                <w:b w:val="0"/>
              </w:rPr>
              <w:t xml:space="preserve">Closest new work: interpretable ML for cross-market volatility — must cite</w:t>
            </w:r>
          </w:p>
        </w:tc>
        <w:tc>
          <w:tcPr>
            <w:tcW w:type="dxa" w:w="680"/>
          </w:tcPr>
          <w:p>
            <w:r>
              <w:rPr>
                <w:sz w:val="17"/>
                <w:b w:val="0"/>
              </w:rPr>
              <w:t xml:space="preserve">✔</w:t>
            </w:r>
          </w:p>
        </w:tc>
      </w:tr>
      <w:tr>
        <w:tc>
          <w:tcPr>
            <w:tcW w:type="dxa" w:w="340"/>
          </w:tcPr>
          <w:p>
            <w:r>
              <w:rPr>
                <w:sz w:val="17"/>
                <w:b w:val="0"/>
              </w:rPr>
              <w:t xml:space="preserve"/>
            </w:r>
          </w:p>
        </w:tc>
        <w:tc>
          <w:tcPr>
            <w:tcW w:type="dxa" w:w="5783"/>
          </w:tcPr>
          <w:p>
            <w:r>
              <w:rPr>
                <w:sz w:val="17"/>
                <w:b w:val="0"/>
              </w:rPr>
              <w:t xml:space="preserve">Brini, A. (2026) Forecasting realized volatility with time series foundation models: a comparison with econometric benchmarks. arXiv 2607.05291 (preprint).</w:t>
            </w:r>
          </w:p>
        </w:tc>
        <w:tc>
          <w:tcPr>
            <w:tcW w:type="dxa" w:w="2948"/>
          </w:tcPr>
          <w:p>
            <w:r>
              <w:rPr>
                <w:sz w:val="17"/>
                <w:b w:val="0"/>
              </w:rPr>
              <w:t xml:space="preserve">Nine foundation models vs HAR on 50 assets: no general advantage — supports your H1 result</w:t>
            </w:r>
          </w:p>
        </w:tc>
        <w:tc>
          <w:tcPr>
            <w:tcW w:type="dxa" w:w="680"/>
          </w:tcPr>
          <w:p>
            <w:r>
              <w:rPr>
                <w:sz w:val="17"/>
                <w:b w:val="0"/>
              </w:rPr>
              <w:t xml:space="preserve">✔</w:t>
            </w:r>
          </w:p>
        </w:tc>
      </w:tr>
    </w:tbl>
    <w:p>
      <w:pPr>
        <w:spacing w:after="40"/>
      </w:pPr>
    </w:p>
    <w:p>
      <w:pPr>
        <w:pStyle w:val="Heading2"/>
      </w:pPr>
      <w:r>
        <w:rPr>
          <w:color w:val="1F4E79"/>
        </w:rPr>
        <w:t>8.4 Contagion and transmission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40"/>
            <w:shd w:val="clear" w:color="auto" w:fill="1F4E79"/>
          </w:tcPr>
          <w:p>
            <w:r>
              <w:rPr>
                <w:b/>
                <w:color w:val="FFFFFF"/>
                <w:sz w:val="17"/>
              </w:rPr>
            </w:r>
          </w:p>
        </w:tc>
        <w:tc>
          <w:tcPr>
            <w:tcW w:type="dxa" w:w="5783"/>
            <w:shd w:val="clear" w:color="auto" w:fill="1F4E79"/>
          </w:tcPr>
          <w:p>
            <w:r>
              <w:rPr>
                <w:b/>
                <w:color w:val="FFFFFF"/>
                <w:sz w:val="17"/>
              </w:rPr>
              <w:t>Reference</w:t>
            </w:r>
          </w:p>
        </w:tc>
        <w:tc>
          <w:tcPr>
            <w:tcW w:type="dxa" w:w="2948"/>
            <w:shd w:val="clear" w:color="auto" w:fill="1F4E79"/>
          </w:tcPr>
          <w:p>
            <w:r>
              <w:rPr>
                <w:b/>
                <w:color w:val="FFFFFF"/>
                <w:sz w:val="17"/>
              </w:rPr>
              <w:t>Why read it</w:t>
            </w:r>
          </w:p>
        </w:tc>
        <w:tc>
          <w:tcPr>
            <w:tcW w:type="dxa" w:w="680"/>
            <w:shd w:val="clear" w:color="auto" w:fill="1F4E79"/>
          </w:tcPr>
          <w:p>
            <w:r>
              <w:rPr>
                <w:b/>
                <w:color w:val="FFFFFF"/>
                <w:sz w:val="17"/>
              </w:rPr>
              <w:t>✔</w:t>
            </w:r>
          </w:p>
        </w:tc>
      </w:tr>
      <w:tr>
        <w:tc>
          <w:tcPr>
            <w:tcW w:type="dxa" w:w="340"/>
          </w:tcPr>
          <w:p>
            <w:r>
              <w:rPr>
                <w:sz w:val="17"/>
              </w:rPr>
            </w:r>
          </w:p>
        </w:tc>
        <w:tc>
          <w:tcPr>
            <w:tcW w:type="dxa" w:w="5783"/>
          </w:tcPr>
          <w:p>
            <w:r>
              <w:rPr>
                <w:sz w:val="17"/>
              </w:rPr>
              <w:t>King, M. &amp; Wadhwani, S. (1990) Transmission of volatility between stock markets. Review of Financial Studies 3(1), 5–33.</w:t>
            </w:r>
          </w:p>
        </w:tc>
        <w:tc>
          <w:tcPr>
            <w:tcW w:type="dxa" w:w="2948"/>
          </w:tcPr>
          <w:p>
            <w:r>
              <w:rPr>
                <w:sz w:val="17"/>
              </w:rPr>
              <w:t>Classic transmission paper</w:t>
            </w:r>
          </w:p>
        </w:tc>
        <w:tc>
          <w:tcPr>
            <w:tcW w:type="dxa" w:w="680"/>
          </w:tcPr>
          <w:p>
            <w:r>
              <w:rPr>
                <w:sz w:val="17"/>
              </w:rPr>
              <w:t>–</w:t>
            </w:r>
          </w:p>
        </w:tc>
      </w:tr>
      <w:tr>
        <w:tc>
          <w:tcPr>
            <w:tcW w:type="dxa" w:w="340"/>
          </w:tcPr>
          <w:p>
            <w:r>
              <w:rPr>
                <w:sz w:val="17"/>
              </w:rPr>
            </w:r>
          </w:p>
        </w:tc>
        <w:tc>
          <w:tcPr>
            <w:tcW w:type="dxa" w:w="5783"/>
          </w:tcPr>
          <w:p>
            <w:r>
              <w:rPr>
                <w:sz w:val="17"/>
              </w:rPr>
              <w:t>Hamao, Y., Masulis, R. &amp; Ng, V. (1990) Correlations in price changes and volatility across international stock markets. Review of Financial Studies 3(2), 281–307.</w:t>
            </w:r>
          </w:p>
        </w:tc>
        <w:tc>
          <w:tcPr>
            <w:tcW w:type="dxa" w:w="2948"/>
          </w:tcPr>
          <w:p>
            <w:r>
              <w:rPr>
                <w:sz w:val="17"/>
              </w:rPr>
              <w:t>Time zones and spillovers</w:t>
            </w:r>
          </w:p>
        </w:tc>
        <w:tc>
          <w:tcPr>
            <w:tcW w:type="dxa" w:w="680"/>
          </w:tcPr>
          <w:p>
            <w:r>
              <w:rPr>
                <w:sz w:val="17"/>
              </w:rPr>
              <w:t>✔</w:t>
            </w:r>
          </w:p>
        </w:tc>
      </w:tr>
      <w:tr>
        <w:tc>
          <w:tcPr>
            <w:tcW w:type="dxa" w:w="340"/>
          </w:tcPr>
          <w:p>
            <w:r>
              <w:rPr>
                <w:sz w:val="17"/>
              </w:rPr>
            </w:r>
          </w:p>
        </w:tc>
        <w:tc>
          <w:tcPr>
            <w:tcW w:type="dxa" w:w="5783"/>
          </w:tcPr>
          <w:p>
            <w:r>
              <w:rPr>
                <w:sz w:val="17"/>
              </w:rPr>
              <w:t>Engle, R., Ito, T. &amp; Lin, W. (1990) Meteor showers or heat waves? Econometrica 58(3), 525–542.</w:t>
            </w:r>
          </w:p>
        </w:tc>
        <w:tc>
          <w:tcPr>
            <w:tcW w:type="dxa" w:w="2948"/>
          </w:tcPr>
          <w:p>
            <w:r>
              <w:rPr>
                <w:sz w:val="17"/>
              </w:rPr>
              <w:t>Domestic vs foreign volatility</w:t>
            </w:r>
          </w:p>
        </w:tc>
        <w:tc>
          <w:tcPr>
            <w:tcW w:type="dxa" w:w="680"/>
          </w:tcPr>
          <w:p>
            <w:r>
              <w:rPr>
                <w:sz w:val="17"/>
              </w:rPr>
              <w:t>–</w:t>
            </w:r>
          </w:p>
        </w:tc>
      </w:tr>
      <w:tr>
        <w:tc>
          <w:tcPr>
            <w:tcW w:type="dxa" w:w="340"/>
          </w:tcPr>
          <w:p>
            <w:r>
              <w:rPr>
                <w:sz w:val="17"/>
              </w:rPr>
            </w:r>
          </w:p>
        </w:tc>
        <w:tc>
          <w:tcPr>
            <w:tcW w:type="dxa" w:w="5783"/>
          </w:tcPr>
          <w:p>
            <w:r>
              <w:rPr>
                <w:sz w:val="17"/>
              </w:rPr>
              <w:t>Bekaert, G., Harvey, C. &amp; Ng, A. (2005) Market integration and contagion. J. Business 78(1), 39–69.</w:t>
            </w:r>
          </w:p>
        </w:tc>
        <w:tc>
          <w:tcPr>
            <w:tcW w:type="dxa" w:w="2948"/>
          </w:tcPr>
          <w:p>
            <w:r>
              <w:rPr>
                <w:sz w:val="17"/>
              </w:rPr>
              <w:t>Integration vs contagion</w:t>
            </w:r>
          </w:p>
        </w:tc>
        <w:tc>
          <w:tcPr>
            <w:tcW w:type="dxa" w:w="680"/>
          </w:tcPr>
          <w:p>
            <w:r>
              <w:rPr>
                <w:sz w:val="17"/>
              </w:rPr>
              <w:t>–</w:t>
            </w:r>
          </w:p>
        </w:tc>
      </w:tr>
      <w:tr>
        <w:tc>
          <w:tcPr>
            <w:tcW w:type="dxa" w:w="340"/>
          </w:tcPr>
          <w:p>
            <w:r>
              <w:rPr>
                <w:sz w:val="17"/>
              </w:rPr>
            </w:r>
          </w:p>
        </w:tc>
        <w:tc>
          <w:tcPr>
            <w:tcW w:type="dxa" w:w="5783"/>
          </w:tcPr>
          <w:p>
            <w:r>
              <w:rPr>
                <w:sz w:val="17"/>
              </w:rPr>
              <w:t>Pericoli, M. &amp; Sbracia, M. (2003) A primer on financial contagion. J. Economic Surveys 17(4), 571–608.</w:t>
            </w:r>
          </w:p>
        </w:tc>
        <w:tc>
          <w:tcPr>
            <w:tcW w:type="dxa" w:w="2948"/>
          </w:tcPr>
          <w:p>
            <w:r>
              <w:rPr>
                <w:sz w:val="17"/>
              </w:rPr>
              <w:t>Definitions of contagion</w:t>
            </w:r>
          </w:p>
        </w:tc>
        <w:tc>
          <w:tcPr>
            <w:tcW w:type="dxa" w:w="680"/>
          </w:tcPr>
          <w:p>
            <w:r>
              <w:rPr>
                <w:sz w:val="17"/>
              </w:rPr>
              <w:t>–</w:t>
            </w:r>
          </w:p>
        </w:tc>
      </w:tr>
      <w:tr>
        <w:tc>
          <w:tcPr>
            <w:tcW w:type="dxa" w:w="340"/>
          </w:tcPr>
          <w:p>
            <w:r>
              <w:rPr>
                <w:sz w:val="17"/>
              </w:rPr>
            </w:r>
          </w:p>
        </w:tc>
        <w:tc>
          <w:tcPr>
            <w:tcW w:type="dxa" w:w="5783"/>
          </w:tcPr>
          <w:p>
            <w:r>
              <w:rPr>
                <w:sz w:val="17"/>
              </w:rPr>
              <w:t>Dungey, M. et al. (2005) Empirical modelling of contagion: a review of methodologies. Quantitative Finance 5(1), 9–24.</w:t>
            </w:r>
          </w:p>
        </w:tc>
        <w:tc>
          <w:tcPr>
            <w:tcW w:type="dxa" w:w="2948"/>
          </w:tcPr>
          <w:p>
            <w:r>
              <w:rPr>
                <w:sz w:val="17"/>
              </w:rPr>
              <w:t>Method overview</w:t>
            </w:r>
          </w:p>
        </w:tc>
        <w:tc>
          <w:tcPr>
            <w:tcW w:type="dxa" w:w="680"/>
          </w:tcPr>
          <w:p>
            <w:r>
              <w:rPr>
                <w:sz w:val="17"/>
              </w:rPr>
              <w:t>–</w:t>
            </w:r>
          </w:p>
        </w:tc>
      </w:tr>
      <w:tr>
        <w:tc>
          <w:tcPr>
            <w:tcW w:type="dxa" w:w="340"/>
          </w:tcPr>
          <w:p>
            <w:r>
              <w:rPr>
                <w:sz w:val="17"/>
              </w:rPr>
            </w:r>
          </w:p>
        </w:tc>
        <w:tc>
          <w:tcPr>
            <w:tcW w:type="dxa" w:w="5783"/>
          </w:tcPr>
          <w:p>
            <w:r>
              <w:rPr>
                <w:sz w:val="17"/>
              </w:rPr>
              <w:t>Diebold, F. &amp; Yilmaz, K. (2009) Economic Journal 119(534), 158–171; (2012) International J. Forecasting 28(1), 57–66.</w:t>
            </w:r>
          </w:p>
        </w:tc>
        <w:tc>
          <w:tcPr>
            <w:tcW w:type="dxa" w:w="2948"/>
          </w:tcPr>
          <w:p>
            <w:r>
              <w:rPr>
                <w:sz w:val="17"/>
                <w:b w:val="0"/>
              </w:rPr>
              <w:t xml:space="preserve">Spillover index — the method of exploratory E1 (2012 set-up checked in the full text)</w:t>
            </w:r>
          </w:p>
        </w:tc>
        <w:tc>
          <w:tcPr>
            <w:tcW w:type="dxa" w:w="680"/>
          </w:tcPr>
          <w:p>
            <w:r>
              <w:rPr>
                <w:sz w:val="17"/>
                <w:b w:val="0"/>
              </w:rPr>
              <w:t xml:space="preserve">✔</w:t>
            </w:r>
          </w:p>
        </w:tc>
      </w:tr>
      <w:tr>
        <w:tc>
          <w:tcPr>
            <w:tcW w:type="dxa" w:w="340"/>
          </w:tcPr>
          <w:p>
            <w:r>
              <w:rPr>
                <w:sz w:val="17"/>
              </w:rPr>
            </w:r>
          </w:p>
        </w:tc>
        <w:tc>
          <w:tcPr>
            <w:tcW w:type="dxa" w:w="5783"/>
          </w:tcPr>
          <w:p>
            <w:r>
              <w:rPr>
                <w:sz w:val="17"/>
              </w:rPr>
              <w:t>Bekaert, G., Ehrmann, M., Fratzscher, M. &amp; Mehl, A. (2014) The global crisis and equity market contagion. J. Finance 69(6), 2597–2649.</w:t>
            </w:r>
          </w:p>
        </w:tc>
        <w:tc>
          <w:tcPr>
            <w:tcW w:type="dxa" w:w="2948"/>
          </w:tcPr>
          <w:p>
            <w:r>
              <w:rPr>
                <w:sz w:val="17"/>
              </w:rPr>
              <w:t>GFC contagion: small from the US, large from domestic markets with weak fundamentals</w:t>
            </w:r>
          </w:p>
        </w:tc>
        <w:tc>
          <w:tcPr>
            <w:tcW w:type="dxa" w:w="680"/>
          </w:tcPr>
          <w:p>
            <w:r>
              <w:rPr>
                <w:sz w:val="17"/>
              </w:rPr>
              <w:t>✔</w:t>
            </w:r>
          </w:p>
        </w:tc>
      </w:tr>
      <w:tr>
        <w:tc>
          <w:tcPr>
            <w:tcW w:type="dxa" w:w="340"/>
          </w:tcPr>
          <w:p>
            <w:r>
              <w:rPr>
                <w:sz w:val="17"/>
              </w:rPr>
            </w:r>
          </w:p>
        </w:tc>
        <w:tc>
          <w:tcPr>
            <w:tcW w:type="dxa" w:w="5783"/>
          </w:tcPr>
          <w:p>
            <w:r>
              <w:rPr>
                <w:sz w:val="17"/>
              </w:rPr>
              <w:t>Kearney, C. (2000) The determination and international transmission of stock market volatility. Global Finance Journal 11, 31–52.</w:t>
            </w:r>
          </w:p>
        </w:tc>
        <w:tc>
          <w:tcPr>
            <w:tcW w:type="dxa" w:w="2948"/>
          </w:tcPr>
          <w:p>
            <w:r>
              <w:rPr>
                <w:sz w:val="17"/>
              </w:rPr>
              <w:t>Volatility transmission (Irish author)</w:t>
            </w:r>
          </w:p>
        </w:tc>
        <w:tc>
          <w:tcPr>
            <w:tcW w:type="dxa" w:w="680"/>
          </w:tcPr>
          <w:p>
            <w:r>
              <w:rPr>
                <w:sz w:val="17"/>
              </w:rPr>
              <w:t>✔</w:t>
            </w:r>
          </w:p>
        </w:tc>
      </w:tr>
      <w:tr>
        <w:tc>
          <w:tcPr>
            <w:tcW w:type="dxa" w:w="340"/>
          </w:tcPr>
          <w:p>
            <w:r>
              <w:rPr>
                <w:sz w:val="17"/>
                <w:b w:val="0"/>
              </w:rPr>
              <w:t xml:space="preserve"/>
            </w:r>
          </w:p>
        </w:tc>
        <w:tc>
          <w:tcPr>
            <w:tcW w:type="dxa" w:w="5783"/>
          </w:tcPr>
          <w:p>
            <w:r>
              <w:rPr>
                <w:sz w:val="17"/>
                <w:b w:val="0"/>
              </w:rPr>
              <w:t xml:space="preserve">Pesaran, M.H. &amp; Shin, Y. (1998) Generalized impulse response analysis in linear multivariate models. Economics Letters 58(1), 17–29.</w:t>
            </w:r>
          </w:p>
        </w:tc>
        <w:tc>
          <w:tcPr>
            <w:tcW w:type="dxa" w:w="2948"/>
          </w:tcPr>
          <w:p>
            <w:r>
              <w:rPr>
                <w:sz w:val="17"/>
                <w:b w:val="0"/>
              </w:rPr>
              <w:t xml:space="preserve">Order-invariant (generalized) variance decomposition used in E1</w:t>
            </w:r>
          </w:p>
        </w:tc>
        <w:tc>
          <w:tcPr>
            <w:tcW w:type="dxa" w:w="680"/>
          </w:tcPr>
          <w:p>
            <w:r>
              <w:rPr>
                <w:sz w:val="17"/>
                <w:b w:val="0"/>
              </w:rPr>
              <w:t xml:space="preserve">–</w:t>
            </w:r>
          </w:p>
        </w:tc>
      </w:tr>
      <w:tr>
        <w:tc>
          <w:tcPr>
            <w:tcW w:type="dxa" w:w="340"/>
          </w:tcPr>
          <w:p>
            <w:r>
              <w:rPr>
                <w:sz w:val="17"/>
                <w:b w:val="0"/>
              </w:rPr>
              <w:t xml:space="preserve"/>
            </w:r>
          </w:p>
        </w:tc>
        <w:tc>
          <w:tcPr>
            <w:tcW w:type="dxa" w:w="5783"/>
          </w:tcPr>
          <w:p>
            <w:r>
              <w:rPr>
                <w:sz w:val="17"/>
                <w:b w:val="0"/>
              </w:rPr>
              <w:t xml:space="preserve">Antonakakis, N., Chatziantoniou, I. &amp; Gabauer, D. (2020) Refined measures of dynamic connectedness based on time-varying parameter vector autoregressions. J. Risk and Financial Management 13(4), 84.</w:t>
            </w:r>
          </w:p>
        </w:tc>
        <w:tc>
          <w:tcPr>
            <w:tcW w:type="dxa" w:w="2948"/>
          </w:tcPr>
          <w:p>
            <w:r>
              <w:rPr>
                <w:sz w:val="17"/>
                <w:b w:val="0"/>
              </w:rPr>
              <w:t xml:space="preserve">TVP-VAR connectedness — the PhD extension of E1</w:t>
            </w:r>
          </w:p>
        </w:tc>
        <w:tc>
          <w:tcPr>
            <w:tcW w:type="dxa" w:w="680"/>
          </w:tcPr>
          <w:p>
            <w:r>
              <w:rPr>
                <w:sz w:val="17"/>
                <w:b w:val="0"/>
              </w:rPr>
              <w:t xml:space="preserve">–</w:t>
            </w:r>
          </w:p>
        </w:tc>
      </w:tr>
    </w:tbl>
    <w:p>
      <w:pPr>
        <w:spacing w:after="40"/>
      </w:pPr>
    </w:p>
    <w:p>
      <w:pPr>
        <w:pStyle w:val="Heading2"/>
      </w:pPr>
      <w:r>
        <w:rPr>
          <w:color w:val="1F4E79"/>
        </w:rPr>
        <w:t>8.5 Crisis history (for Chapter 2 and your Discussion)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40"/>
            <w:shd w:val="clear" w:color="auto" w:fill="1F4E79"/>
          </w:tcPr>
          <w:p>
            <w:r>
              <w:rPr>
                <w:b/>
                <w:color w:val="FFFFFF"/>
                <w:sz w:val="17"/>
              </w:rPr>
            </w:r>
          </w:p>
        </w:tc>
        <w:tc>
          <w:tcPr>
            <w:tcW w:type="dxa" w:w="5783"/>
            <w:shd w:val="clear" w:color="auto" w:fill="1F4E79"/>
          </w:tcPr>
          <w:p>
            <w:r>
              <w:rPr>
                <w:b/>
                <w:color w:val="FFFFFF"/>
                <w:sz w:val="17"/>
              </w:rPr>
              <w:t>Reference</w:t>
            </w:r>
          </w:p>
        </w:tc>
        <w:tc>
          <w:tcPr>
            <w:tcW w:type="dxa" w:w="2948"/>
            <w:shd w:val="clear" w:color="auto" w:fill="1F4E79"/>
          </w:tcPr>
          <w:p>
            <w:r>
              <w:rPr>
                <w:b/>
                <w:color w:val="FFFFFF"/>
                <w:sz w:val="17"/>
              </w:rPr>
              <w:t>Why read it</w:t>
            </w:r>
          </w:p>
        </w:tc>
        <w:tc>
          <w:tcPr>
            <w:tcW w:type="dxa" w:w="680"/>
            <w:shd w:val="clear" w:color="auto" w:fill="1F4E79"/>
          </w:tcPr>
          <w:p>
            <w:r>
              <w:rPr>
                <w:b/>
                <w:color w:val="FFFFFF"/>
                <w:sz w:val="17"/>
              </w:rPr>
              <w:t>✔</w:t>
            </w:r>
          </w:p>
        </w:tc>
      </w:tr>
      <w:tr>
        <w:tc>
          <w:tcPr>
            <w:tcW w:type="dxa" w:w="340"/>
          </w:tcPr>
          <w:p>
            <w:r>
              <w:rPr>
                <w:sz w:val="17"/>
              </w:rPr>
            </w:r>
          </w:p>
        </w:tc>
        <w:tc>
          <w:tcPr>
            <w:tcW w:type="dxa" w:w="5783"/>
          </w:tcPr>
          <w:p>
            <w:r>
              <w:rPr>
                <w:sz w:val="17"/>
              </w:rPr>
              <w:t>Kindleberger, C. &amp; Aliber, R. (2015) Manias, Panics and Crashes. 7th edn. Palgrave Macmillan.</w:t>
            </w:r>
          </w:p>
        </w:tc>
        <w:tc>
          <w:tcPr>
            <w:tcW w:type="dxa" w:w="2948"/>
          </w:tcPr>
          <w:p>
            <w:r>
              <w:rPr>
                <w:sz w:val="17"/>
              </w:rPr>
              <w:t>Crisis anatomy</w:t>
            </w:r>
          </w:p>
        </w:tc>
        <w:tc>
          <w:tcPr>
            <w:tcW w:type="dxa" w:w="680"/>
          </w:tcPr>
          <w:p>
            <w:r>
              <w:rPr>
                <w:sz w:val="17"/>
              </w:rPr>
              <w:t>–</w:t>
            </w:r>
          </w:p>
        </w:tc>
      </w:tr>
      <w:tr>
        <w:tc>
          <w:tcPr>
            <w:tcW w:type="dxa" w:w="340"/>
          </w:tcPr>
          <w:p>
            <w:r>
              <w:rPr>
                <w:sz w:val="17"/>
              </w:rPr>
            </w:r>
          </w:p>
        </w:tc>
        <w:tc>
          <w:tcPr>
            <w:tcW w:type="dxa" w:w="5783"/>
          </w:tcPr>
          <w:p>
            <w:r>
              <w:rPr>
                <w:sz w:val="17"/>
              </w:rPr>
              <w:t>Minsky, H. (1986) Stabilizing an Unstable Economy. Yale UP; Minsky (1992) The Financial Instability Hypothesis. Levy Institute Working Paper 74.</w:t>
            </w:r>
          </w:p>
        </w:tc>
        <w:tc>
          <w:tcPr>
            <w:tcW w:type="dxa" w:w="2948"/>
          </w:tcPr>
          <w:p>
            <w:r>
              <w:rPr>
                <w:sz w:val="17"/>
              </w:rPr>
              <w:t>Stability breeds instability</w:t>
            </w:r>
          </w:p>
        </w:tc>
        <w:tc>
          <w:tcPr>
            <w:tcW w:type="dxa" w:w="680"/>
          </w:tcPr>
          <w:p>
            <w:r>
              <w:rPr>
                <w:sz w:val="17"/>
              </w:rPr>
              <w:t>–</w:t>
            </w:r>
          </w:p>
        </w:tc>
      </w:tr>
      <w:tr>
        <w:tc>
          <w:tcPr>
            <w:tcW w:type="dxa" w:w="340"/>
          </w:tcPr>
          <w:p>
            <w:r>
              <w:rPr>
                <w:sz w:val="17"/>
              </w:rPr>
            </w:r>
          </w:p>
        </w:tc>
        <w:tc>
          <w:tcPr>
            <w:tcW w:type="dxa" w:w="5783"/>
          </w:tcPr>
          <w:p>
            <w:r>
              <w:rPr>
                <w:sz w:val="17"/>
              </w:rPr>
              <w:t>Fama, E. (1970) Efficient capital markets: a review of theory and empirical work. J. Finance 25(2), 383–417.</w:t>
            </w:r>
          </w:p>
        </w:tc>
        <w:tc>
          <w:tcPr>
            <w:tcW w:type="dxa" w:w="2948"/>
          </w:tcPr>
          <w:p>
            <w:r>
              <w:rPr>
                <w:sz w:val="17"/>
              </w:rPr>
              <w:t>Market efficiency: the counterpoint to Minsky</w:t>
            </w:r>
          </w:p>
        </w:tc>
        <w:tc>
          <w:tcPr>
            <w:tcW w:type="dxa" w:w="680"/>
          </w:tcPr>
          <w:p>
            <w:r>
              <w:rPr>
                <w:sz w:val="17"/>
              </w:rPr>
              <w:t>–</w:t>
            </w:r>
          </w:p>
        </w:tc>
      </w:tr>
      <w:tr>
        <w:tc>
          <w:tcPr>
            <w:tcW w:type="dxa" w:w="340"/>
          </w:tcPr>
          <w:p>
            <w:r>
              <w:rPr>
                <w:sz w:val="17"/>
              </w:rPr>
            </w:r>
          </w:p>
        </w:tc>
        <w:tc>
          <w:tcPr>
            <w:tcW w:type="dxa" w:w="5783"/>
          </w:tcPr>
          <w:p>
            <w:r>
              <w:rPr>
                <w:sz w:val="17"/>
              </w:rPr>
              <w:t>Brunnermeier, M. (2009) Deciphering the liquidity and credit crunch 2007–2008. J. Economic Perspectives 23(1), 77–100.</w:t>
            </w:r>
          </w:p>
        </w:tc>
        <w:tc>
          <w:tcPr>
            <w:tcW w:type="dxa" w:w="2948"/>
          </w:tcPr>
          <w:p>
            <w:r>
              <w:rPr>
                <w:sz w:val="17"/>
              </w:rPr>
              <w:t>GFC mechanics</w:t>
            </w:r>
          </w:p>
        </w:tc>
        <w:tc>
          <w:tcPr>
            <w:tcW w:type="dxa" w:w="680"/>
          </w:tcPr>
          <w:p>
            <w:r>
              <w:rPr>
                <w:sz w:val="17"/>
              </w:rPr>
              <w:t>–</w:t>
            </w:r>
          </w:p>
        </w:tc>
      </w:tr>
      <w:tr>
        <w:tc>
          <w:tcPr>
            <w:tcW w:type="dxa" w:w="340"/>
          </w:tcPr>
          <w:p>
            <w:r>
              <w:rPr>
                <w:sz w:val="17"/>
              </w:rPr>
            </w:r>
          </w:p>
        </w:tc>
        <w:tc>
          <w:tcPr>
            <w:tcW w:type="dxa" w:w="5783"/>
          </w:tcPr>
          <w:p>
            <w:r>
              <w:rPr>
                <w:sz w:val="17"/>
              </w:rPr>
              <w:t>Lane, P. (2012) The European sovereign debt crisis. J. Economic Perspectives 26(3), 49–68.</w:t>
            </w:r>
          </w:p>
        </w:tc>
        <w:tc>
          <w:tcPr>
            <w:tcW w:type="dxa" w:w="2948"/>
          </w:tcPr>
          <w:p>
            <w:r>
              <w:rPr>
                <w:sz w:val="17"/>
              </w:rPr>
              <w:t>Euro crisis (by the later Central Bank of Ireland governor)</w:t>
            </w:r>
          </w:p>
        </w:tc>
        <w:tc>
          <w:tcPr>
            <w:tcW w:type="dxa" w:w="680"/>
          </w:tcPr>
          <w:p>
            <w:r>
              <w:rPr>
                <w:sz w:val="17"/>
              </w:rPr>
              <w:t>–</w:t>
            </w:r>
          </w:p>
        </w:tc>
      </w:tr>
      <w:tr>
        <w:tc>
          <w:tcPr>
            <w:tcW w:type="dxa" w:w="340"/>
          </w:tcPr>
          <w:p>
            <w:r>
              <w:rPr>
                <w:sz w:val="17"/>
              </w:rPr>
            </w:r>
          </w:p>
        </w:tc>
        <w:tc>
          <w:tcPr>
            <w:tcW w:type="dxa" w:w="5783"/>
          </w:tcPr>
          <w:p>
            <w:r>
              <w:rPr>
                <w:sz w:val="17"/>
              </w:rPr>
              <w:t>Baker, S. et al. (2020) The unprecedented stock market reaction to COVID-19. Review of Asset Pricing Studies 10(4), 742–758.</w:t>
            </w:r>
          </w:p>
        </w:tc>
        <w:tc>
          <w:tcPr>
            <w:tcW w:type="dxa" w:w="2948"/>
          </w:tcPr>
          <w:p>
            <w:r>
              <w:rPr>
                <w:sz w:val="17"/>
              </w:rPr>
              <w:t>COVID shock</w:t>
            </w:r>
          </w:p>
        </w:tc>
        <w:tc>
          <w:tcPr>
            <w:tcW w:type="dxa" w:w="680"/>
          </w:tcPr>
          <w:p>
            <w:r>
              <w:rPr>
                <w:sz w:val="17"/>
              </w:rPr>
              <w:t>–</w:t>
            </w:r>
          </w:p>
        </w:tc>
      </w:tr>
      <w:tr>
        <w:tc>
          <w:tcPr>
            <w:tcW w:type="dxa" w:w="340"/>
          </w:tcPr>
          <w:p>
            <w:r>
              <w:rPr>
                <w:sz w:val="17"/>
              </w:rPr>
            </w:r>
          </w:p>
        </w:tc>
        <w:tc>
          <w:tcPr>
            <w:tcW w:type="dxa" w:w="5783"/>
          </w:tcPr>
          <w:p>
            <w:r>
              <w:rPr>
                <w:sz w:val="17"/>
              </w:rPr>
              <w:t>Akhtaruzzaman, M., Boubaker, S. &amp; Sensoy, A. (2021) Financial contagion during COVID-19 crisis. Finance Research Letters 38, 101604.</w:t>
            </w:r>
          </w:p>
        </w:tc>
        <w:tc>
          <w:tcPr>
            <w:tcW w:type="dxa" w:w="2948"/>
          </w:tcPr>
          <w:p>
            <w:r>
              <w:rPr>
                <w:sz w:val="17"/>
              </w:rPr>
              <w:t>COVID contagion via financial firms</w:t>
            </w:r>
          </w:p>
        </w:tc>
        <w:tc>
          <w:tcPr>
            <w:tcW w:type="dxa" w:w="680"/>
          </w:tcPr>
          <w:p>
            <w:r>
              <w:rPr>
                <w:sz w:val="17"/>
              </w:rPr>
              <w:t>✔</w:t>
            </w:r>
          </w:p>
        </w:tc>
      </w:tr>
      <w:tr>
        <w:tc>
          <w:tcPr>
            <w:tcW w:type="dxa" w:w="340"/>
          </w:tcPr>
          <w:p>
            <w:r>
              <w:rPr>
                <w:sz w:val="17"/>
              </w:rPr>
            </w:r>
          </w:p>
        </w:tc>
        <w:tc>
          <w:tcPr>
            <w:tcW w:type="dxa" w:w="5783"/>
          </w:tcPr>
          <w:p>
            <w:r>
              <w:rPr>
                <w:sz w:val="17"/>
              </w:rPr>
              <w:t>Li, H. (2020) Volatility spillovers across European stock markets under the uncertainty of Brexit. Economic Modelling 84, 1–12.</w:t>
            </w:r>
          </w:p>
        </w:tc>
        <w:tc>
          <w:tcPr>
            <w:tcW w:type="dxa" w:w="2948"/>
          </w:tcPr>
          <w:p>
            <w:r>
              <w:rPr>
                <w:sz w:val="17"/>
              </w:rPr>
              <w:t>Brexit: UK influence on European markets fell before the vote; co-volatility persisted after it (competing evidence)</w:t>
            </w:r>
          </w:p>
        </w:tc>
        <w:tc>
          <w:tcPr>
            <w:tcW w:type="dxa" w:w="680"/>
          </w:tcPr>
          <w:p>
            <w:r>
              <w:rPr>
                <w:sz w:val="17"/>
              </w:rPr>
              <w:t>✔</w:t>
            </w:r>
          </w:p>
        </w:tc>
      </w:tr>
      <w:tr>
        <w:tc>
          <w:tcPr>
            <w:tcW w:type="dxa" w:w="340"/>
          </w:tcPr>
          <w:p>
            <w:r>
              <w:rPr>
                <w:sz w:val="17"/>
              </w:rPr>
            </w:r>
          </w:p>
        </w:tc>
        <w:tc>
          <w:tcPr>
            <w:tcW w:type="dxa" w:w="5783"/>
          </w:tcPr>
          <w:p>
            <w:r>
              <w:rPr>
                <w:sz w:val="17"/>
              </w:rPr>
              <w:t>Boungou, W. &amp; Yatié, A. (2022) The impact of the Ukraine–Russia war on world stock market returns. Economics Letters 215, 110516.</w:t>
            </w:r>
          </w:p>
        </w:tc>
        <w:tc>
          <w:tcPr>
            <w:tcW w:type="dxa" w:w="2948"/>
          </w:tcPr>
          <w:p>
            <w:r>
              <w:rPr>
                <w:sz w:val="17"/>
              </w:rPr>
              <w:t>2022 validation event</w:t>
            </w:r>
          </w:p>
        </w:tc>
        <w:tc>
          <w:tcPr>
            <w:tcW w:type="dxa" w:w="680"/>
          </w:tcPr>
          <w:p>
            <w:r>
              <w:rPr>
                <w:sz w:val="17"/>
              </w:rPr>
              <w:t>✔</w:t>
            </w:r>
          </w:p>
        </w:tc>
      </w:tr>
      <w:tr>
        <w:tc>
          <w:tcPr>
            <w:tcW w:type="dxa" w:w="340"/>
          </w:tcPr>
          <w:p>
            <w:r>
              <w:rPr>
                <w:sz w:val="17"/>
              </w:rPr>
            </w:r>
          </w:p>
        </w:tc>
        <w:tc>
          <w:tcPr>
            <w:tcW w:type="dxa" w:w="5783"/>
          </w:tcPr>
          <w:p>
            <w:r>
              <w:rPr>
                <w:sz w:val="17"/>
              </w:rPr>
              <w:t>Tooze, A. (2018) Crashed: How a Decade of Financial Crises Changed the World. Allen Lane.</w:t>
            </w:r>
          </w:p>
        </w:tc>
        <w:tc>
          <w:tcPr>
            <w:tcW w:type="dxa" w:w="2948"/>
          </w:tcPr>
          <w:p>
            <w:r>
              <w:rPr>
                <w:sz w:val="17"/>
              </w:rPr>
              <w:t>Narrative history of 2008–2018 (you will enjoy it)</w:t>
            </w:r>
          </w:p>
        </w:tc>
        <w:tc>
          <w:tcPr>
            <w:tcW w:type="dxa" w:w="680"/>
          </w:tcPr>
          <w:p>
            <w:r>
              <w:rPr>
                <w:sz w:val="17"/>
              </w:rPr>
              <w:t>–</w:t>
            </w:r>
          </w:p>
        </w:tc>
      </w:tr>
      <w:tr>
        <w:tc>
          <w:tcPr>
            <w:tcW w:type="dxa" w:w="340"/>
          </w:tcPr>
          <w:p>
            <w:r>
              <w:rPr>
                <w:sz w:val="17"/>
              </w:rPr>
            </w:r>
          </w:p>
        </w:tc>
        <w:tc>
          <w:tcPr>
            <w:tcW w:type="dxa" w:w="5783"/>
          </w:tcPr>
          <w:p>
            <w:r>
              <w:rPr>
                <w:sz w:val="17"/>
              </w:rPr>
              <w:t>Galbraith, J.K. (1955) The Great Crash 1929.</w:t>
            </w:r>
          </w:p>
        </w:tc>
        <w:tc>
          <w:tcPr>
            <w:tcW w:type="dxa" w:w="2948"/>
          </w:tcPr>
          <w:p>
            <w:r>
              <w:rPr>
                <w:sz w:val="17"/>
              </w:rPr>
              <w:t>Historical context only</w:t>
            </w:r>
          </w:p>
        </w:tc>
        <w:tc>
          <w:tcPr>
            <w:tcW w:type="dxa" w:w="680"/>
          </w:tcPr>
          <w:p>
            <w:r>
              <w:rPr>
                <w:sz w:val="17"/>
              </w:rPr>
              <w:t>–</w:t>
            </w:r>
          </w:p>
        </w:tc>
      </w:tr>
      <w:tr>
        <w:tc>
          <w:tcPr>
            <w:tcW w:type="dxa" w:w="340"/>
          </w:tcPr>
          <w:p>
            <w:r>
              <w:rPr>
                <w:sz w:val="17"/>
                <w:b w:val="0"/>
              </w:rPr>
              <w:t xml:space="preserve"/>
            </w:r>
          </w:p>
        </w:tc>
        <w:tc>
          <w:tcPr>
            <w:tcW w:type="dxa" w:w="5783"/>
          </w:tcPr>
          <w:p>
            <w:r>
              <w:rPr>
                <w:sz w:val="17"/>
                <w:b w:val="0"/>
              </w:rPr>
              <w:t xml:space="preserve">Danielsson, J., Valenzuela, M. &amp; Zer, I. (2018) Learning from history: volatility and financial crises. Review of Financial Studies 31(7), 2774–2805.</w:t>
            </w:r>
          </w:p>
        </w:tc>
        <w:tc>
          <w:tcPr>
            <w:tcW w:type="dxa" w:w="2948"/>
          </w:tcPr>
          <w:p>
            <w:r>
              <w:rPr>
                <w:sz w:val="17"/>
                <w:b w:val="0"/>
              </w:rPr>
              <w:t xml:space="preserve">The volatility paradox: prolonged low volatility precedes banking crises — basis of E2</w:t>
            </w:r>
          </w:p>
        </w:tc>
        <w:tc>
          <w:tcPr>
            <w:tcW w:type="dxa" w:w="680"/>
          </w:tcPr>
          <w:p>
            <w:r>
              <w:rPr>
                <w:sz w:val="17"/>
                <w:b w:val="0"/>
              </w:rPr>
              <w:t xml:space="preserve">✔</w:t>
            </w:r>
          </w:p>
        </w:tc>
      </w:tr>
    </w:tbl>
    <w:p>
      <w:pPr>
        <w:spacing w:after="40"/>
      </w:pPr>
    </w:p>
    <w:p>
      <w:pPr>
        <w:pStyle w:val="Heading2"/>
      </w:pPr>
      <w:r>
        <w:rPr>
          <w:color w:val="1F4E79"/>
        </w:rPr>
        <w:t>8.6 Ireland</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40"/>
            <w:shd w:val="clear" w:color="auto" w:fill="1F4E79"/>
          </w:tcPr>
          <w:p>
            <w:r>
              <w:rPr>
                <w:b/>
                <w:color w:val="FFFFFF"/>
                <w:sz w:val="17"/>
              </w:rPr>
            </w:r>
          </w:p>
        </w:tc>
        <w:tc>
          <w:tcPr>
            <w:tcW w:type="dxa" w:w="5783"/>
            <w:shd w:val="clear" w:color="auto" w:fill="1F4E79"/>
          </w:tcPr>
          <w:p>
            <w:r>
              <w:rPr>
                <w:b/>
                <w:color w:val="FFFFFF"/>
                <w:sz w:val="17"/>
              </w:rPr>
              <w:t>Reference</w:t>
            </w:r>
          </w:p>
        </w:tc>
        <w:tc>
          <w:tcPr>
            <w:tcW w:type="dxa" w:w="2948"/>
            <w:shd w:val="clear" w:color="auto" w:fill="1F4E79"/>
          </w:tcPr>
          <w:p>
            <w:r>
              <w:rPr>
                <w:b/>
                <w:color w:val="FFFFFF"/>
                <w:sz w:val="17"/>
              </w:rPr>
              <w:t>Why read it</w:t>
            </w:r>
          </w:p>
        </w:tc>
        <w:tc>
          <w:tcPr>
            <w:tcW w:type="dxa" w:w="680"/>
            <w:shd w:val="clear" w:color="auto" w:fill="1F4E79"/>
          </w:tcPr>
          <w:p>
            <w:r>
              <w:rPr>
                <w:b/>
                <w:color w:val="FFFFFF"/>
                <w:sz w:val="17"/>
              </w:rPr>
              <w:t>✔</w:t>
            </w:r>
          </w:p>
        </w:tc>
      </w:tr>
      <w:tr>
        <w:tc>
          <w:tcPr>
            <w:tcW w:type="dxa" w:w="340"/>
          </w:tcPr>
          <w:p>
            <w:r>
              <w:rPr>
                <w:sz w:val="17"/>
              </w:rPr>
            </w:r>
          </w:p>
        </w:tc>
        <w:tc>
          <w:tcPr>
            <w:tcW w:type="dxa" w:w="5783"/>
          </w:tcPr>
          <w:p>
            <w:r>
              <w:rPr>
                <w:sz w:val="17"/>
              </w:rPr>
              <w:t>Honohan, P. (2010) The Irish Banking Crisis: Regulatory and Financial Stability Policy 2003–2008. Central Bank of Ireland.</w:t>
            </w:r>
          </w:p>
        </w:tc>
        <w:tc>
          <w:tcPr>
            <w:tcW w:type="dxa" w:w="2948"/>
          </w:tcPr>
          <w:p>
            <w:r>
              <w:rPr>
                <w:sz w:val="17"/>
              </w:rPr>
              <w:t>Official account</w:t>
            </w:r>
          </w:p>
        </w:tc>
        <w:tc>
          <w:tcPr>
            <w:tcW w:type="dxa" w:w="680"/>
          </w:tcPr>
          <w:p>
            <w:r>
              <w:rPr>
                <w:sz w:val="17"/>
              </w:rPr>
              <w:t>–</w:t>
            </w:r>
          </w:p>
        </w:tc>
      </w:tr>
      <w:tr>
        <w:tc>
          <w:tcPr>
            <w:tcW w:type="dxa" w:w="340"/>
          </w:tcPr>
          <w:p>
            <w:r>
              <w:rPr>
                <w:sz w:val="17"/>
              </w:rPr>
            </w:r>
          </w:p>
        </w:tc>
        <w:tc>
          <w:tcPr>
            <w:tcW w:type="dxa" w:w="5783"/>
          </w:tcPr>
          <w:p>
            <w:r>
              <w:rPr>
                <w:sz w:val="17"/>
              </w:rPr>
              <w:t>Regling, K. &amp; Watson, M. (2010) A Preliminary Report on the Sources of Ireland’s Banking Crisis.</w:t>
            </w:r>
          </w:p>
        </w:tc>
        <w:tc>
          <w:tcPr>
            <w:tcW w:type="dxa" w:w="2948"/>
          </w:tcPr>
          <w:p>
            <w:r>
              <w:rPr>
                <w:sz w:val="17"/>
              </w:rPr>
              <w:t>Home-grown vs imported</w:t>
            </w:r>
          </w:p>
        </w:tc>
        <w:tc>
          <w:tcPr>
            <w:tcW w:type="dxa" w:w="680"/>
          </w:tcPr>
          <w:p>
            <w:r>
              <w:rPr>
                <w:sz w:val="17"/>
              </w:rPr>
              <w:t>–</w:t>
            </w:r>
          </w:p>
        </w:tc>
      </w:tr>
      <w:tr>
        <w:tc>
          <w:tcPr>
            <w:tcW w:type="dxa" w:w="340"/>
          </w:tcPr>
          <w:p>
            <w:r>
              <w:rPr>
                <w:sz w:val="17"/>
              </w:rPr>
            </w:r>
          </w:p>
        </w:tc>
        <w:tc>
          <w:tcPr>
            <w:tcW w:type="dxa" w:w="5783"/>
          </w:tcPr>
          <w:p>
            <w:r>
              <w:rPr>
                <w:sz w:val="17"/>
              </w:rPr>
              <w:t>Nyberg, P. (2011) Misjudging Risk: Causes of the Systemic Banking Crisis in Ireland.</w:t>
            </w:r>
          </w:p>
        </w:tc>
        <w:tc>
          <w:tcPr>
            <w:tcW w:type="dxa" w:w="2948"/>
          </w:tcPr>
          <w:p>
            <w:r>
              <w:rPr>
                <w:sz w:val="17"/>
              </w:rPr>
              <w:t>Official inquiry</w:t>
            </w:r>
          </w:p>
        </w:tc>
        <w:tc>
          <w:tcPr>
            <w:tcW w:type="dxa" w:w="680"/>
          </w:tcPr>
          <w:p>
            <w:r>
              <w:rPr>
                <w:sz w:val="17"/>
              </w:rPr>
              <w:t>–</w:t>
            </w:r>
          </w:p>
        </w:tc>
      </w:tr>
      <w:tr>
        <w:tc>
          <w:tcPr>
            <w:tcW w:type="dxa" w:w="340"/>
          </w:tcPr>
          <w:p>
            <w:r>
              <w:rPr>
                <w:sz w:val="17"/>
              </w:rPr>
            </w:r>
          </w:p>
        </w:tc>
        <w:tc>
          <w:tcPr>
            <w:tcW w:type="dxa" w:w="5783"/>
          </w:tcPr>
          <w:p>
            <w:r>
              <w:rPr>
                <w:sz w:val="17"/>
              </w:rPr>
              <w:t>Kelly, M. (2009) The Irish credit bubble. UCD Centre for Economic Research WP09/32.</w:t>
            </w:r>
          </w:p>
        </w:tc>
        <w:tc>
          <w:tcPr>
            <w:tcW w:type="dxa" w:w="2948"/>
          </w:tcPr>
          <w:p>
            <w:r>
              <w:rPr>
                <w:sz w:val="17"/>
              </w:rPr>
              <w:t>The domestic credit bubble behind the GFC in Ireland</w:t>
            </w:r>
          </w:p>
        </w:tc>
        <w:tc>
          <w:tcPr>
            <w:tcW w:type="dxa" w:w="680"/>
          </w:tcPr>
          <w:p>
            <w:r>
              <w:rPr>
                <w:sz w:val="17"/>
              </w:rPr>
              <w:t>✔</w:t>
            </w:r>
          </w:p>
        </w:tc>
      </w:tr>
      <w:tr>
        <w:tc>
          <w:tcPr>
            <w:tcW w:type="dxa" w:w="340"/>
          </w:tcPr>
          <w:p>
            <w:r>
              <w:rPr>
                <w:sz w:val="17"/>
              </w:rPr>
            </w:r>
          </w:p>
        </w:tc>
        <w:tc>
          <w:tcPr>
            <w:tcW w:type="dxa" w:w="5783"/>
          </w:tcPr>
          <w:p>
            <w:r>
              <w:rPr>
                <w:sz w:val="17"/>
              </w:rPr>
              <w:t>Whelan, K. (2014) Ireland’s economic crisis: the good, the bad and the ugly. J. Macroeconomics 39(B), 424–440.</w:t>
            </w:r>
          </w:p>
        </w:tc>
        <w:tc>
          <w:tcPr>
            <w:tcW w:type="dxa" w:w="2948"/>
          </w:tcPr>
          <w:p>
            <w:r>
              <w:rPr>
                <w:sz w:val="17"/>
              </w:rPr>
              <w:t>Overview of the Irish crisis</w:t>
            </w:r>
          </w:p>
        </w:tc>
        <w:tc>
          <w:tcPr>
            <w:tcW w:type="dxa" w:w="680"/>
          </w:tcPr>
          <w:p>
            <w:r>
              <w:rPr>
                <w:sz w:val="17"/>
              </w:rPr>
              <w:t>✔</w:t>
            </w:r>
          </w:p>
        </w:tc>
      </w:tr>
      <w:tr>
        <w:tc>
          <w:tcPr>
            <w:tcW w:type="dxa" w:w="340"/>
          </w:tcPr>
          <w:p>
            <w:r>
              <w:rPr>
                <w:sz w:val="17"/>
              </w:rPr>
            </w:r>
          </w:p>
        </w:tc>
        <w:tc>
          <w:tcPr>
            <w:tcW w:type="dxa" w:w="5783"/>
          </w:tcPr>
          <w:p>
            <w:r>
              <w:rPr>
                <w:sz w:val="17"/>
              </w:rPr>
              <w:t>Acharya, V., Drechsler, I. &amp; Schnabl, P. (2014) A Pyrrhic victory? Bank bailouts and sovereign credit risk. J. Finance 69(6), 2689–2739.</w:t>
            </w:r>
          </w:p>
        </w:tc>
        <w:tc>
          <w:tcPr>
            <w:tcW w:type="dxa" w:w="2948"/>
          </w:tcPr>
          <w:p>
            <w:r>
              <w:rPr>
                <w:sz w:val="17"/>
              </w:rPr>
              <w:t>The bank–sovereign loop (Ireland’s 2008 guarantee)</w:t>
            </w:r>
          </w:p>
        </w:tc>
        <w:tc>
          <w:tcPr>
            <w:tcW w:type="dxa" w:w="680"/>
          </w:tcPr>
          <w:p>
            <w:r>
              <w:rPr>
                <w:sz w:val="17"/>
              </w:rPr>
              <w:t>✔</w:t>
            </w:r>
          </w:p>
        </w:tc>
      </w:tr>
      <w:tr>
        <w:tc>
          <w:tcPr>
            <w:tcW w:type="dxa" w:w="340"/>
          </w:tcPr>
          <w:p>
            <w:r>
              <w:rPr>
                <w:sz w:val="17"/>
              </w:rPr>
            </w:r>
          </w:p>
        </w:tc>
        <w:tc>
          <w:tcPr>
            <w:tcW w:type="dxa" w:w="5783"/>
          </w:tcPr>
          <w:p>
            <w:r>
              <w:rPr>
                <w:sz w:val="17"/>
              </w:rPr>
              <w:t>Kearney, C. (1998) The causes of volatility in a small, internationally integrated stock market: Ireland, July 1975–June 1994. J. Financial Research 21(1).</w:t>
            </w:r>
          </w:p>
        </w:tc>
        <w:tc>
          <w:tcPr>
            <w:tcW w:type="dxa" w:w="2948"/>
          </w:tcPr>
          <w:p>
            <w:r>
              <w:rPr>
                <w:sz w:val="17"/>
              </w:rPr>
              <w:t>Irish market volatility; small open economy</w:t>
            </w:r>
          </w:p>
        </w:tc>
        <w:tc>
          <w:tcPr>
            <w:tcW w:type="dxa" w:w="680"/>
          </w:tcPr>
          <w:p>
            <w:r>
              <w:rPr>
                <w:sz w:val="17"/>
              </w:rPr>
              <w:t>✔ partial</w:t>
            </w:r>
          </w:p>
        </w:tc>
      </w:tr>
      <w:tr>
        <w:tc>
          <w:tcPr>
            <w:tcW w:type="dxa" w:w="340"/>
          </w:tcPr>
          <w:p>
            <w:r>
              <w:rPr>
                <w:sz w:val="17"/>
              </w:rPr>
            </w:r>
          </w:p>
        </w:tc>
        <w:tc>
          <w:tcPr>
            <w:tcW w:type="dxa" w:w="5783"/>
          </w:tcPr>
          <w:p>
            <w:r>
              <w:rPr>
                <w:sz w:val="17"/>
                <w:b w:val="0"/>
              </w:rPr>
              <w:t xml:space="preserve">Gallagher, L. &amp; Twomey, C. (1998) Identifying the source of mean and volatility spillovers in Irish equities: a multivariate GARCH analysis. The Economic and Social Review 29(4), 341–356.</w:t>
            </w:r>
          </w:p>
        </w:tc>
        <w:tc>
          <w:tcPr>
            <w:tcW w:type="dxa" w:w="2948"/>
          </w:tcPr>
          <w:p>
            <w:r>
              <w:rPr>
                <w:sz w:val="17"/>
                <w:b w:val="0"/>
              </w:rPr>
              <w:t xml:space="preserve">UK → Irish spillovers</w:t>
            </w:r>
          </w:p>
        </w:tc>
        <w:tc>
          <w:tcPr>
            <w:tcW w:type="dxa" w:w="680"/>
          </w:tcPr>
          <w:p>
            <w:r>
              <w:rPr>
                <w:sz w:val="17"/>
                <w:b w:val="0"/>
              </w:rPr>
              <w:t xml:space="preserve">✔</w:t>
            </w:r>
          </w:p>
        </w:tc>
      </w:tr>
      <w:tr>
        <w:tc>
          <w:tcPr>
            <w:tcW w:type="dxa" w:w="340"/>
          </w:tcPr>
          <w:p>
            <w:r>
              <w:rPr>
                <w:sz w:val="17"/>
              </w:rPr>
            </w:r>
          </w:p>
        </w:tc>
        <w:tc>
          <w:tcPr>
            <w:tcW w:type="dxa" w:w="5783"/>
          </w:tcPr>
          <w:p>
            <w:r>
              <w:rPr>
                <w:sz w:val="17"/>
              </w:rPr>
              <w:t>Irish Times (2023–2024) reporting on CRH, Flutter and Smurfit Kappa leaving the ISEQ.</w:t>
            </w:r>
          </w:p>
        </w:tc>
        <w:tc>
          <w:tcPr>
            <w:tcW w:type="dxa" w:w="2948"/>
          </w:tcPr>
          <w:p>
            <w:r>
              <w:rPr>
                <w:sz w:val="17"/>
              </w:rPr>
              <w:t>Justifies the Aug 2023 sample end</w:t>
            </w:r>
          </w:p>
        </w:tc>
        <w:tc>
          <w:tcPr>
            <w:tcW w:type="dxa" w:w="680"/>
          </w:tcPr>
          <w:p>
            <w:r>
              <w:rPr>
                <w:sz w:val="17"/>
              </w:rPr>
              <w:t>✔</w:t>
            </w:r>
          </w:p>
        </w:tc>
      </w:tr>
    </w:tbl>
    <w:p>
      <w:pPr>
        <w:spacing w:after="40"/>
      </w:pPr>
    </w:p>
    <w:p>
      <w:pPr>
        <w:pStyle w:val="Heading2"/>
      </w:pPr>
      <w:r>
        <w:rPr>
          <w:color w:val="1F4E79"/>
        </w:rPr>
        <w:t>8.7 Methods, textbooks and free resources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40"/>
            <w:shd w:val="clear" w:color="auto" w:fill="1F4E79"/>
          </w:tcPr>
          <w:p>
            <w:r>
              <w:rPr>
                <w:b/>
                <w:color w:val="FFFFFF"/>
                <w:sz w:val="17"/>
              </w:rPr>
            </w:r>
          </w:p>
        </w:tc>
        <w:tc>
          <w:tcPr>
            <w:tcW w:type="dxa" w:w="5783"/>
            <w:shd w:val="clear" w:color="auto" w:fill="1F4E79"/>
          </w:tcPr>
          <w:p>
            <w:r>
              <w:rPr>
                <w:b/>
                <w:color w:val="FFFFFF"/>
                <w:sz w:val="17"/>
              </w:rPr>
              <w:t>Reference</w:t>
            </w:r>
          </w:p>
        </w:tc>
        <w:tc>
          <w:tcPr>
            <w:tcW w:type="dxa" w:w="2948"/>
            <w:shd w:val="clear" w:color="auto" w:fill="1F4E79"/>
          </w:tcPr>
          <w:p>
            <w:r>
              <w:rPr>
                <w:b/>
                <w:color w:val="FFFFFF"/>
                <w:sz w:val="17"/>
              </w:rPr>
              <w:t>Why read it</w:t>
            </w:r>
          </w:p>
        </w:tc>
        <w:tc>
          <w:tcPr>
            <w:tcW w:type="dxa" w:w="680"/>
            <w:shd w:val="clear" w:color="auto" w:fill="1F4E79"/>
          </w:tcPr>
          <w:p>
            <w:r>
              <w:rPr>
                <w:b/>
                <w:color w:val="FFFFFF"/>
                <w:sz w:val="17"/>
              </w:rPr>
              <w:t>✔</w:t>
            </w:r>
          </w:p>
        </w:tc>
      </w:tr>
      <w:tr>
        <w:tc>
          <w:tcPr>
            <w:tcW w:type="dxa" w:w="340"/>
          </w:tcPr>
          <w:p>
            <w:r>
              <w:rPr>
                <w:sz w:val="17"/>
              </w:rPr>
            </w:r>
          </w:p>
        </w:tc>
        <w:tc>
          <w:tcPr>
            <w:tcW w:type="dxa" w:w="5783"/>
          </w:tcPr>
          <w:p>
            <w:r>
              <w:rPr>
                <w:sz w:val="17"/>
              </w:rPr>
              <w:t>Brooks, C. (2019) Introductory Econometrics for Finance. 4th edn. Cambridge UP.</w:t>
            </w:r>
          </w:p>
        </w:tc>
        <w:tc>
          <w:tcPr>
            <w:tcW w:type="dxa" w:w="2948"/>
          </w:tcPr>
          <w:p>
            <w:r>
              <w:rPr>
                <w:sz w:val="17"/>
              </w:rPr>
              <w:t>GARCH, VAR, testing — your main econometrics text</w:t>
            </w:r>
          </w:p>
        </w:tc>
        <w:tc>
          <w:tcPr>
            <w:tcW w:type="dxa" w:w="680"/>
          </w:tcPr>
          <w:p>
            <w:r>
              <w:rPr>
                <w:sz w:val="17"/>
              </w:rPr>
              <w:t>–</w:t>
            </w:r>
          </w:p>
        </w:tc>
      </w:tr>
      <w:tr>
        <w:tc>
          <w:tcPr>
            <w:tcW w:type="dxa" w:w="340"/>
          </w:tcPr>
          <w:p>
            <w:r>
              <w:rPr>
                <w:sz w:val="17"/>
              </w:rPr>
            </w:r>
          </w:p>
        </w:tc>
        <w:tc>
          <w:tcPr>
            <w:tcW w:type="dxa" w:w="5783"/>
          </w:tcPr>
          <w:p>
            <w:r>
              <w:rPr>
                <w:sz w:val="17"/>
              </w:rPr>
              <w:t>Tsay, R. (2010) Analysis of Financial Time Series. 3rd edn. Wiley.</w:t>
            </w:r>
          </w:p>
        </w:tc>
        <w:tc>
          <w:tcPr>
            <w:tcW w:type="dxa" w:w="2948"/>
          </w:tcPr>
          <w:p>
            <w:r>
              <w:rPr>
                <w:sz w:val="17"/>
              </w:rPr>
              <w:t>Volatility models in depth</w:t>
            </w:r>
          </w:p>
        </w:tc>
        <w:tc>
          <w:tcPr>
            <w:tcW w:type="dxa" w:w="680"/>
          </w:tcPr>
          <w:p>
            <w:r>
              <w:rPr>
                <w:sz w:val="17"/>
              </w:rPr>
              <w:t>–</w:t>
            </w:r>
          </w:p>
        </w:tc>
      </w:tr>
      <w:tr>
        <w:tc>
          <w:tcPr>
            <w:tcW w:type="dxa" w:w="340"/>
          </w:tcPr>
          <w:p>
            <w:r>
              <w:rPr>
                <w:sz w:val="17"/>
              </w:rPr>
            </w:r>
          </w:p>
        </w:tc>
        <w:tc>
          <w:tcPr>
            <w:tcW w:type="dxa" w:w="5783"/>
          </w:tcPr>
          <w:p>
            <w:r>
              <w:rPr>
                <w:sz w:val="17"/>
              </w:rPr>
              <w:t>Hyndman, R. &amp; Athanasopoulos, G. Forecasting: Principles and Practice (3rd edn, free at otexts.com/fpp3).</w:t>
            </w:r>
          </w:p>
        </w:tc>
        <w:tc>
          <w:tcPr>
            <w:tcW w:type="dxa" w:w="2948"/>
          </w:tcPr>
          <w:p>
            <w:r>
              <w:rPr>
                <w:sz w:val="17"/>
              </w:rPr>
              <w:t>Forecast evaluation, time-series cross-validation</w:t>
            </w:r>
          </w:p>
        </w:tc>
        <w:tc>
          <w:tcPr>
            <w:tcW w:type="dxa" w:w="680"/>
          </w:tcPr>
          <w:p>
            <w:r>
              <w:rPr>
                <w:sz w:val="17"/>
              </w:rPr>
              <w:t>–</w:t>
            </w:r>
          </w:p>
        </w:tc>
      </w:tr>
      <w:tr>
        <w:tc>
          <w:tcPr>
            <w:tcW w:type="dxa" w:w="340"/>
          </w:tcPr>
          <w:p>
            <w:r>
              <w:rPr>
                <w:sz w:val="17"/>
              </w:rPr>
            </w:r>
          </w:p>
        </w:tc>
        <w:tc>
          <w:tcPr>
            <w:tcW w:type="dxa" w:w="5783"/>
          </w:tcPr>
          <w:p>
            <w:r>
              <w:rPr>
                <w:sz w:val="17"/>
              </w:rPr>
              <w:t>Zhang, A. et al. Dive into Deep Learning (free at d2l.ai), RNN/LSTM chapters.</w:t>
            </w:r>
          </w:p>
        </w:tc>
        <w:tc>
          <w:tcPr>
            <w:tcW w:type="dxa" w:w="2948"/>
          </w:tcPr>
          <w:p>
            <w:r>
              <w:rPr>
                <w:sz w:val="17"/>
              </w:rPr>
              <w:t>LSTM in PyTorch</w:t>
            </w:r>
          </w:p>
        </w:tc>
        <w:tc>
          <w:tcPr>
            <w:tcW w:type="dxa" w:w="680"/>
          </w:tcPr>
          <w:p>
            <w:r>
              <w:rPr>
                <w:sz w:val="17"/>
              </w:rPr>
              <w:t>–</w:t>
            </w:r>
          </w:p>
        </w:tc>
      </w:tr>
      <w:tr>
        <w:tc>
          <w:tcPr>
            <w:tcW w:type="dxa" w:w="340"/>
          </w:tcPr>
          <w:p>
            <w:r>
              <w:rPr>
                <w:sz w:val="17"/>
              </w:rPr>
            </w:r>
          </w:p>
        </w:tc>
        <w:tc>
          <w:tcPr>
            <w:tcW w:type="dxa" w:w="5783"/>
          </w:tcPr>
          <w:p>
            <w:r>
              <w:rPr>
                <w:sz w:val="17"/>
              </w:rPr>
              <w:t>Molnar, C. Interpretable Machine Learning (free online).</w:t>
            </w:r>
          </w:p>
        </w:tc>
        <w:tc>
          <w:tcPr>
            <w:tcW w:type="dxa" w:w="2948"/>
          </w:tcPr>
          <w:p>
            <w:r>
              <w:rPr>
                <w:sz w:val="17"/>
              </w:rPr>
              <w:t>SHAP explained clearly</w:t>
            </w:r>
          </w:p>
        </w:tc>
        <w:tc>
          <w:tcPr>
            <w:tcW w:type="dxa" w:w="680"/>
          </w:tcPr>
          <w:p>
            <w:r>
              <w:rPr>
                <w:sz w:val="17"/>
              </w:rPr>
              <w:t>–</w:t>
            </w:r>
          </w:p>
        </w:tc>
      </w:tr>
      <w:tr>
        <w:tc>
          <w:tcPr>
            <w:tcW w:type="dxa" w:w="340"/>
          </w:tcPr>
          <w:p>
            <w:r>
              <w:rPr>
                <w:sz w:val="17"/>
              </w:rPr>
            </w:r>
          </w:p>
        </w:tc>
        <w:tc>
          <w:tcPr>
            <w:tcW w:type="dxa" w:w="5783"/>
          </w:tcPr>
          <w:p>
            <w:r>
              <w:rPr>
                <w:sz w:val="17"/>
              </w:rPr>
              <w:t>López de Prado, M. (2018) Advances in Financial Machine Learning. Wiley.</w:t>
            </w:r>
          </w:p>
        </w:tc>
        <w:tc>
          <w:tcPr>
            <w:tcW w:type="dxa" w:w="2948"/>
          </w:tcPr>
          <w:p>
            <w:r>
              <w:rPr>
                <w:sz w:val="17"/>
              </w:rPr>
              <w:t>Leakage and backtesting pitfalls (chapters 7 and 11)</w:t>
            </w:r>
          </w:p>
        </w:tc>
        <w:tc>
          <w:tcPr>
            <w:tcW w:type="dxa" w:w="680"/>
          </w:tcPr>
          <w:p>
            <w:r>
              <w:rPr>
                <w:sz w:val="17"/>
              </w:rPr>
              <w:t>–</w:t>
            </w:r>
          </w:p>
        </w:tc>
      </w:tr>
      <w:tr>
        <w:tc>
          <w:tcPr>
            <w:tcW w:type="dxa" w:w="340"/>
          </w:tcPr>
          <w:p>
            <w:r>
              <w:rPr>
                <w:sz w:val="17"/>
              </w:rPr>
            </w:r>
          </w:p>
        </w:tc>
        <w:tc>
          <w:tcPr>
            <w:tcW w:type="dxa" w:w="5783"/>
          </w:tcPr>
          <w:p>
            <w:r>
              <w:rPr>
                <w:sz w:val="17"/>
              </w:rPr>
              <w:t>Saunders, M., Lewis, P. &amp; Thornhill, A. (2019) Research Methods for Business Students. 8th edn. Pearson.</w:t>
            </w:r>
          </w:p>
        </w:tc>
        <w:tc>
          <w:tcPr>
            <w:tcW w:type="dxa" w:w="2948"/>
          </w:tcPr>
          <w:p>
            <w:r>
              <w:rPr>
                <w:sz w:val="17"/>
              </w:rPr>
              <w:t>Methodology chapter</w:t>
            </w:r>
          </w:p>
        </w:tc>
        <w:tc>
          <w:tcPr>
            <w:tcW w:type="dxa" w:w="680"/>
          </w:tcPr>
          <w:p>
            <w:r>
              <w:rPr>
                <w:sz w:val="17"/>
              </w:rPr>
              <w:t>–</w:t>
            </w:r>
          </w:p>
        </w:tc>
      </w:tr>
      <w:tr>
        <w:tc>
          <w:tcPr>
            <w:tcW w:type="dxa" w:w="340"/>
          </w:tcPr>
          <w:p>
            <w:r>
              <w:rPr>
                <w:sz w:val="17"/>
              </w:rPr>
            </w:r>
          </w:p>
        </w:tc>
        <w:tc>
          <w:tcPr>
            <w:tcW w:type="dxa" w:w="5783"/>
          </w:tcPr>
          <w:p>
            <w:r>
              <w:rPr>
                <w:sz w:val="17"/>
              </w:rPr>
              <w:t>Hevner, A. et al. (2004) Design science in information systems research. MIS Quarterly 28(1), 75–105.</w:t>
            </w:r>
          </w:p>
        </w:tc>
        <w:tc>
          <w:tcPr>
            <w:tcW w:type="dxa" w:w="2948"/>
          </w:tcPr>
          <w:p>
            <w:r>
              <w:rPr>
                <w:sz w:val="17"/>
              </w:rPr>
              <w:t>Artefact (design-science) framing</w:t>
            </w:r>
          </w:p>
        </w:tc>
        <w:tc>
          <w:tcPr>
            <w:tcW w:type="dxa" w:w="680"/>
          </w:tcPr>
          <w:p>
            <w:r>
              <w:rPr>
                <w:sz w:val="17"/>
              </w:rPr>
              <w:t>–</w:t>
            </w:r>
          </w:p>
        </w:tc>
      </w:tr>
      <w:tr>
        <w:tc>
          <w:tcPr>
            <w:tcW w:type="dxa" w:w="340"/>
          </w:tcPr>
          <w:p>
            <w:r>
              <w:rPr>
                <w:sz w:val="17"/>
                <w:b w:val="0"/>
              </w:rPr>
              <w:t xml:space="preserve"/>
            </w:r>
          </w:p>
        </w:tc>
        <w:tc>
          <w:tcPr>
            <w:tcW w:type="dxa" w:w="5783"/>
          </w:tcPr>
          <w:p>
            <w:r>
              <w:rPr>
                <w:sz w:val="17"/>
                <w:b w:val="0"/>
              </w:rPr>
              <w:t xml:space="preserve">Hodrick, R. &amp; Prescott, E. (1997) Postwar U.S. business cycles: an empirical investigation. J. Money, Credit and Banking 29(1), 1–16.</w:t>
            </w:r>
          </w:p>
        </w:tc>
        <w:tc>
          <w:tcPr>
            <w:tcW w:type="dxa" w:w="2948"/>
          </w:tcPr>
          <w:p>
            <w:r>
              <w:rPr>
                <w:sz w:val="17"/>
                <w:b w:val="0"/>
              </w:rPr>
              <w:t xml:space="preserve">The HP filter used in E2</w:t>
            </w:r>
          </w:p>
        </w:tc>
        <w:tc>
          <w:tcPr>
            <w:tcW w:type="dxa" w:w="680"/>
          </w:tcPr>
          <w:p>
            <w:r>
              <w:rPr>
                <w:sz w:val="17"/>
                <w:b w:val="0"/>
              </w:rPr>
              <w:t xml:space="preserve">–</w:t>
            </w:r>
          </w:p>
        </w:tc>
      </w:tr>
    </w:tbl>
    <w:p>
      <w:pPr>
        <w:spacing w:after="40"/>
      </w:pPr>
    </w:p>
    <w:p>
      <w:pPr>
        <w:pStyle w:val="Heading1"/>
      </w:pPr>
      <w:r>
        <w:rPr>
          <w:color w:val="1F4E79"/>
        </w:rPr>
        <w:t>9. What to learn — finance and econometrics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701"/>
            <w:shd w:val="clear" w:color="auto" w:fill="1F4E79"/>
          </w:tcPr>
          <w:p>
            <w:r>
              <w:rPr>
                <w:b/>
                <w:color w:val="FFFFFF"/>
                <w:sz w:val="16"/>
              </w:rPr>
              <w:t>Concept</w:t>
            </w:r>
          </w:p>
        </w:tc>
        <w:tc>
          <w:tcPr>
            <w:tcW w:type="dxa" w:w="2381"/>
            <w:shd w:val="clear" w:color="auto" w:fill="1F4E79"/>
          </w:tcPr>
          <w:p>
            <w:r>
              <w:rPr>
                <w:b/>
                <w:color w:val="FFFFFF"/>
                <w:sz w:val="16"/>
              </w:rPr>
              <w:t>What it is</w:t>
            </w:r>
          </w:p>
        </w:tc>
        <w:tc>
          <w:tcPr>
            <w:tcW w:type="dxa" w:w="2041"/>
            <w:shd w:val="clear" w:color="auto" w:fill="1F4E79"/>
          </w:tcPr>
          <w:p>
            <w:r>
              <w:rPr>
                <w:b/>
                <w:color w:val="FFFFFF"/>
                <w:sz w:val="16"/>
              </w:rPr>
              <w:t>Why you need it</w:t>
            </w:r>
          </w:p>
        </w:tc>
        <w:tc>
          <w:tcPr>
            <w:tcW w:type="dxa" w:w="2041"/>
            <w:shd w:val="clear" w:color="auto" w:fill="1F4E79"/>
          </w:tcPr>
          <w:p>
            <w:r>
              <w:rPr>
                <w:b/>
                <w:color w:val="FFFFFF"/>
                <w:sz w:val="16"/>
              </w:rPr>
              <w:t>Learn from</w:t>
            </w:r>
          </w:p>
        </w:tc>
        <w:tc>
          <w:tcPr>
            <w:tcW w:type="dxa" w:w="567"/>
            <w:shd w:val="clear" w:color="auto" w:fill="1F4E79"/>
          </w:tcPr>
          <w:p>
            <w:r>
              <w:rPr>
                <w:b/>
                <w:color w:val="FFFFFF"/>
                <w:sz w:val="16"/>
              </w:rPr>
              <w:t>Week</w:t>
            </w:r>
          </w:p>
        </w:tc>
      </w:tr>
      <w:tr>
        <w:tc>
          <w:tcPr>
            <w:tcW w:type="dxa" w:w="1701"/>
          </w:tcPr>
          <w:p>
            <w:r>
              <w:rPr>
                <w:sz w:val="16"/>
              </w:rPr>
              <w:t>Log returns</w:t>
            </w:r>
          </w:p>
        </w:tc>
        <w:tc>
          <w:tcPr>
            <w:tcW w:type="dxa" w:w="2381"/>
          </w:tcPr>
          <w:p>
            <w:r>
              <w:rPr>
                <w:sz w:val="16"/>
              </w:rPr>
              <w:t>ln(Pt/Pt−1); additive over time</w:t>
            </w:r>
          </w:p>
        </w:tc>
        <w:tc>
          <w:tcPr>
            <w:tcW w:type="dxa" w:w="2041"/>
          </w:tcPr>
          <w:p>
            <w:r>
              <w:rPr>
                <w:sz w:val="16"/>
              </w:rPr>
              <w:t>Every input and the target</w:t>
            </w:r>
          </w:p>
        </w:tc>
        <w:tc>
          <w:tcPr>
            <w:tcW w:type="dxa" w:w="2041"/>
          </w:tcPr>
          <w:p>
            <w:r>
              <w:rPr>
                <w:sz w:val="16"/>
              </w:rPr>
              <w:t>Brooks ch.2</w:t>
            </w:r>
          </w:p>
        </w:tc>
        <w:tc>
          <w:tcPr>
            <w:tcW w:type="dxa" w:w="567"/>
          </w:tcPr>
          <w:p>
            <w:r>
              <w:rPr>
                <w:sz w:val="16"/>
              </w:rPr>
              <w:t>0</w:t>
            </w:r>
          </w:p>
        </w:tc>
      </w:tr>
      <w:tr>
        <w:tc>
          <w:tcPr>
            <w:tcW w:type="dxa" w:w="1701"/>
          </w:tcPr>
          <w:p>
            <w:r>
              <w:rPr>
                <w:sz w:val="16"/>
              </w:rPr>
              <w:t>Variance, volatility, annualising</w:t>
            </w:r>
          </w:p>
        </w:tc>
        <w:tc>
          <w:tcPr>
            <w:tcW w:type="dxa" w:w="2381"/>
          </w:tcPr>
          <w:p>
            <w:r>
              <w:rPr>
                <w:sz w:val="16"/>
              </w:rPr>
              <w:t>Vol = √variance; ×√252 for yearly</w:t>
            </w:r>
          </w:p>
        </w:tc>
        <w:tc>
          <w:tcPr>
            <w:tcW w:type="dxa" w:w="2041"/>
          </w:tcPr>
          <w:p>
            <w:r>
              <w:rPr>
                <w:sz w:val="16"/>
              </w:rPr>
              <w:t>Reading and reporting results</w:t>
            </w:r>
          </w:p>
        </w:tc>
        <w:tc>
          <w:tcPr>
            <w:tcW w:type="dxa" w:w="2041"/>
          </w:tcPr>
          <w:p>
            <w:r>
              <w:rPr>
                <w:sz w:val="16"/>
              </w:rPr>
              <w:t>Brooks; Christoffersen</w:t>
            </w:r>
          </w:p>
        </w:tc>
        <w:tc>
          <w:tcPr>
            <w:tcW w:type="dxa" w:w="567"/>
          </w:tcPr>
          <w:p>
            <w:r>
              <w:rPr>
                <w:sz w:val="16"/>
              </w:rPr>
              <w:t>0</w:t>
            </w:r>
          </w:p>
        </w:tc>
      </w:tr>
      <w:tr>
        <w:tc>
          <w:tcPr>
            <w:tcW w:type="dxa" w:w="1701"/>
          </w:tcPr>
          <w:p>
            <w:r>
              <w:rPr>
                <w:sz w:val="16"/>
              </w:rPr>
              <w:t>Stylised facts</w:t>
            </w:r>
          </w:p>
        </w:tc>
        <w:tc>
          <w:tcPr>
            <w:tcW w:type="dxa" w:w="2381"/>
          </w:tcPr>
          <w:p>
            <w:r>
              <w:rPr>
                <w:sz w:val="16"/>
              </w:rPr>
              <w:t>Fat tails, volatility clustering, leverage effect</w:t>
            </w:r>
          </w:p>
        </w:tc>
        <w:tc>
          <w:tcPr>
            <w:tcW w:type="dxa" w:w="2041"/>
          </w:tcPr>
          <w:p>
            <w:r>
              <w:rPr>
                <w:sz w:val="16"/>
              </w:rPr>
              <w:t>Why volatility is forecastable</w:t>
            </w:r>
          </w:p>
        </w:tc>
        <w:tc>
          <w:tcPr>
            <w:tcW w:type="dxa" w:w="2041"/>
          </w:tcPr>
          <w:p>
            <w:r>
              <w:rPr>
                <w:sz w:val="16"/>
              </w:rPr>
              <w:t>Cont (2001)</w:t>
            </w:r>
          </w:p>
        </w:tc>
        <w:tc>
          <w:tcPr>
            <w:tcW w:type="dxa" w:w="567"/>
          </w:tcPr>
          <w:p>
            <w:r>
              <w:rPr>
                <w:sz w:val="16"/>
              </w:rPr>
              <w:t>1</w:t>
            </w:r>
          </w:p>
        </w:tc>
      </w:tr>
      <w:tr>
        <w:tc>
          <w:tcPr>
            <w:tcW w:type="dxa" w:w="1701"/>
          </w:tcPr>
          <w:p>
            <w:r>
              <w:rPr>
                <w:sz w:val="16"/>
              </w:rPr>
              <w:t>Realised variance and proxies</w:t>
            </w:r>
          </w:p>
        </w:tc>
        <w:tc>
          <w:tcPr>
            <w:tcW w:type="dxa" w:w="2381"/>
          </w:tcPr>
          <w:p>
            <w:r>
              <w:rPr>
                <w:sz w:val="16"/>
              </w:rPr>
              <w:t>Sum of squared returns; range estimators</w:t>
            </w:r>
          </w:p>
        </w:tc>
        <w:tc>
          <w:tcPr>
            <w:tcW w:type="dxa" w:w="2041"/>
          </w:tcPr>
          <w:p>
            <w:r>
              <w:rPr>
                <w:sz w:val="16"/>
              </w:rPr>
              <w:t>Your target and its noise</w:t>
            </w:r>
          </w:p>
        </w:tc>
        <w:tc>
          <w:tcPr>
            <w:tcW w:type="dxa" w:w="2041"/>
          </w:tcPr>
          <w:p>
            <w:r>
              <w:rPr>
                <w:sz w:val="16"/>
              </w:rPr>
              <w:t>ABDL (2003); Patton (2011)</w:t>
            </w:r>
          </w:p>
        </w:tc>
        <w:tc>
          <w:tcPr>
            <w:tcW w:type="dxa" w:w="567"/>
          </w:tcPr>
          <w:p>
            <w:r>
              <w:rPr>
                <w:sz w:val="16"/>
              </w:rPr>
              <w:t>1</w:t>
            </w:r>
          </w:p>
        </w:tc>
      </w:tr>
      <w:tr>
        <w:tc>
          <w:tcPr>
            <w:tcW w:type="dxa" w:w="1701"/>
          </w:tcPr>
          <w:p>
            <w:r>
              <w:rPr>
                <w:sz w:val="16"/>
              </w:rPr>
              <w:t>ARCH/GARCH(1,1)</w:t>
            </w:r>
          </w:p>
        </w:tc>
        <w:tc>
          <w:tcPr>
            <w:tcW w:type="dxa" w:w="2381"/>
          </w:tcPr>
          <w:p>
            <w:r>
              <w:rPr>
                <w:sz w:val="16"/>
              </w:rPr>
              <w:t>Variance = ω + α·shock² + β·last variance; persistence α+β</w:t>
            </w:r>
          </w:p>
        </w:tc>
        <w:tc>
          <w:tcPr>
            <w:tcW w:type="dxa" w:w="2041"/>
          </w:tcPr>
          <w:p>
            <w:r>
              <w:rPr>
                <w:sz w:val="16"/>
              </w:rPr>
              <w:t>Benchmark 1</w:t>
            </w:r>
          </w:p>
        </w:tc>
        <w:tc>
          <w:tcPr>
            <w:tcW w:type="dxa" w:w="2041"/>
          </w:tcPr>
          <w:p>
            <w:r>
              <w:rPr>
                <w:sz w:val="16"/>
              </w:rPr>
              <w:t>Brooks ch.9; Engle; Bollerslev</w:t>
            </w:r>
          </w:p>
        </w:tc>
        <w:tc>
          <w:tcPr>
            <w:tcW w:type="dxa" w:w="567"/>
          </w:tcPr>
          <w:p>
            <w:r>
              <w:rPr>
                <w:sz w:val="16"/>
              </w:rPr>
              <w:t>2–3</w:t>
            </w:r>
          </w:p>
        </w:tc>
      </w:tr>
      <w:tr>
        <w:tc>
          <w:tcPr>
            <w:tcW w:type="dxa" w:w="1701"/>
          </w:tcPr>
          <w:p>
            <w:r>
              <w:rPr>
                <w:sz w:val="16"/>
              </w:rPr>
              <w:t>Student-t errors</w:t>
            </w:r>
          </w:p>
        </w:tc>
        <w:tc>
          <w:tcPr>
            <w:tcW w:type="dxa" w:w="2381"/>
          </w:tcPr>
          <w:p>
            <w:r>
              <w:rPr>
                <w:sz w:val="16"/>
              </w:rPr>
              <w:t>Fat-tailed error distribution for GARCH</w:t>
            </w:r>
          </w:p>
        </w:tc>
        <w:tc>
          <w:tcPr>
            <w:tcW w:type="dxa" w:w="2041"/>
          </w:tcPr>
          <w:p>
            <w:r>
              <w:rPr>
                <w:sz w:val="16"/>
              </w:rPr>
              <w:t>Better GARCH fit</w:t>
            </w:r>
          </w:p>
        </w:tc>
        <w:tc>
          <w:tcPr>
            <w:tcW w:type="dxa" w:w="2041"/>
          </w:tcPr>
          <w:p>
            <w:r>
              <w:rPr>
                <w:sz w:val="16"/>
              </w:rPr>
              <w:t>Brooks ch.9</w:t>
            </w:r>
          </w:p>
        </w:tc>
        <w:tc>
          <w:tcPr>
            <w:tcW w:type="dxa" w:w="567"/>
          </w:tcPr>
          <w:p>
            <w:r>
              <w:rPr>
                <w:sz w:val="16"/>
              </w:rPr>
              <w:t>3</w:t>
            </w:r>
          </w:p>
        </w:tc>
      </w:tr>
      <w:tr>
        <w:tc>
          <w:tcPr>
            <w:tcW w:type="dxa" w:w="1701"/>
          </w:tcPr>
          <w:p>
            <w:r>
              <w:rPr>
                <w:sz w:val="16"/>
              </w:rPr>
              <w:t>Multi-step variance forecasts</w:t>
            </w:r>
          </w:p>
        </w:tc>
        <w:tc>
          <w:tcPr>
            <w:tcW w:type="dxa" w:w="2381"/>
          </w:tcPr>
          <w:p>
            <w:r>
              <w:rPr>
                <w:sz w:val="16"/>
              </w:rPr>
              <w:t>Iterating GARCH forward h days</w:t>
            </w:r>
          </w:p>
        </w:tc>
        <w:tc>
          <w:tcPr>
            <w:tcW w:type="dxa" w:w="2041"/>
          </w:tcPr>
          <w:p>
            <w:r>
              <w:rPr>
                <w:sz w:val="16"/>
              </w:rPr>
              <w:t>5-day target</w:t>
            </w:r>
          </w:p>
        </w:tc>
        <w:tc>
          <w:tcPr>
            <w:tcW w:type="dxa" w:w="2041"/>
          </w:tcPr>
          <w:p>
            <w:r>
              <w:rPr>
                <w:sz w:val="16"/>
              </w:rPr>
              <w:t>arch docs</w:t>
            </w:r>
          </w:p>
        </w:tc>
        <w:tc>
          <w:tcPr>
            <w:tcW w:type="dxa" w:w="567"/>
          </w:tcPr>
          <w:p>
            <w:r>
              <w:rPr>
                <w:sz w:val="16"/>
              </w:rPr>
              <w:t>3</w:t>
            </w:r>
          </w:p>
        </w:tc>
      </w:tr>
      <w:tr>
        <w:tc>
          <w:tcPr>
            <w:tcW w:type="dxa" w:w="1701"/>
          </w:tcPr>
          <w:p>
            <w:r>
              <w:rPr>
                <w:sz w:val="16"/>
              </w:rPr>
              <w:t>HAR model</w:t>
            </w:r>
          </w:p>
        </w:tc>
        <w:tc>
          <w:tcPr>
            <w:tcW w:type="dxa" w:w="2381"/>
          </w:tcPr>
          <w:p>
            <w:r>
              <w:rPr>
                <w:sz w:val="16"/>
              </w:rPr>
              <w:t>Daily, weekly, monthly volatility components in one regression</w:t>
            </w:r>
          </w:p>
        </w:tc>
        <w:tc>
          <w:tcPr>
            <w:tcW w:type="dxa" w:w="2041"/>
          </w:tcPr>
          <w:p>
            <w:r>
              <w:rPr>
                <w:sz w:val="16"/>
              </w:rPr>
              <w:t>Benchmark 2</w:t>
            </w:r>
          </w:p>
        </w:tc>
        <w:tc>
          <w:tcPr>
            <w:tcW w:type="dxa" w:w="2041"/>
          </w:tcPr>
          <w:p>
            <w:r>
              <w:rPr>
                <w:sz w:val="16"/>
              </w:rPr>
              <w:t>Corsi (2009)</w:t>
            </w:r>
          </w:p>
        </w:tc>
        <w:tc>
          <w:tcPr>
            <w:tcW w:type="dxa" w:w="567"/>
          </w:tcPr>
          <w:p>
            <w:r>
              <w:rPr>
                <w:sz w:val="16"/>
              </w:rPr>
              <w:t>3</w:t>
            </w:r>
          </w:p>
        </w:tc>
      </w:tr>
      <w:tr>
        <w:tc>
          <w:tcPr>
            <w:tcW w:type="dxa" w:w="1701"/>
          </w:tcPr>
          <w:p>
            <w:r>
              <w:rPr>
                <w:sz w:val="16"/>
              </w:rPr>
              <w:t>Stationarity; ADF test</w:t>
            </w:r>
          </w:p>
        </w:tc>
        <w:tc>
          <w:tcPr>
            <w:tcW w:type="dxa" w:w="2381"/>
          </w:tcPr>
          <w:p>
            <w:r>
              <w:rPr>
                <w:sz w:val="16"/>
              </w:rPr>
              <w:t>Stable mean/variance over time</w:t>
            </w:r>
          </w:p>
        </w:tc>
        <w:tc>
          <w:tcPr>
            <w:tcW w:type="dxa" w:w="2041"/>
          </w:tcPr>
          <w:p>
            <w:r>
              <w:rPr>
                <w:sz w:val="16"/>
              </w:rPr>
              <w:t>Justify log RV modelling</w:t>
            </w:r>
          </w:p>
        </w:tc>
        <w:tc>
          <w:tcPr>
            <w:tcW w:type="dxa" w:w="2041"/>
          </w:tcPr>
          <w:p>
            <w:r>
              <w:rPr>
                <w:sz w:val="16"/>
              </w:rPr>
              <w:t>Brooks ch.8</w:t>
            </w:r>
          </w:p>
        </w:tc>
        <w:tc>
          <w:tcPr>
            <w:tcW w:type="dxa" w:w="567"/>
          </w:tcPr>
          <w:p>
            <w:r>
              <w:rPr>
                <w:sz w:val="16"/>
              </w:rPr>
              <w:t>2</w:t>
            </w:r>
          </w:p>
        </w:tc>
      </w:tr>
      <w:tr>
        <w:tc>
          <w:tcPr>
            <w:tcW w:type="dxa" w:w="1701"/>
          </w:tcPr>
          <w:p>
            <w:r>
              <w:rPr>
                <w:sz w:val="16"/>
              </w:rPr>
              <w:t>Efficient Market Hypothesis</w:t>
            </w:r>
          </w:p>
        </w:tc>
        <w:tc>
          <w:tcPr>
            <w:tcW w:type="dxa" w:w="2381"/>
          </w:tcPr>
          <w:p>
            <w:r>
              <w:rPr>
                <w:sz w:val="16"/>
              </w:rPr>
              <w:t>Prices reflect available information</w:t>
            </w:r>
          </w:p>
        </w:tc>
        <w:tc>
          <w:tcPr>
            <w:tcW w:type="dxa" w:w="2041"/>
          </w:tcPr>
          <w:p>
            <w:r>
              <w:rPr>
                <w:sz w:val="16"/>
              </w:rPr>
              <w:t>Why returns are hard but volatility easier to forecast</w:t>
            </w:r>
          </w:p>
        </w:tc>
        <w:tc>
          <w:tcPr>
            <w:tcW w:type="dxa" w:w="2041"/>
          </w:tcPr>
          <w:p>
            <w:r>
              <w:rPr>
                <w:sz w:val="16"/>
              </w:rPr>
              <w:t>Fama (1970)</w:t>
            </w:r>
          </w:p>
        </w:tc>
        <w:tc>
          <w:tcPr>
            <w:tcW w:type="dxa" w:w="567"/>
          </w:tcPr>
          <w:p>
            <w:r>
              <w:rPr>
                <w:sz w:val="16"/>
              </w:rPr>
              <w:t>1</w:t>
            </w:r>
          </w:p>
        </w:tc>
      </w:tr>
      <w:tr>
        <w:tc>
          <w:tcPr>
            <w:tcW w:type="dxa" w:w="1701"/>
          </w:tcPr>
          <w:p>
            <w:r>
              <w:rPr>
                <w:sz w:val="16"/>
              </w:rPr>
              <w:t>Contagion vs interdependence</w:t>
            </w:r>
          </w:p>
        </w:tc>
        <w:tc>
          <w:tcPr>
            <w:tcW w:type="dxa" w:w="2381"/>
          </w:tcPr>
          <w:p>
            <w:r>
              <w:rPr>
                <w:sz w:val="16"/>
              </w:rPr>
              <w:t>Crisis-only increase in linkages vs normal linkages</w:t>
            </w:r>
          </w:p>
        </w:tc>
        <w:tc>
          <w:tcPr>
            <w:tcW w:type="dxa" w:w="2041"/>
          </w:tcPr>
          <w:p>
            <w:r>
              <w:rPr>
                <w:sz w:val="16"/>
              </w:rPr>
              <w:t>Framing RQ2 honestly</w:t>
            </w:r>
          </w:p>
        </w:tc>
        <w:tc>
          <w:tcPr>
            <w:tcW w:type="dxa" w:w="2041"/>
          </w:tcPr>
          <w:p>
            <w:r>
              <w:rPr>
                <w:sz w:val="16"/>
              </w:rPr>
              <w:t>Forbes &amp; Rigobon; Pericoli &amp; Sbracia</w:t>
            </w:r>
          </w:p>
        </w:tc>
        <w:tc>
          <w:tcPr>
            <w:tcW w:type="dxa" w:w="567"/>
          </w:tcPr>
          <w:p>
            <w:r>
              <w:rPr>
                <w:sz w:val="16"/>
              </w:rPr>
              <w:t>1–2</w:t>
            </w:r>
          </w:p>
        </w:tc>
      </w:tr>
      <w:tr>
        <w:tc>
          <w:tcPr>
            <w:tcW w:type="dxa" w:w="1701"/>
          </w:tcPr>
          <w:p>
            <w:r>
              <w:rPr>
                <w:sz w:val="16"/>
              </w:rPr>
              <w:t>Spillovers and connectedness</w:t>
            </w:r>
          </w:p>
        </w:tc>
        <w:tc>
          <w:tcPr>
            <w:tcW w:type="dxa" w:w="2381"/>
          </w:tcPr>
          <w:p>
            <w:r>
              <w:rPr>
                <w:sz w:val="16"/>
              </w:rPr>
              <w:t>Share of one market’s forecast error variance caused by another</w:t>
            </w:r>
          </w:p>
        </w:tc>
        <w:tc>
          <w:tcPr>
            <w:tcW w:type="dxa" w:w="2041"/>
          </w:tcPr>
          <w:p>
            <w:r>
              <w:rPr>
                <w:sz w:val="16"/>
                <w:b w:val="0"/>
              </w:rPr>
              <w:t xml:space="preserve">Exploratory E1; literature review</w:t>
            </w:r>
          </w:p>
        </w:tc>
        <w:tc>
          <w:tcPr>
            <w:tcW w:type="dxa" w:w="2041"/>
          </w:tcPr>
          <w:p>
            <w:r>
              <w:rPr>
                <w:sz w:val="16"/>
              </w:rPr>
              <w:t>Diebold &amp; Yilmaz</w:t>
            </w:r>
          </w:p>
        </w:tc>
        <w:tc>
          <w:tcPr>
            <w:tcW w:type="dxa" w:w="567"/>
          </w:tcPr>
          <w:p>
            <w:r>
              <w:rPr>
                <w:sz w:val="16"/>
                <w:b w:val="0"/>
              </w:rPr>
              <w:t xml:space="preserve">now</w:t>
            </w:r>
          </w:p>
        </w:tc>
      </w:tr>
      <w:tr>
        <w:tc>
          <w:tcPr>
            <w:tcW w:type="dxa" w:w="1701"/>
          </w:tcPr>
          <w:p>
            <w:r>
              <w:rPr>
                <w:sz w:val="16"/>
              </w:rPr>
              <w:t>Minsky’s instability hypothesis</w:t>
            </w:r>
          </w:p>
        </w:tc>
        <w:tc>
          <w:tcPr>
            <w:tcW w:type="dxa" w:w="2381"/>
          </w:tcPr>
          <w:p>
            <w:r>
              <w:rPr>
                <w:sz w:val="16"/>
              </w:rPr>
              <w:t>Hedge → speculative → Ponzi finance</w:t>
            </w:r>
          </w:p>
        </w:tc>
        <w:tc>
          <w:tcPr>
            <w:tcW w:type="dxa" w:w="2041"/>
          </w:tcPr>
          <w:p>
            <w:r>
              <w:rPr>
                <w:sz w:val="16"/>
              </w:rPr>
              <w:t>Theory for bubbles and the GFC</w:t>
            </w:r>
          </w:p>
        </w:tc>
        <w:tc>
          <w:tcPr>
            <w:tcW w:type="dxa" w:w="2041"/>
          </w:tcPr>
          <w:p>
            <w:r>
              <w:rPr>
                <w:sz w:val="16"/>
              </w:rPr>
              <w:t>Minsky (1992)</w:t>
            </w:r>
          </w:p>
        </w:tc>
        <w:tc>
          <w:tcPr>
            <w:tcW w:type="dxa" w:w="567"/>
          </w:tcPr>
          <w:p>
            <w:r>
              <w:rPr>
                <w:sz w:val="16"/>
              </w:rPr>
              <w:t>2</w:t>
            </w:r>
          </w:p>
        </w:tc>
      </w:tr>
      <w:tr>
        <w:tc>
          <w:tcPr>
            <w:tcW w:type="dxa" w:w="1701"/>
          </w:tcPr>
          <w:p>
            <w:r>
              <w:rPr>
                <w:sz w:val="16"/>
              </w:rPr>
              <w:t>Sovereign–bank ‘doom loop’</w:t>
            </w:r>
          </w:p>
        </w:tc>
        <w:tc>
          <w:tcPr>
            <w:tcW w:type="dxa" w:w="2381"/>
          </w:tcPr>
          <w:p>
            <w:r>
              <w:rPr>
                <w:sz w:val="16"/>
              </w:rPr>
              <w:t>Weak banks and weak governments drag each other down</w:t>
            </w:r>
          </w:p>
        </w:tc>
        <w:tc>
          <w:tcPr>
            <w:tcW w:type="dxa" w:w="2041"/>
          </w:tcPr>
          <w:p>
            <w:r>
              <w:rPr>
                <w:sz w:val="16"/>
              </w:rPr>
              <w:t>Euro/Irish crisis mechanism</w:t>
            </w:r>
          </w:p>
        </w:tc>
        <w:tc>
          <w:tcPr>
            <w:tcW w:type="dxa" w:w="2041"/>
          </w:tcPr>
          <w:p>
            <w:r>
              <w:rPr>
                <w:sz w:val="16"/>
              </w:rPr>
              <w:t>Lane (2012); Honohan (2010)</w:t>
            </w:r>
          </w:p>
        </w:tc>
        <w:tc>
          <w:tcPr>
            <w:tcW w:type="dxa" w:w="567"/>
          </w:tcPr>
          <w:p>
            <w:r>
              <w:rPr>
                <w:sz w:val="16"/>
              </w:rPr>
              <w:t>4</w:t>
            </w:r>
          </w:p>
        </w:tc>
      </w:tr>
      <w:tr>
        <w:tc>
          <w:tcPr>
            <w:tcW w:type="dxa" w:w="1701"/>
          </w:tcPr>
          <w:p>
            <w:r>
              <w:rPr>
                <w:sz w:val="16"/>
              </w:rPr>
              <w:t>Small open economy</w:t>
            </w:r>
          </w:p>
        </w:tc>
        <w:tc>
          <w:tcPr>
            <w:tcW w:type="dxa" w:w="2381"/>
          </w:tcPr>
          <w:p>
            <w:r>
              <w:rPr>
                <w:sz w:val="16"/>
              </w:rPr>
              <w:t>Economy dominated by external shocks</w:t>
            </w:r>
          </w:p>
        </w:tc>
        <w:tc>
          <w:tcPr>
            <w:tcW w:type="dxa" w:w="2041"/>
          </w:tcPr>
          <w:p>
            <w:r>
              <w:rPr>
                <w:sz w:val="16"/>
              </w:rPr>
              <w:t>Why Ireland is a good test case</w:t>
            </w:r>
          </w:p>
        </w:tc>
        <w:tc>
          <w:tcPr>
            <w:tcW w:type="dxa" w:w="2041"/>
          </w:tcPr>
          <w:p>
            <w:r>
              <w:rPr>
                <w:sz w:val="16"/>
              </w:rPr>
              <w:t>Lane (2012)</w:t>
            </w:r>
          </w:p>
        </w:tc>
        <w:tc>
          <w:tcPr>
            <w:tcW w:type="dxa" w:w="567"/>
          </w:tcPr>
          <w:p>
            <w:r>
              <w:rPr>
                <w:sz w:val="16"/>
              </w:rPr>
              <w:t>2</w:t>
            </w:r>
          </w:p>
        </w:tc>
      </w:tr>
      <w:tr>
        <w:tc>
          <w:tcPr>
            <w:tcW w:type="dxa" w:w="1701"/>
          </w:tcPr>
          <w:p>
            <w:r>
              <w:rPr>
                <w:sz w:val="16"/>
              </w:rPr>
              <w:t>VIX</w:t>
            </w:r>
          </w:p>
        </w:tc>
        <w:tc>
          <w:tcPr>
            <w:tcW w:type="dxa" w:w="2381"/>
          </w:tcPr>
          <w:p>
            <w:r>
              <w:rPr>
                <w:sz w:val="16"/>
              </w:rPr>
              <w:t>Implied 30-day S&amp;P 500 volatility; ‘fear gauge’</w:t>
            </w:r>
          </w:p>
        </w:tc>
        <w:tc>
          <w:tcPr>
            <w:tcW w:type="dxa" w:w="2041"/>
          </w:tcPr>
          <w:p>
            <w:r>
              <w:rPr>
                <w:sz w:val="16"/>
              </w:rPr>
              <w:t>Context only (not a model input)</w:t>
            </w:r>
          </w:p>
        </w:tc>
        <w:tc>
          <w:tcPr>
            <w:tcW w:type="dxa" w:w="2041"/>
          </w:tcPr>
          <w:p>
            <w:r>
              <w:rPr>
                <w:sz w:val="16"/>
              </w:rPr>
              <w:t>CBOE material</w:t>
            </w:r>
          </w:p>
        </w:tc>
        <w:tc>
          <w:tcPr>
            <w:tcW w:type="dxa" w:w="567"/>
          </w:tcPr>
          <w:p>
            <w:r>
              <w:rPr>
                <w:sz w:val="16"/>
              </w:rPr>
              <w:t>2</w:t>
            </w:r>
          </w:p>
        </w:tc>
      </w:tr>
      <w:tr>
        <w:tc>
          <w:tcPr>
            <w:tcW w:type="dxa" w:w="1701"/>
          </w:tcPr>
          <w:p>
            <w:r>
              <w:rPr>
                <w:sz w:val="16"/>
              </w:rPr>
              <w:t>Asynchronous trading / time zones</w:t>
            </w:r>
          </w:p>
        </w:tc>
        <w:tc>
          <w:tcPr>
            <w:tcW w:type="dxa" w:w="2381"/>
          </w:tcPr>
          <w:p>
            <w:r>
              <w:rPr>
                <w:sz w:val="16"/>
              </w:rPr>
              <w:t>Markets close at different times</w:t>
            </w:r>
          </w:p>
        </w:tc>
        <w:tc>
          <w:tcPr>
            <w:tcW w:type="dxa" w:w="2041"/>
          </w:tcPr>
          <w:p>
            <w:r>
              <w:rPr>
                <w:sz w:val="16"/>
              </w:rPr>
              <w:t>No look-ahead</w:t>
            </w:r>
          </w:p>
        </w:tc>
        <w:tc>
          <w:tcPr>
            <w:tcW w:type="dxa" w:w="2041"/>
          </w:tcPr>
          <w:p>
            <w:r>
              <w:rPr>
                <w:sz w:val="16"/>
              </w:rPr>
              <w:t>Hamao et al. (1990)</w:t>
            </w:r>
          </w:p>
        </w:tc>
        <w:tc>
          <w:tcPr>
            <w:tcW w:type="dxa" w:w="567"/>
          </w:tcPr>
          <w:p>
            <w:r>
              <w:rPr>
                <w:sz w:val="16"/>
              </w:rPr>
              <w:t>1</w:t>
            </w:r>
          </w:p>
        </w:tc>
      </w:tr>
      <w:tr>
        <w:tc>
          <w:tcPr>
            <w:tcW w:type="dxa" w:w="1701"/>
          </w:tcPr>
          <w:p>
            <w:r>
              <w:rPr>
                <w:sz w:val="16"/>
                <w:b w:val="0"/>
              </w:rPr>
              <w:t xml:space="preserve">Vector autoregression (VAR)</w:t>
            </w:r>
          </w:p>
        </w:tc>
        <w:tc>
          <w:tcPr>
            <w:tcW w:type="dxa" w:w="2381"/>
          </w:tcPr>
          <w:p>
            <w:r>
              <w:rPr>
                <w:sz w:val="16"/>
                <w:b w:val="0"/>
              </w:rPr>
              <w:t xml:space="preserve">Each market regressed on the recent past of all markets</w:t>
            </w:r>
          </w:p>
        </w:tc>
        <w:tc>
          <w:tcPr>
            <w:tcW w:type="dxa" w:w="2041"/>
          </w:tcPr>
          <w:p>
            <w:r>
              <w:rPr>
                <w:sz w:val="16"/>
                <w:b w:val="0"/>
              </w:rPr>
              <w:t xml:space="preserve">E1</w:t>
            </w:r>
          </w:p>
        </w:tc>
        <w:tc>
          <w:tcPr>
            <w:tcW w:type="dxa" w:w="2041"/>
          </w:tcPr>
          <w:p>
            <w:r>
              <w:rPr>
                <w:sz w:val="16"/>
                <w:b w:val="0"/>
              </w:rPr>
              <w:t xml:space="preserve">Brooks ch.7</w:t>
            </w:r>
          </w:p>
        </w:tc>
        <w:tc>
          <w:tcPr>
            <w:tcW w:type="dxa" w:w="567"/>
          </w:tcPr>
          <w:p>
            <w:r>
              <w:rPr>
                <w:sz w:val="16"/>
                <w:b w:val="0"/>
              </w:rPr>
              <w:t xml:space="preserve">now</w:t>
            </w:r>
          </w:p>
        </w:tc>
      </w:tr>
      <w:tr>
        <w:tc>
          <w:tcPr>
            <w:tcW w:type="dxa" w:w="1701"/>
          </w:tcPr>
          <w:p>
            <w:r>
              <w:rPr>
                <w:sz w:val="16"/>
                <w:b w:val="0"/>
              </w:rPr>
              <w:t xml:space="preserve">Generalized variance decomposition</w:t>
            </w:r>
          </w:p>
        </w:tc>
        <w:tc>
          <w:tcPr>
            <w:tcW w:type="dxa" w:w="2381"/>
          </w:tcPr>
          <w:p>
            <w:r>
              <w:rPr>
                <w:sz w:val="16"/>
                <w:b w:val="0"/>
              </w:rPr>
              <w:t xml:space="preserve">Order-invariant split of forecast uncertainty by source market</w:t>
            </w:r>
          </w:p>
        </w:tc>
        <w:tc>
          <w:tcPr>
            <w:tcW w:type="dxa" w:w="2041"/>
          </w:tcPr>
          <w:p>
            <w:r>
              <w:rPr>
                <w:sz w:val="16"/>
                <w:b w:val="0"/>
              </w:rPr>
              <w:t xml:space="preserve">E1 (Diebold–Yilmaz, 2012)</w:t>
            </w:r>
          </w:p>
        </w:tc>
        <w:tc>
          <w:tcPr>
            <w:tcW w:type="dxa" w:w="2041"/>
          </w:tcPr>
          <w:p>
            <w:r>
              <w:rPr>
                <w:sz w:val="16"/>
                <w:b w:val="0"/>
              </w:rPr>
              <w:t xml:space="preserve">Pesaran &amp; Shin (1998); Diebold &amp; Yilmaz (2012)</w:t>
            </w:r>
          </w:p>
        </w:tc>
        <w:tc>
          <w:tcPr>
            <w:tcW w:type="dxa" w:w="567"/>
          </w:tcPr>
          <w:p>
            <w:r>
              <w:rPr>
                <w:sz w:val="16"/>
                <w:b w:val="0"/>
              </w:rPr>
              <w:t xml:space="preserve">now</w:t>
            </w:r>
          </w:p>
        </w:tc>
      </w:tr>
      <w:tr>
        <w:tc>
          <w:tcPr>
            <w:tcW w:type="dxa" w:w="1701"/>
          </w:tcPr>
          <w:p>
            <w:r>
              <w:rPr>
                <w:sz w:val="16"/>
                <w:b w:val="0"/>
              </w:rPr>
              <w:t xml:space="preserve">Hodrick–Prescott filter (one-sided)</w:t>
            </w:r>
          </w:p>
        </w:tc>
        <w:tc>
          <w:tcPr>
            <w:tcW w:type="dxa" w:w="2381"/>
          </w:tcPr>
          <w:p>
            <w:r>
              <w:rPr>
                <w:sz w:val="16"/>
                <w:b w:val="0"/>
              </w:rPr>
              <w:t xml:space="preserve">Trend vs cycle, estimated from past data only</w:t>
            </w:r>
          </w:p>
        </w:tc>
        <w:tc>
          <w:tcPr>
            <w:tcW w:type="dxa" w:w="2041"/>
          </w:tcPr>
          <w:p>
            <w:r>
              <w:rPr>
                <w:sz w:val="16"/>
                <w:b w:val="0"/>
              </w:rPr>
              <w:t xml:space="preserve">E2</w:t>
            </w:r>
          </w:p>
        </w:tc>
        <w:tc>
          <w:tcPr>
            <w:tcW w:type="dxa" w:w="2041"/>
          </w:tcPr>
          <w:p>
            <w:r>
              <w:rPr>
                <w:sz w:val="16"/>
                <w:b w:val="0"/>
              </w:rPr>
              <w:t xml:space="preserve">Hodrick &amp; Prescott (1997); Danielsson et al. (2018)</w:t>
            </w:r>
          </w:p>
        </w:tc>
        <w:tc>
          <w:tcPr>
            <w:tcW w:type="dxa" w:w="567"/>
          </w:tcPr>
          <w:p>
            <w:r>
              <w:rPr>
                <w:sz w:val="16"/>
                <w:b w:val="0"/>
              </w:rPr>
              <w:t xml:space="preserve">now</w:t>
            </w:r>
          </w:p>
        </w:tc>
      </w:tr>
      <w:tr>
        <w:tc>
          <w:tcPr>
            <w:tcW w:type="dxa" w:w="1701"/>
          </w:tcPr>
          <w:p>
            <w:r>
              <w:rPr>
                <w:sz w:val="16"/>
                <w:b w:val="0"/>
              </w:rPr>
              <w:t xml:space="preserve">Volatility paradox</w:t>
            </w:r>
          </w:p>
        </w:tc>
        <w:tc>
          <w:tcPr>
            <w:tcW w:type="dxa" w:w="2381"/>
          </w:tcPr>
          <w:p>
            <w:r>
              <w:rPr>
                <w:sz w:val="16"/>
                <w:b w:val="0"/>
              </w:rPr>
              <w:t xml:space="preserve">Long calm periods encourage risk-taking; low volatility precedes crises</w:t>
            </w:r>
          </w:p>
        </w:tc>
        <w:tc>
          <w:tcPr>
            <w:tcW w:type="dxa" w:w="2041"/>
          </w:tcPr>
          <w:p>
            <w:r>
              <w:rPr>
                <w:sz w:val="16"/>
                <w:b w:val="0"/>
              </w:rPr>
              <w:t xml:space="preserve">E2; Minsky discussion</w:t>
            </w:r>
          </w:p>
        </w:tc>
        <w:tc>
          <w:tcPr>
            <w:tcW w:type="dxa" w:w="2041"/>
          </w:tcPr>
          <w:p>
            <w:r>
              <w:rPr>
                <w:sz w:val="16"/>
                <w:b w:val="0"/>
              </w:rPr>
              <w:t xml:space="preserve">Danielsson et al. (2018)</w:t>
            </w:r>
          </w:p>
        </w:tc>
        <w:tc>
          <w:tcPr>
            <w:tcW w:type="dxa" w:w="567"/>
          </w:tcPr>
          <w:p>
            <w:r>
              <w:rPr>
                <w:sz w:val="16"/>
                <w:b w:val="0"/>
              </w:rPr>
              <w:t xml:space="preserve">now</w:t>
            </w:r>
          </w:p>
        </w:tc>
      </w:tr>
    </w:tbl>
    <w:p>
      <w:pPr>
        <w:spacing w:after="40"/>
      </w:pPr>
    </w:p>
    <w:p>
      <w:pPr>
        <w:pStyle w:val="Heading1"/>
      </w:pPr>
      <w:r>
        <w:rPr>
          <w:color w:val="1F4E79"/>
        </w:rPr>
        <w:t>10. What to learn — machine learning, explainability, statistics and tools</w:t>
      </w:r>
    </w:p>
    <w:p>
      <w:pPr>
        <w:pStyle w:val="Heading2"/>
      </w:pPr>
      <w:r>
        <w:rPr>
          <w:color w:val="1F4E79"/>
        </w:rPr>
        <w:t>10.1 Machine learning</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28"/>
            <w:shd w:val="clear" w:color="auto" w:fill="1F4E79"/>
          </w:tcPr>
          <w:p>
            <w:r>
              <w:rPr>
                <w:b/>
                <w:color w:val="FFFFFF"/>
                <w:sz w:val="16"/>
              </w:rPr>
              <w:t>Concept</w:t>
            </w:r>
          </w:p>
        </w:tc>
        <w:tc>
          <w:tcPr>
            <w:tcW w:type="dxa" w:w="2381"/>
            <w:shd w:val="clear" w:color="auto" w:fill="1F4E79"/>
          </w:tcPr>
          <w:p>
            <w:r>
              <w:rPr>
                <w:b/>
                <w:color w:val="FFFFFF"/>
                <w:sz w:val="16"/>
              </w:rPr>
              <w:t>What it is</w:t>
            </w:r>
          </w:p>
        </w:tc>
        <w:tc>
          <w:tcPr>
            <w:tcW w:type="dxa" w:w="1928"/>
            <w:shd w:val="clear" w:color="auto" w:fill="1F4E79"/>
          </w:tcPr>
          <w:p>
            <w:r>
              <w:rPr>
                <w:b/>
                <w:color w:val="FFFFFF"/>
                <w:sz w:val="16"/>
              </w:rPr>
              <w:t>Why you need it</w:t>
            </w:r>
          </w:p>
        </w:tc>
        <w:tc>
          <w:tcPr>
            <w:tcW w:type="dxa" w:w="2154"/>
            <w:shd w:val="clear" w:color="auto" w:fill="1F4E79"/>
          </w:tcPr>
          <w:p>
            <w:r>
              <w:rPr>
                <w:b/>
                <w:color w:val="FFFFFF"/>
                <w:sz w:val="16"/>
              </w:rPr>
              <w:t>Learn from</w:t>
            </w:r>
          </w:p>
        </w:tc>
        <w:tc>
          <w:tcPr>
            <w:tcW w:type="dxa" w:w="567"/>
            <w:shd w:val="clear" w:color="auto" w:fill="1F4E79"/>
          </w:tcPr>
          <w:p>
            <w:r>
              <w:rPr>
                <w:b/>
                <w:color w:val="FFFFFF"/>
                <w:sz w:val="16"/>
              </w:rPr>
              <w:t>Week</w:t>
            </w:r>
          </w:p>
        </w:tc>
      </w:tr>
      <w:tr>
        <w:tc>
          <w:tcPr>
            <w:tcW w:type="dxa" w:w="1928"/>
          </w:tcPr>
          <w:p>
            <w:r>
              <w:rPr>
                <w:sz w:val="16"/>
              </w:rPr>
              <w:t>Look-ahead bias and leakage</w:t>
            </w:r>
          </w:p>
        </w:tc>
        <w:tc>
          <w:tcPr>
            <w:tcW w:type="dxa" w:w="2381"/>
          </w:tcPr>
          <w:p>
            <w:r>
              <w:rPr>
                <w:sz w:val="16"/>
              </w:rPr>
              <w:t>Using information not available at forecast time</w:t>
            </w:r>
          </w:p>
        </w:tc>
        <w:tc>
          <w:tcPr>
            <w:tcW w:type="dxa" w:w="1928"/>
          </w:tcPr>
          <w:p>
            <w:r>
              <w:rPr>
                <w:sz w:val="16"/>
              </w:rPr>
              <w:t>The most common examiner criticism</w:t>
            </w:r>
          </w:p>
        </w:tc>
        <w:tc>
          <w:tcPr>
            <w:tcW w:type="dxa" w:w="2154"/>
          </w:tcPr>
          <w:p>
            <w:r>
              <w:rPr>
                <w:sz w:val="16"/>
              </w:rPr>
              <w:t>López de Prado (2018); FPP3</w:t>
            </w:r>
          </w:p>
        </w:tc>
        <w:tc>
          <w:tcPr>
            <w:tcW w:type="dxa" w:w="567"/>
          </w:tcPr>
          <w:p>
            <w:r>
              <w:rPr>
                <w:sz w:val="16"/>
              </w:rPr>
              <w:t>1</w:t>
            </w:r>
          </w:p>
        </w:tc>
      </w:tr>
      <w:tr>
        <w:tc>
          <w:tcPr>
            <w:tcW w:type="dxa" w:w="1928"/>
          </w:tcPr>
          <w:p>
            <w:r>
              <w:rPr>
                <w:sz w:val="16"/>
              </w:rPr>
              <w:t>Walk-forward / expanding window</w:t>
            </w:r>
          </w:p>
        </w:tc>
        <w:tc>
          <w:tcPr>
            <w:tcW w:type="dxa" w:w="2381"/>
          </w:tcPr>
          <w:p>
            <w:r>
              <w:rPr>
                <w:sz w:val="16"/>
              </w:rPr>
              <w:t>Train on the past, test on the next period, repeat</w:t>
            </w:r>
          </w:p>
        </w:tc>
        <w:tc>
          <w:tcPr>
            <w:tcW w:type="dxa" w:w="1928"/>
          </w:tcPr>
          <w:p>
            <w:r>
              <w:rPr>
                <w:sz w:val="16"/>
              </w:rPr>
              <w:t>Your whole evaluation design</w:t>
            </w:r>
          </w:p>
        </w:tc>
        <w:tc>
          <w:tcPr>
            <w:tcW w:type="dxa" w:w="2154"/>
          </w:tcPr>
          <w:p>
            <w:r>
              <w:rPr>
                <w:sz w:val="16"/>
              </w:rPr>
              <w:t>FPP3 ch.5; Bergmeir &amp; Benítez</w:t>
            </w:r>
          </w:p>
        </w:tc>
        <w:tc>
          <w:tcPr>
            <w:tcW w:type="dxa" w:w="567"/>
          </w:tcPr>
          <w:p>
            <w:r>
              <w:rPr>
                <w:sz w:val="16"/>
              </w:rPr>
              <w:t>2</w:t>
            </w:r>
          </w:p>
        </w:tc>
      </w:tr>
      <w:tr>
        <w:tc>
          <w:tcPr>
            <w:tcW w:type="dxa" w:w="1928"/>
          </w:tcPr>
          <w:p>
            <w:r>
              <w:rPr>
                <w:sz w:val="16"/>
              </w:rPr>
              <w:t>Train/validation/test in time series</w:t>
            </w:r>
          </w:p>
        </w:tc>
        <w:tc>
          <w:tcPr>
            <w:tcW w:type="dxa" w:w="2381"/>
          </w:tcPr>
          <w:p>
            <w:r>
              <w:rPr>
                <w:sz w:val="16"/>
              </w:rPr>
              <w:t>Validation = last part of training, never the future</w:t>
            </w:r>
          </w:p>
        </w:tc>
        <w:tc>
          <w:tcPr>
            <w:tcW w:type="dxa" w:w="1928"/>
          </w:tcPr>
          <w:p>
            <w:r>
              <w:rPr>
                <w:sz w:val="16"/>
              </w:rPr>
              <w:t>Early stopping without leakage</w:t>
            </w:r>
          </w:p>
        </w:tc>
        <w:tc>
          <w:tcPr>
            <w:tcW w:type="dxa" w:w="2154"/>
          </w:tcPr>
          <w:p>
            <w:r>
              <w:rPr>
                <w:sz w:val="16"/>
              </w:rPr>
              <w:t>FPP3</w:t>
            </w:r>
          </w:p>
        </w:tc>
        <w:tc>
          <w:tcPr>
            <w:tcW w:type="dxa" w:w="567"/>
          </w:tcPr>
          <w:p>
            <w:r>
              <w:rPr>
                <w:sz w:val="16"/>
              </w:rPr>
              <w:t>2</w:t>
            </w:r>
          </w:p>
        </w:tc>
      </w:tr>
      <w:tr>
        <w:tc>
          <w:tcPr>
            <w:tcW w:type="dxa" w:w="1928"/>
          </w:tcPr>
          <w:p>
            <w:r>
              <w:rPr>
                <w:sz w:val="16"/>
              </w:rPr>
              <w:t>Scaling fitted on training only</w:t>
            </w:r>
          </w:p>
        </w:tc>
        <w:tc>
          <w:tcPr>
            <w:tcW w:type="dxa" w:w="2381"/>
          </w:tcPr>
          <w:p>
            <w:r>
              <w:rPr>
                <w:sz w:val="16"/>
              </w:rPr>
              <w:t>Scaler learns mean/SD from training data</w:t>
            </w:r>
          </w:p>
        </w:tc>
        <w:tc>
          <w:tcPr>
            <w:tcW w:type="dxa" w:w="1928"/>
          </w:tcPr>
          <w:p>
            <w:r>
              <w:rPr>
                <w:sz w:val="16"/>
              </w:rPr>
              <w:t>Avoid leakage</w:t>
            </w:r>
          </w:p>
        </w:tc>
        <w:tc>
          <w:tcPr>
            <w:tcW w:type="dxa" w:w="2154"/>
          </w:tcPr>
          <w:p>
            <w:r>
              <w:rPr>
                <w:sz w:val="16"/>
              </w:rPr>
              <w:t>scikit-learn docs</w:t>
            </w:r>
          </w:p>
        </w:tc>
        <w:tc>
          <w:tcPr>
            <w:tcW w:type="dxa" w:w="567"/>
          </w:tcPr>
          <w:p>
            <w:r>
              <w:rPr>
                <w:sz w:val="16"/>
              </w:rPr>
              <w:t>2</w:t>
            </w:r>
          </w:p>
        </w:tc>
      </w:tr>
      <w:tr>
        <w:tc>
          <w:tcPr>
            <w:tcW w:type="dxa" w:w="1928"/>
          </w:tcPr>
          <w:p>
            <w:r>
              <w:rPr>
                <w:sz w:val="16"/>
              </w:rPr>
              <w:t>RNNs and vanishing gradients</w:t>
            </w:r>
          </w:p>
        </w:tc>
        <w:tc>
          <w:tcPr>
            <w:tcW w:type="dxa" w:w="2381"/>
          </w:tcPr>
          <w:p>
            <w:r>
              <w:rPr>
                <w:sz w:val="16"/>
              </w:rPr>
              <w:t>Why plain RNNs forget long history</w:t>
            </w:r>
          </w:p>
        </w:tc>
        <w:tc>
          <w:tcPr>
            <w:tcW w:type="dxa" w:w="1928"/>
          </w:tcPr>
          <w:p>
            <w:r>
              <w:rPr>
                <w:sz w:val="16"/>
              </w:rPr>
              <w:t>Justifies LSTM</w:t>
            </w:r>
          </w:p>
        </w:tc>
        <w:tc>
          <w:tcPr>
            <w:tcW w:type="dxa" w:w="2154"/>
          </w:tcPr>
          <w:p>
            <w:r>
              <w:rPr>
                <w:sz w:val="16"/>
              </w:rPr>
              <w:t>d2l.ai ch.9</w:t>
            </w:r>
          </w:p>
        </w:tc>
        <w:tc>
          <w:tcPr>
            <w:tcW w:type="dxa" w:w="567"/>
          </w:tcPr>
          <w:p>
            <w:r>
              <w:rPr>
                <w:sz w:val="16"/>
              </w:rPr>
              <w:t>2</w:t>
            </w:r>
          </w:p>
        </w:tc>
      </w:tr>
      <w:tr>
        <w:tc>
          <w:tcPr>
            <w:tcW w:type="dxa" w:w="1928"/>
          </w:tcPr>
          <w:p>
            <w:r>
              <w:rPr>
                <w:sz w:val="16"/>
              </w:rPr>
              <w:t>LSTM gates</w:t>
            </w:r>
          </w:p>
        </w:tc>
        <w:tc>
          <w:tcPr>
            <w:tcW w:type="dxa" w:w="2381"/>
          </w:tcPr>
          <w:p>
            <w:r>
              <w:rPr>
                <w:sz w:val="16"/>
              </w:rPr>
              <w:t>Forget, input, output gates and cell state</w:t>
            </w:r>
          </w:p>
        </w:tc>
        <w:tc>
          <w:tcPr>
            <w:tcW w:type="dxa" w:w="1928"/>
          </w:tcPr>
          <w:p>
            <w:r>
              <w:rPr>
                <w:sz w:val="16"/>
              </w:rPr>
              <w:t>Explain your model in ch.3</w:t>
            </w:r>
          </w:p>
        </w:tc>
        <w:tc>
          <w:tcPr>
            <w:tcW w:type="dxa" w:w="2154"/>
          </w:tcPr>
          <w:p>
            <w:r>
              <w:rPr>
                <w:sz w:val="16"/>
              </w:rPr>
              <w:t>Hochreiter &amp; Schmidhuber; d2l.ai ch.10</w:t>
            </w:r>
          </w:p>
        </w:tc>
        <w:tc>
          <w:tcPr>
            <w:tcW w:type="dxa" w:w="567"/>
          </w:tcPr>
          <w:p>
            <w:r>
              <w:rPr>
                <w:sz w:val="16"/>
              </w:rPr>
              <w:t>2</w:t>
            </w:r>
          </w:p>
        </w:tc>
      </w:tr>
      <w:tr>
        <w:tc>
          <w:tcPr>
            <w:tcW w:type="dxa" w:w="1928"/>
          </w:tcPr>
          <w:p>
            <w:r>
              <w:rPr>
                <w:sz w:val="16"/>
              </w:rPr>
              <w:t>Sequence windows (look-back)</w:t>
            </w:r>
          </w:p>
        </w:tc>
        <w:tc>
          <w:tcPr>
            <w:tcW w:type="dxa" w:w="2381"/>
          </w:tcPr>
          <w:p>
            <w:r>
              <w:rPr>
                <w:sz w:val="16"/>
              </w:rPr>
              <w:t>Input = last L days</w:t>
            </w:r>
          </w:p>
        </w:tc>
        <w:tc>
          <w:tcPr>
            <w:tcW w:type="dxa" w:w="1928"/>
          </w:tcPr>
          <w:p>
            <w:r>
              <w:rPr>
                <w:sz w:val="16"/>
              </w:rPr>
              <w:t>Model design; SHAP over time</w:t>
            </w:r>
          </w:p>
        </w:tc>
        <w:tc>
          <w:tcPr>
            <w:tcW w:type="dxa" w:w="2154"/>
          </w:tcPr>
          <w:p>
            <w:r>
              <w:rPr>
                <w:sz w:val="16"/>
              </w:rPr>
              <w:t>d2l.ai</w:t>
            </w:r>
          </w:p>
        </w:tc>
        <w:tc>
          <w:tcPr>
            <w:tcW w:type="dxa" w:w="567"/>
          </w:tcPr>
          <w:p>
            <w:r>
              <w:rPr>
                <w:sz w:val="16"/>
              </w:rPr>
              <w:t>3</w:t>
            </w:r>
          </w:p>
        </w:tc>
      </w:tr>
      <w:tr>
        <w:tc>
          <w:tcPr>
            <w:tcW w:type="dxa" w:w="1928"/>
          </w:tcPr>
          <w:p>
            <w:r>
              <w:rPr>
                <w:sz w:val="16"/>
              </w:rPr>
              <w:t>Loss, optimiser, learning rate</w:t>
            </w:r>
          </w:p>
        </w:tc>
        <w:tc>
          <w:tcPr>
            <w:tcW w:type="dxa" w:w="2381"/>
          </w:tcPr>
          <w:p>
            <w:r>
              <w:rPr>
                <w:sz w:val="16"/>
              </w:rPr>
              <w:t>MSE; Adam; step size</w:t>
            </w:r>
          </w:p>
        </w:tc>
        <w:tc>
          <w:tcPr>
            <w:tcW w:type="dxa" w:w="1928"/>
          </w:tcPr>
          <w:p>
            <w:r>
              <w:rPr>
                <w:sz w:val="16"/>
              </w:rPr>
              <w:t>Training</w:t>
            </w:r>
          </w:p>
        </w:tc>
        <w:tc>
          <w:tcPr>
            <w:tcW w:type="dxa" w:w="2154"/>
          </w:tcPr>
          <w:p>
            <w:r>
              <w:rPr>
                <w:sz w:val="16"/>
              </w:rPr>
              <w:t>d2l.ai</w:t>
            </w:r>
          </w:p>
        </w:tc>
        <w:tc>
          <w:tcPr>
            <w:tcW w:type="dxa" w:w="567"/>
          </w:tcPr>
          <w:p>
            <w:r>
              <w:rPr>
                <w:sz w:val="16"/>
              </w:rPr>
              <w:t>3</w:t>
            </w:r>
          </w:p>
        </w:tc>
      </w:tr>
      <w:tr>
        <w:tc>
          <w:tcPr>
            <w:tcW w:type="dxa" w:w="1928"/>
          </w:tcPr>
          <w:p>
            <w:r>
              <w:rPr>
                <w:sz w:val="16"/>
              </w:rPr>
              <w:t>Early stopping, dropout, weight decay</w:t>
            </w:r>
          </w:p>
        </w:tc>
        <w:tc>
          <w:tcPr>
            <w:tcW w:type="dxa" w:w="2381"/>
          </w:tcPr>
          <w:p>
            <w:r>
              <w:rPr>
                <w:sz w:val="16"/>
              </w:rPr>
              <w:t>Ways to prevent overfitting</w:t>
            </w:r>
          </w:p>
        </w:tc>
        <w:tc>
          <w:tcPr>
            <w:tcW w:type="dxa" w:w="1928"/>
          </w:tcPr>
          <w:p>
            <w:r>
              <w:rPr>
                <w:sz w:val="16"/>
              </w:rPr>
              <w:t>Training</w:t>
            </w:r>
          </w:p>
        </w:tc>
        <w:tc>
          <w:tcPr>
            <w:tcW w:type="dxa" w:w="2154"/>
          </w:tcPr>
          <w:p>
            <w:r>
              <w:rPr>
                <w:sz w:val="16"/>
              </w:rPr>
              <w:t>Srivastava et al.</w:t>
            </w:r>
          </w:p>
        </w:tc>
        <w:tc>
          <w:tcPr>
            <w:tcW w:type="dxa" w:w="567"/>
          </w:tcPr>
          <w:p>
            <w:r>
              <w:rPr>
                <w:sz w:val="16"/>
              </w:rPr>
              <w:t>3</w:t>
            </w:r>
          </w:p>
        </w:tc>
      </w:tr>
      <w:tr>
        <w:tc>
          <w:tcPr>
            <w:tcW w:type="dxa" w:w="1928"/>
          </w:tcPr>
          <w:p>
            <w:r>
              <w:rPr>
                <w:sz w:val="16"/>
              </w:rPr>
              <w:t>Random seeds and non-determinism</w:t>
            </w:r>
          </w:p>
        </w:tc>
        <w:tc>
          <w:tcPr>
            <w:tcW w:type="dxa" w:w="2381"/>
          </w:tcPr>
          <w:p>
            <w:r>
              <w:rPr>
                <w:sz w:val="16"/>
              </w:rPr>
              <w:t>Same code, different results</w:t>
            </w:r>
          </w:p>
        </w:tc>
        <w:tc>
          <w:tcPr>
            <w:tcW w:type="dxa" w:w="1928"/>
          </w:tcPr>
          <w:p>
            <w:r>
              <w:rPr>
                <w:sz w:val="16"/>
              </w:rPr>
              <w:t>RQ4 and reproducibility</w:t>
            </w:r>
          </w:p>
        </w:tc>
        <w:tc>
          <w:tcPr>
            <w:tcW w:type="dxa" w:w="2154"/>
          </w:tcPr>
          <w:p>
            <w:r>
              <w:rPr>
                <w:sz w:val="16"/>
              </w:rPr>
              <w:t>PyTorch docs</w:t>
            </w:r>
          </w:p>
        </w:tc>
        <w:tc>
          <w:tcPr>
            <w:tcW w:type="dxa" w:w="567"/>
          </w:tcPr>
          <w:p>
            <w:r>
              <w:rPr>
                <w:sz w:val="16"/>
              </w:rPr>
              <w:t>4</w:t>
            </w:r>
          </w:p>
        </w:tc>
      </w:tr>
      <w:tr>
        <w:tc>
          <w:tcPr>
            <w:tcW w:type="dxa" w:w="1928"/>
          </w:tcPr>
          <w:p>
            <w:r>
              <w:rPr>
                <w:sz w:val="16"/>
              </w:rPr>
              <w:t>Hyperparameter tuning without test data</w:t>
            </w:r>
          </w:p>
        </w:tc>
        <w:tc>
          <w:tcPr>
            <w:tcW w:type="dxa" w:w="2381"/>
          </w:tcPr>
          <w:p>
            <w:r>
              <w:rPr>
                <w:sz w:val="16"/>
              </w:rPr>
              <w:t>Small grid on validation only</w:t>
            </w:r>
          </w:p>
        </w:tc>
        <w:tc>
          <w:tcPr>
            <w:tcW w:type="dxa" w:w="1928"/>
          </w:tcPr>
          <w:p>
            <w:r>
              <w:rPr>
                <w:sz w:val="16"/>
              </w:rPr>
              <w:t>Honest results</w:t>
            </w:r>
          </w:p>
        </w:tc>
        <w:tc>
          <w:tcPr>
            <w:tcW w:type="dxa" w:w="2154"/>
          </w:tcPr>
          <w:p>
            <w:r>
              <w:rPr>
                <w:sz w:val="16"/>
              </w:rPr>
              <w:t>FPP3</w:t>
            </w:r>
          </w:p>
        </w:tc>
        <w:tc>
          <w:tcPr>
            <w:tcW w:type="dxa" w:w="567"/>
          </w:tcPr>
          <w:p>
            <w:r>
              <w:rPr>
                <w:sz w:val="16"/>
              </w:rPr>
              <w:t>4</w:t>
            </w:r>
          </w:p>
        </w:tc>
      </w:tr>
    </w:tbl>
    <w:p>
      <w:pPr>
        <w:spacing w:after="40"/>
      </w:pPr>
    </w:p>
    <w:p>
      <w:pPr>
        <w:pStyle w:val="Heading2"/>
      </w:pPr>
      <w:r>
        <w:rPr>
          <w:color w:val="1F4E79"/>
        </w:rPr>
        <w:t>10.2 Explainable AI</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28"/>
            <w:shd w:val="clear" w:color="auto" w:fill="1F4E79"/>
          </w:tcPr>
          <w:p>
            <w:r>
              <w:rPr>
                <w:b/>
                <w:color w:val="FFFFFF"/>
                <w:sz w:val="16"/>
              </w:rPr>
              <w:t>Concept</w:t>
            </w:r>
          </w:p>
        </w:tc>
        <w:tc>
          <w:tcPr>
            <w:tcW w:type="dxa" w:w="2381"/>
            <w:shd w:val="clear" w:color="auto" w:fill="1F4E79"/>
          </w:tcPr>
          <w:p>
            <w:r>
              <w:rPr>
                <w:b/>
                <w:color w:val="FFFFFF"/>
                <w:sz w:val="16"/>
              </w:rPr>
              <w:t>What it is</w:t>
            </w:r>
          </w:p>
        </w:tc>
        <w:tc>
          <w:tcPr>
            <w:tcW w:type="dxa" w:w="1928"/>
            <w:shd w:val="clear" w:color="auto" w:fill="1F4E79"/>
          </w:tcPr>
          <w:p>
            <w:r>
              <w:rPr>
                <w:b/>
                <w:color w:val="FFFFFF"/>
                <w:sz w:val="16"/>
              </w:rPr>
              <w:t>Why you need it</w:t>
            </w:r>
          </w:p>
        </w:tc>
        <w:tc>
          <w:tcPr>
            <w:tcW w:type="dxa" w:w="2154"/>
            <w:shd w:val="clear" w:color="auto" w:fill="1F4E79"/>
          </w:tcPr>
          <w:p>
            <w:r>
              <w:rPr>
                <w:b/>
                <w:color w:val="FFFFFF"/>
                <w:sz w:val="16"/>
              </w:rPr>
              <w:t>Learn from</w:t>
            </w:r>
          </w:p>
        </w:tc>
        <w:tc>
          <w:tcPr>
            <w:tcW w:type="dxa" w:w="567"/>
            <w:shd w:val="clear" w:color="auto" w:fill="1F4E79"/>
          </w:tcPr>
          <w:p>
            <w:r>
              <w:rPr>
                <w:b/>
                <w:color w:val="FFFFFF"/>
                <w:sz w:val="16"/>
              </w:rPr>
              <w:t>Week</w:t>
            </w:r>
          </w:p>
        </w:tc>
      </w:tr>
      <w:tr>
        <w:tc>
          <w:tcPr>
            <w:tcW w:type="dxa" w:w="1928"/>
          </w:tcPr>
          <w:p>
            <w:r>
              <w:rPr>
                <w:sz w:val="16"/>
              </w:rPr>
              <w:t>Shapley values</w:t>
            </w:r>
          </w:p>
        </w:tc>
        <w:tc>
          <w:tcPr>
            <w:tcW w:type="dxa" w:w="2381"/>
          </w:tcPr>
          <w:p>
            <w:r>
              <w:rPr>
                <w:sz w:val="16"/>
              </w:rPr>
              <w:t>Fair split of a payoff among players; efficiency, symmetry, dummy, additivity</w:t>
            </w:r>
          </w:p>
        </w:tc>
        <w:tc>
          <w:tcPr>
            <w:tcW w:type="dxa" w:w="1928"/>
          </w:tcPr>
          <w:p>
            <w:r>
              <w:rPr>
                <w:sz w:val="16"/>
              </w:rPr>
              <w:t>Theory behind SHAP</w:t>
            </w:r>
          </w:p>
        </w:tc>
        <w:tc>
          <w:tcPr>
            <w:tcW w:type="dxa" w:w="2154"/>
          </w:tcPr>
          <w:p>
            <w:r>
              <w:rPr>
                <w:sz w:val="16"/>
              </w:rPr>
              <w:t>Molnar ch. Shapley</w:t>
            </w:r>
          </w:p>
        </w:tc>
        <w:tc>
          <w:tcPr>
            <w:tcW w:type="dxa" w:w="567"/>
          </w:tcPr>
          <w:p>
            <w:r>
              <w:rPr>
                <w:sz w:val="16"/>
              </w:rPr>
              <w:t>2</w:t>
            </w:r>
          </w:p>
        </w:tc>
      </w:tr>
      <w:tr>
        <w:tc>
          <w:tcPr>
            <w:tcW w:type="dxa" w:w="1928"/>
          </w:tcPr>
          <w:p>
            <w:r>
              <w:rPr>
                <w:sz w:val="16"/>
              </w:rPr>
              <w:t>SHAP family</w:t>
            </w:r>
          </w:p>
        </w:tc>
        <w:tc>
          <w:tcPr>
            <w:tcW w:type="dxa" w:w="2381"/>
          </w:tcPr>
          <w:p>
            <w:r>
              <w:rPr>
                <w:sz w:val="16"/>
              </w:rPr>
              <w:t>KernelSHAP, TreeSHAP, DeepSHAP, GradientSHAP</w:t>
            </w:r>
          </w:p>
        </w:tc>
        <w:tc>
          <w:tcPr>
            <w:tcW w:type="dxa" w:w="1928"/>
          </w:tcPr>
          <w:p>
            <w:r>
              <w:rPr>
                <w:sz w:val="16"/>
              </w:rPr>
              <w:t>Justify GradientSHAP</w:t>
            </w:r>
          </w:p>
        </w:tc>
        <w:tc>
          <w:tcPr>
            <w:tcW w:type="dxa" w:w="2154"/>
          </w:tcPr>
          <w:p>
            <w:r>
              <w:rPr>
                <w:sz w:val="16"/>
              </w:rPr>
              <w:t>Lundberg &amp; Lee; Molnar</w:t>
            </w:r>
          </w:p>
        </w:tc>
        <w:tc>
          <w:tcPr>
            <w:tcW w:type="dxa" w:w="567"/>
          </w:tcPr>
          <w:p>
            <w:r>
              <w:rPr>
                <w:sz w:val="16"/>
              </w:rPr>
              <w:t>2</w:t>
            </w:r>
          </w:p>
        </w:tc>
      </w:tr>
      <w:tr>
        <w:tc>
          <w:tcPr>
            <w:tcW w:type="dxa" w:w="1928"/>
          </w:tcPr>
          <w:p>
            <w:r>
              <w:rPr>
                <w:sz w:val="16"/>
              </w:rPr>
              <w:t>Integrated Gradients / expected gradients</w:t>
            </w:r>
          </w:p>
        </w:tc>
        <w:tc>
          <w:tcPr>
            <w:tcW w:type="dxa" w:w="2381"/>
          </w:tcPr>
          <w:p>
            <w:r>
              <w:rPr>
                <w:sz w:val="16"/>
              </w:rPr>
              <w:t>Path-based attributions for neural networks</w:t>
            </w:r>
          </w:p>
        </w:tc>
        <w:tc>
          <w:tcPr>
            <w:tcW w:type="dxa" w:w="1928"/>
          </w:tcPr>
          <w:p>
            <w:r>
              <w:rPr>
                <w:sz w:val="16"/>
              </w:rPr>
              <w:t>How GradientSHAP works; cross-check</w:t>
            </w:r>
          </w:p>
        </w:tc>
        <w:tc>
          <w:tcPr>
            <w:tcW w:type="dxa" w:w="2154"/>
          </w:tcPr>
          <w:p>
            <w:r>
              <w:rPr>
                <w:sz w:val="16"/>
              </w:rPr>
              <w:t>Sundararajan et al.; Erion et al.</w:t>
            </w:r>
          </w:p>
        </w:tc>
        <w:tc>
          <w:tcPr>
            <w:tcW w:type="dxa" w:w="567"/>
          </w:tcPr>
          <w:p>
            <w:r>
              <w:rPr>
                <w:sz w:val="16"/>
              </w:rPr>
              <w:t>7</w:t>
            </w:r>
          </w:p>
        </w:tc>
      </w:tr>
      <w:tr>
        <w:tc>
          <w:tcPr>
            <w:tcW w:type="dxa" w:w="1928"/>
          </w:tcPr>
          <w:p>
            <w:r>
              <w:rPr>
                <w:sz w:val="16"/>
              </w:rPr>
              <w:t>Baseline (background) distribution</w:t>
            </w:r>
          </w:p>
        </w:tc>
        <w:tc>
          <w:tcPr>
            <w:tcW w:type="dxa" w:w="2381"/>
          </w:tcPr>
          <w:p>
            <w:r>
              <w:rPr>
                <w:sz w:val="16"/>
              </w:rPr>
              <w:t>Reference inputs attributions are measured against</w:t>
            </w:r>
          </w:p>
        </w:tc>
        <w:tc>
          <w:tcPr>
            <w:tcW w:type="dxa" w:w="1928"/>
          </w:tcPr>
          <w:p>
            <w:r>
              <w:rPr>
                <w:sz w:val="16"/>
              </w:rPr>
              <w:t>Results depend on it; must justify</w:t>
            </w:r>
          </w:p>
        </w:tc>
        <w:tc>
          <w:tcPr>
            <w:tcW w:type="dxa" w:w="2154"/>
          </w:tcPr>
          <w:p>
            <w:r>
              <w:rPr>
                <w:sz w:val="16"/>
              </w:rPr>
              <w:t>Captum docs</w:t>
            </w:r>
          </w:p>
        </w:tc>
        <w:tc>
          <w:tcPr>
            <w:tcW w:type="dxa" w:w="567"/>
          </w:tcPr>
          <w:p>
            <w:r>
              <w:rPr>
                <w:sz w:val="16"/>
              </w:rPr>
              <w:t>7</w:t>
            </w:r>
          </w:p>
        </w:tc>
      </w:tr>
      <w:tr>
        <w:tc>
          <w:tcPr>
            <w:tcW w:type="dxa" w:w="1928"/>
          </w:tcPr>
          <w:p>
            <w:r>
              <w:rPr>
                <w:sz w:val="16"/>
              </w:rPr>
              <w:t>Local vs global explanations</w:t>
            </w:r>
          </w:p>
        </w:tc>
        <w:tc>
          <w:tcPr>
            <w:tcW w:type="dxa" w:w="2381"/>
          </w:tcPr>
          <w:p>
            <w:r>
              <w:rPr>
                <w:sz w:val="16"/>
              </w:rPr>
              <w:t>One forecast vs average behaviour</w:t>
            </w:r>
          </w:p>
        </w:tc>
        <w:tc>
          <w:tcPr>
            <w:tcW w:type="dxa" w:w="1928"/>
          </w:tcPr>
          <w:p>
            <w:r>
              <w:rPr>
                <w:sz w:val="16"/>
              </w:rPr>
              <w:t>Window-level shares are global</w:t>
            </w:r>
          </w:p>
        </w:tc>
        <w:tc>
          <w:tcPr>
            <w:tcW w:type="dxa" w:w="2154"/>
          </w:tcPr>
          <w:p>
            <w:r>
              <w:rPr>
                <w:sz w:val="16"/>
              </w:rPr>
              <w:t>Molnar</w:t>
            </w:r>
          </w:p>
        </w:tc>
        <w:tc>
          <w:tcPr>
            <w:tcW w:type="dxa" w:w="567"/>
          </w:tcPr>
          <w:p>
            <w:r>
              <w:rPr>
                <w:sz w:val="16"/>
              </w:rPr>
              <w:t>7</w:t>
            </w:r>
          </w:p>
        </w:tc>
      </w:tr>
      <w:tr>
        <w:tc>
          <w:tcPr>
            <w:tcW w:type="dxa" w:w="1928"/>
          </w:tcPr>
          <w:p>
            <w:r>
              <w:rPr>
                <w:sz w:val="16"/>
              </w:rPr>
              <w:t>Grouped attributions</w:t>
            </w:r>
          </w:p>
        </w:tc>
        <w:tc>
          <w:tcPr>
            <w:tcW w:type="dxa" w:w="2381"/>
          </w:tcPr>
          <w:p>
            <w:r>
              <w:rPr>
                <w:sz w:val="16"/>
              </w:rPr>
              <w:t>Summing attributions within a channel</w:t>
            </w:r>
          </w:p>
        </w:tc>
        <w:tc>
          <w:tcPr>
            <w:tcW w:type="dxa" w:w="1928"/>
          </w:tcPr>
          <w:p>
            <w:r>
              <w:rPr>
                <w:sz w:val="16"/>
              </w:rPr>
              <w:t>Your fingerprint measure</w:t>
            </w:r>
          </w:p>
        </w:tc>
        <w:tc>
          <w:tcPr>
            <w:tcW w:type="dxa" w:w="2154"/>
          </w:tcPr>
          <w:p>
            <w:r>
              <w:rPr>
                <w:sz w:val="16"/>
              </w:rPr>
              <w:t>Aas et al.</w:t>
            </w:r>
          </w:p>
        </w:tc>
        <w:tc>
          <w:tcPr>
            <w:tcW w:type="dxa" w:w="567"/>
          </w:tcPr>
          <w:p>
            <w:r>
              <w:rPr>
                <w:sz w:val="16"/>
              </w:rPr>
              <w:t>7</w:t>
            </w:r>
          </w:p>
        </w:tc>
      </w:tr>
      <w:tr>
        <w:tc>
          <w:tcPr>
            <w:tcW w:type="dxa" w:w="1928"/>
          </w:tcPr>
          <w:p>
            <w:r>
              <w:rPr>
                <w:sz w:val="16"/>
              </w:rPr>
              <w:t>Correlated-feature problem</w:t>
            </w:r>
          </w:p>
        </w:tc>
        <w:tc>
          <w:tcPr>
            <w:tcW w:type="dxa" w:w="2381"/>
          </w:tcPr>
          <w:p>
            <w:r>
              <w:rPr>
                <w:sz w:val="16"/>
              </w:rPr>
              <w:t>Credit split arbitrarily among correlated inputs</w:t>
            </w:r>
          </w:p>
        </w:tc>
        <w:tc>
          <w:tcPr>
            <w:tcW w:type="dxa" w:w="1928"/>
          </w:tcPr>
          <w:p>
            <w:r>
              <w:rPr>
                <w:sz w:val="16"/>
              </w:rPr>
              <w:t>Limitations; grouping</w:t>
            </w:r>
          </w:p>
        </w:tc>
        <w:tc>
          <w:tcPr>
            <w:tcW w:type="dxa" w:w="2154"/>
          </w:tcPr>
          <w:p>
            <w:r>
              <w:rPr>
                <w:sz w:val="16"/>
              </w:rPr>
              <w:t>Aas et al.; Kumar et al.</w:t>
            </w:r>
          </w:p>
        </w:tc>
        <w:tc>
          <w:tcPr>
            <w:tcW w:type="dxa" w:w="567"/>
          </w:tcPr>
          <w:p>
            <w:r>
              <w:rPr>
                <w:sz w:val="16"/>
              </w:rPr>
              <w:t>7</w:t>
            </w:r>
          </w:p>
        </w:tc>
      </w:tr>
      <w:tr>
        <w:tc>
          <w:tcPr>
            <w:tcW w:type="dxa" w:w="1928"/>
          </w:tcPr>
          <w:p>
            <w:r>
              <w:rPr>
                <w:sz w:val="16"/>
              </w:rPr>
              <w:t>Explanation stability</w:t>
            </w:r>
          </w:p>
        </w:tc>
        <w:tc>
          <w:tcPr>
            <w:tcW w:type="dxa" w:w="2381"/>
          </w:tcPr>
          <w:p>
            <w:r>
              <w:rPr>
                <w:sz w:val="16"/>
              </w:rPr>
              <w:t>Do explanations change with seeds/data?</w:t>
            </w:r>
          </w:p>
        </w:tc>
        <w:tc>
          <w:tcPr>
            <w:tcW w:type="dxa" w:w="1928"/>
          </w:tcPr>
          <w:p>
            <w:r>
              <w:rPr>
                <w:sz w:val="16"/>
              </w:rPr>
              <w:t>RQ4</w:t>
            </w:r>
          </w:p>
        </w:tc>
        <w:tc>
          <w:tcPr>
            <w:tcW w:type="dxa" w:w="2154"/>
          </w:tcPr>
          <w:p>
            <w:r>
              <w:rPr>
                <w:sz w:val="16"/>
              </w:rPr>
              <w:t>Kumar et al.</w:t>
            </w:r>
          </w:p>
        </w:tc>
        <w:tc>
          <w:tcPr>
            <w:tcW w:type="dxa" w:w="567"/>
          </w:tcPr>
          <w:p>
            <w:r>
              <w:rPr>
                <w:sz w:val="16"/>
              </w:rPr>
              <w:t>8</w:t>
            </w:r>
          </w:p>
        </w:tc>
      </w:tr>
      <w:tr>
        <w:tc>
          <w:tcPr>
            <w:tcW w:type="dxa" w:w="1928"/>
          </w:tcPr>
          <w:p>
            <w:r>
              <w:rPr>
                <w:sz w:val="16"/>
              </w:rPr>
              <w:t>Permutation importance</w:t>
            </w:r>
          </w:p>
        </w:tc>
        <w:tc>
          <w:tcPr>
            <w:tcW w:type="dxa" w:w="2381"/>
          </w:tcPr>
          <w:p>
            <w:r>
              <w:rPr>
                <w:sz w:val="16"/>
              </w:rPr>
              <w:t>Accuracy drop when a group is shuffled</w:t>
            </w:r>
          </w:p>
        </w:tc>
        <w:tc>
          <w:tcPr>
            <w:tcW w:type="dxa" w:w="1928"/>
          </w:tcPr>
          <w:p>
            <w:r>
              <w:rPr>
                <w:sz w:val="16"/>
              </w:rPr>
              <w:t>Sanity check for SHAP</w:t>
            </w:r>
          </w:p>
        </w:tc>
        <w:tc>
          <w:tcPr>
            <w:tcW w:type="dxa" w:w="2154"/>
          </w:tcPr>
          <w:p>
            <w:r>
              <w:rPr>
                <w:sz w:val="16"/>
              </w:rPr>
              <w:t>Molnar</w:t>
            </w:r>
          </w:p>
        </w:tc>
        <w:tc>
          <w:tcPr>
            <w:tcW w:type="dxa" w:w="567"/>
          </w:tcPr>
          <w:p>
            <w:r>
              <w:rPr>
                <w:sz w:val="16"/>
              </w:rPr>
              <w:t>8</w:t>
            </w:r>
          </w:p>
        </w:tc>
      </w:tr>
      <w:tr>
        <w:tc>
          <w:tcPr>
            <w:tcW w:type="dxa" w:w="1928"/>
          </w:tcPr>
          <w:p>
            <w:r>
              <w:rPr>
                <w:sz w:val="16"/>
              </w:rPr>
              <w:t>Explanation ≠ causation</w:t>
            </w:r>
          </w:p>
        </w:tc>
        <w:tc>
          <w:tcPr>
            <w:tcW w:type="dxa" w:w="2381"/>
          </w:tcPr>
          <w:p>
            <w:r>
              <w:rPr>
                <w:sz w:val="16"/>
              </w:rPr>
              <w:t>Attributions describe the model, not the world</w:t>
            </w:r>
          </w:p>
        </w:tc>
        <w:tc>
          <w:tcPr>
            <w:tcW w:type="dxa" w:w="1928"/>
          </w:tcPr>
          <w:p>
            <w:r>
              <w:rPr>
                <w:sz w:val="16"/>
              </w:rPr>
              <w:t>Interpretation rule</w:t>
            </w:r>
          </w:p>
        </w:tc>
        <w:tc>
          <w:tcPr>
            <w:tcW w:type="dxa" w:w="2154"/>
          </w:tcPr>
          <w:p>
            <w:r>
              <w:rPr>
                <w:sz w:val="16"/>
              </w:rPr>
              <w:t>Rudin (2019)</w:t>
            </w:r>
          </w:p>
        </w:tc>
        <w:tc>
          <w:tcPr>
            <w:tcW w:type="dxa" w:w="567"/>
          </w:tcPr>
          <w:p>
            <w:r>
              <w:rPr>
                <w:sz w:val="16"/>
              </w:rPr>
              <w:t>8</w:t>
            </w:r>
          </w:p>
        </w:tc>
      </w:tr>
    </w:tbl>
    <w:p>
      <w:pPr>
        <w:spacing w:after="40"/>
      </w:pPr>
    </w:p>
    <w:p>
      <w:pPr>
        <w:pStyle w:val="Heading2"/>
      </w:pPr>
      <w:r>
        <w:rPr>
          <w:color w:val="1F4E79"/>
        </w:rPr>
        <w:t>10.3 Statistics and forecast evaluation</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28"/>
            <w:shd w:val="clear" w:color="auto" w:fill="1F4E79"/>
          </w:tcPr>
          <w:p>
            <w:r>
              <w:rPr>
                <w:b/>
                <w:color w:val="FFFFFF"/>
                <w:sz w:val="16"/>
              </w:rPr>
              <w:t>Concept</w:t>
            </w:r>
          </w:p>
        </w:tc>
        <w:tc>
          <w:tcPr>
            <w:tcW w:type="dxa" w:w="2381"/>
            <w:shd w:val="clear" w:color="auto" w:fill="1F4E79"/>
          </w:tcPr>
          <w:p>
            <w:r>
              <w:rPr>
                <w:b/>
                <w:color w:val="FFFFFF"/>
                <w:sz w:val="16"/>
              </w:rPr>
              <w:t>What it is</w:t>
            </w:r>
          </w:p>
        </w:tc>
        <w:tc>
          <w:tcPr>
            <w:tcW w:type="dxa" w:w="1928"/>
            <w:shd w:val="clear" w:color="auto" w:fill="1F4E79"/>
          </w:tcPr>
          <w:p>
            <w:r>
              <w:rPr>
                <w:b/>
                <w:color w:val="FFFFFF"/>
                <w:sz w:val="16"/>
              </w:rPr>
              <w:t>Why you need it</w:t>
            </w:r>
          </w:p>
        </w:tc>
        <w:tc>
          <w:tcPr>
            <w:tcW w:type="dxa" w:w="2154"/>
            <w:shd w:val="clear" w:color="auto" w:fill="1F4E79"/>
          </w:tcPr>
          <w:p>
            <w:r>
              <w:rPr>
                <w:b/>
                <w:color w:val="FFFFFF"/>
                <w:sz w:val="16"/>
              </w:rPr>
              <w:t>Learn from</w:t>
            </w:r>
          </w:p>
        </w:tc>
        <w:tc>
          <w:tcPr>
            <w:tcW w:type="dxa" w:w="567"/>
            <w:shd w:val="clear" w:color="auto" w:fill="1F4E79"/>
          </w:tcPr>
          <w:p>
            <w:r>
              <w:rPr>
                <w:b/>
                <w:color w:val="FFFFFF"/>
                <w:sz w:val="16"/>
              </w:rPr>
              <w:t>Week</w:t>
            </w:r>
          </w:p>
        </w:tc>
      </w:tr>
      <w:tr>
        <w:tc>
          <w:tcPr>
            <w:tcW w:type="dxa" w:w="1928"/>
          </w:tcPr>
          <w:p>
            <w:r>
              <w:rPr>
                <w:sz w:val="16"/>
              </w:rPr>
              <w:t>MSE, RMSE, MAE</w:t>
            </w:r>
          </w:p>
        </w:tc>
        <w:tc>
          <w:tcPr>
            <w:tcW w:type="dxa" w:w="2381"/>
          </w:tcPr>
          <w:p>
            <w:r>
              <w:rPr>
                <w:sz w:val="16"/>
              </w:rPr>
              <w:t>Standard error measures</w:t>
            </w:r>
          </w:p>
        </w:tc>
        <w:tc>
          <w:tcPr>
            <w:tcW w:type="dxa" w:w="1928"/>
          </w:tcPr>
          <w:p>
            <w:r>
              <w:rPr>
                <w:sz w:val="16"/>
              </w:rPr>
              <w:t>Reporting</w:t>
            </w:r>
          </w:p>
        </w:tc>
        <w:tc>
          <w:tcPr>
            <w:tcW w:type="dxa" w:w="2154"/>
          </w:tcPr>
          <w:p>
            <w:r>
              <w:rPr>
                <w:sz w:val="16"/>
              </w:rPr>
              <w:t>FPP3</w:t>
            </w:r>
          </w:p>
        </w:tc>
        <w:tc>
          <w:tcPr>
            <w:tcW w:type="dxa" w:w="567"/>
          </w:tcPr>
          <w:p>
            <w:r>
              <w:rPr>
                <w:sz w:val="16"/>
              </w:rPr>
              <w:t>3</w:t>
            </w:r>
          </w:p>
        </w:tc>
      </w:tr>
      <w:tr>
        <w:tc>
          <w:tcPr>
            <w:tcW w:type="dxa" w:w="1928"/>
          </w:tcPr>
          <w:p>
            <w:r>
              <w:rPr>
                <w:sz w:val="16"/>
              </w:rPr>
              <w:t>QLIKE</w:t>
            </w:r>
          </w:p>
        </w:tc>
        <w:tc>
          <w:tcPr>
            <w:tcW w:type="dxa" w:w="2381"/>
          </w:tcPr>
          <w:p>
            <w:r>
              <w:rPr>
                <w:sz w:val="16"/>
              </w:rPr>
              <w:t>Loss robust to noisy volatility proxies</w:t>
            </w:r>
          </w:p>
        </w:tc>
        <w:tc>
          <w:tcPr>
            <w:tcW w:type="dxa" w:w="1928"/>
          </w:tcPr>
          <w:p>
            <w:r>
              <w:rPr>
                <w:sz w:val="16"/>
              </w:rPr>
              <w:t>Primary loss</w:t>
            </w:r>
          </w:p>
        </w:tc>
        <w:tc>
          <w:tcPr>
            <w:tcW w:type="dxa" w:w="2154"/>
          </w:tcPr>
          <w:p>
            <w:r>
              <w:rPr>
                <w:sz w:val="16"/>
              </w:rPr>
              <w:t>Patton (2011)</w:t>
            </w:r>
          </w:p>
        </w:tc>
        <w:tc>
          <w:tcPr>
            <w:tcW w:type="dxa" w:w="567"/>
          </w:tcPr>
          <w:p>
            <w:r>
              <w:rPr>
                <w:sz w:val="16"/>
              </w:rPr>
              <w:t>3</w:t>
            </w:r>
          </w:p>
        </w:tc>
      </w:tr>
      <w:tr>
        <w:tc>
          <w:tcPr>
            <w:tcW w:type="dxa" w:w="1928"/>
          </w:tcPr>
          <w:p>
            <w:r>
              <w:rPr>
                <w:sz w:val="16"/>
              </w:rPr>
              <w:t>Diebold–Mariano test</w:t>
            </w:r>
          </w:p>
        </w:tc>
        <w:tc>
          <w:tcPr>
            <w:tcW w:type="dxa" w:w="2381"/>
          </w:tcPr>
          <w:p>
            <w:r>
              <w:rPr>
                <w:sz w:val="16"/>
              </w:rPr>
              <w:t>Is one model’s average loss significantly lower?</w:t>
            </w:r>
          </w:p>
        </w:tc>
        <w:tc>
          <w:tcPr>
            <w:tcW w:type="dxa" w:w="1928"/>
          </w:tcPr>
          <w:p>
            <w:r>
              <w:rPr>
                <w:sz w:val="16"/>
              </w:rPr>
              <w:t>RQ1</w:t>
            </w:r>
          </w:p>
        </w:tc>
        <w:tc>
          <w:tcPr>
            <w:tcW w:type="dxa" w:w="2154"/>
          </w:tcPr>
          <w:p>
            <w:r>
              <w:rPr>
                <w:sz w:val="16"/>
              </w:rPr>
              <w:t>Diebold &amp; Mariano</w:t>
            </w:r>
          </w:p>
        </w:tc>
        <w:tc>
          <w:tcPr>
            <w:tcW w:type="dxa" w:w="567"/>
          </w:tcPr>
          <w:p>
            <w:r>
              <w:rPr>
                <w:sz w:val="16"/>
              </w:rPr>
              <w:t>6</w:t>
            </w:r>
          </w:p>
        </w:tc>
      </w:tr>
      <w:tr>
        <w:tc>
          <w:tcPr>
            <w:tcW w:type="dxa" w:w="1928"/>
          </w:tcPr>
          <w:p>
            <w:r>
              <w:rPr>
                <w:sz w:val="16"/>
              </w:rPr>
              <w:t>HAC / Newey–West variance</w:t>
            </w:r>
          </w:p>
        </w:tc>
        <w:tc>
          <w:tcPr>
            <w:tcW w:type="dxa" w:w="2381"/>
          </w:tcPr>
          <w:p>
            <w:r>
              <w:rPr>
                <w:sz w:val="16"/>
              </w:rPr>
              <w:t>Standard errors robust to autocorrelation</w:t>
            </w:r>
          </w:p>
        </w:tc>
        <w:tc>
          <w:tcPr>
            <w:tcW w:type="dxa" w:w="1928"/>
          </w:tcPr>
          <w:p>
            <w:r>
              <w:rPr>
                <w:sz w:val="16"/>
              </w:rPr>
              <w:t>Overlapping 5-day forecasts</w:t>
            </w:r>
          </w:p>
        </w:tc>
        <w:tc>
          <w:tcPr>
            <w:tcW w:type="dxa" w:w="2154"/>
          </w:tcPr>
          <w:p>
            <w:r>
              <w:rPr>
                <w:sz w:val="16"/>
              </w:rPr>
              <w:t>Brooks</w:t>
            </w:r>
          </w:p>
        </w:tc>
        <w:tc>
          <w:tcPr>
            <w:tcW w:type="dxa" w:w="567"/>
          </w:tcPr>
          <w:p>
            <w:r>
              <w:rPr>
                <w:sz w:val="16"/>
              </w:rPr>
              <w:t>6</w:t>
            </w:r>
          </w:p>
        </w:tc>
      </w:tr>
      <w:tr>
        <w:tc>
          <w:tcPr>
            <w:tcW w:type="dxa" w:w="1928"/>
          </w:tcPr>
          <w:p>
            <w:r>
              <w:rPr>
                <w:sz w:val="16"/>
              </w:rPr>
              <w:t>Harvey–Leybourne–Newbold correction</w:t>
            </w:r>
          </w:p>
        </w:tc>
        <w:tc>
          <w:tcPr>
            <w:tcW w:type="dxa" w:w="2381"/>
          </w:tcPr>
          <w:p>
            <w:r>
              <w:rPr>
                <w:sz w:val="16"/>
              </w:rPr>
              <w:t>Small-sample adjustment to DM</w:t>
            </w:r>
          </w:p>
        </w:tc>
        <w:tc>
          <w:tcPr>
            <w:tcW w:type="dxa" w:w="1928"/>
          </w:tcPr>
          <w:p>
            <w:r>
              <w:rPr>
                <w:sz w:val="16"/>
              </w:rPr>
              <w:t>RQ1</w:t>
            </w:r>
          </w:p>
        </w:tc>
        <w:tc>
          <w:tcPr>
            <w:tcW w:type="dxa" w:w="2154"/>
          </w:tcPr>
          <w:p>
            <w:r>
              <w:rPr>
                <w:sz w:val="16"/>
              </w:rPr>
              <w:t>HLN (1997)</w:t>
            </w:r>
          </w:p>
        </w:tc>
        <w:tc>
          <w:tcPr>
            <w:tcW w:type="dxa" w:w="567"/>
          </w:tcPr>
          <w:p>
            <w:r>
              <w:rPr>
                <w:sz w:val="16"/>
              </w:rPr>
              <w:t>6</w:t>
            </w:r>
          </w:p>
        </w:tc>
      </w:tr>
      <w:tr>
        <w:tc>
          <w:tcPr>
            <w:tcW w:type="dxa" w:w="1928"/>
          </w:tcPr>
          <w:p>
            <w:r>
              <w:rPr>
                <w:sz w:val="16"/>
              </w:rPr>
              <w:t>Block bootstrap</w:t>
            </w:r>
          </w:p>
        </w:tc>
        <w:tc>
          <w:tcPr>
            <w:tcW w:type="dxa" w:w="2381"/>
          </w:tcPr>
          <w:p>
            <w:r>
              <w:rPr>
                <w:sz w:val="16"/>
              </w:rPr>
              <w:t>Resampling blocks of days to keep time dependence</w:t>
            </w:r>
          </w:p>
        </w:tc>
        <w:tc>
          <w:tcPr>
            <w:tcW w:type="dxa" w:w="1928"/>
          </w:tcPr>
          <w:p>
            <w:r>
              <w:rPr>
                <w:sz w:val="16"/>
              </w:rPr>
              <w:t>Confidence intervals for SHAP shares</w:t>
            </w:r>
          </w:p>
        </w:tc>
        <w:tc>
          <w:tcPr>
            <w:tcW w:type="dxa" w:w="2154"/>
          </w:tcPr>
          <w:p>
            <w:r>
              <w:rPr>
                <w:sz w:val="16"/>
              </w:rPr>
              <w:t>Brooks; any bootstrap tutorial</w:t>
            </w:r>
          </w:p>
        </w:tc>
        <w:tc>
          <w:tcPr>
            <w:tcW w:type="dxa" w:w="567"/>
          </w:tcPr>
          <w:p>
            <w:r>
              <w:rPr>
                <w:sz w:val="16"/>
              </w:rPr>
              <w:t>7</w:t>
            </w:r>
          </w:p>
        </w:tc>
      </w:tr>
      <w:tr>
        <w:tc>
          <w:tcPr>
            <w:tcW w:type="dxa" w:w="1928"/>
          </w:tcPr>
          <w:p>
            <w:r>
              <w:rPr>
                <w:sz w:val="16"/>
              </w:rPr>
              <w:t>Spearman / Kendall rank correlation</w:t>
            </w:r>
          </w:p>
        </w:tc>
        <w:tc>
          <w:tcPr>
            <w:tcW w:type="dxa" w:w="2381"/>
          </w:tcPr>
          <w:p>
            <w:r>
              <w:rPr>
                <w:sz w:val="16"/>
              </w:rPr>
              <w:t>Agreement between rankings</w:t>
            </w:r>
          </w:p>
        </w:tc>
        <w:tc>
          <w:tcPr>
            <w:tcW w:type="dxa" w:w="1928"/>
          </w:tcPr>
          <w:p>
            <w:r>
              <w:rPr>
                <w:sz w:val="16"/>
              </w:rPr>
              <w:t>RQ4</w:t>
            </w:r>
          </w:p>
        </w:tc>
        <w:tc>
          <w:tcPr>
            <w:tcW w:type="dxa" w:w="2154"/>
          </w:tcPr>
          <w:p>
            <w:r>
              <w:rPr>
                <w:sz w:val="16"/>
              </w:rPr>
              <w:t>any statistics text</w:t>
            </w:r>
          </w:p>
        </w:tc>
        <w:tc>
          <w:tcPr>
            <w:tcW w:type="dxa" w:w="567"/>
          </w:tcPr>
          <w:p>
            <w:r>
              <w:rPr>
                <w:sz w:val="16"/>
              </w:rPr>
              <w:t>8</w:t>
            </w:r>
          </w:p>
        </w:tc>
      </w:tr>
      <w:tr>
        <w:tc>
          <w:tcPr>
            <w:tcW w:type="dxa" w:w="1928"/>
          </w:tcPr>
          <w:p>
            <w:r>
              <w:rPr>
                <w:sz w:val="16"/>
              </w:rPr>
              <w:t>Mincer–Zarnowitz regression</w:t>
            </w:r>
          </w:p>
        </w:tc>
        <w:tc>
          <w:tcPr>
            <w:tcW w:type="dxa" w:w="2381"/>
          </w:tcPr>
          <w:p>
            <w:r>
              <w:rPr>
                <w:sz w:val="16"/>
              </w:rPr>
              <w:t>Regress outcome on forecast; ideal: intercept 0, slope 1</w:t>
            </w:r>
          </w:p>
        </w:tc>
        <w:tc>
          <w:tcPr>
            <w:tcW w:type="dxa" w:w="1928"/>
          </w:tcPr>
          <w:p>
            <w:r>
              <w:rPr>
                <w:sz w:val="16"/>
              </w:rPr>
              <w:t>Optional bias check</w:t>
            </w:r>
          </w:p>
        </w:tc>
        <w:tc>
          <w:tcPr>
            <w:tcW w:type="dxa" w:w="2154"/>
          </w:tcPr>
          <w:p>
            <w:r>
              <w:rPr>
                <w:sz w:val="16"/>
              </w:rPr>
              <w:t>Patton (2011)</w:t>
            </w:r>
          </w:p>
        </w:tc>
        <w:tc>
          <w:tcPr>
            <w:tcW w:type="dxa" w:w="567"/>
          </w:tcPr>
          <w:p>
            <w:r>
              <w:rPr>
                <w:sz w:val="16"/>
              </w:rPr>
              <w:t>6</w:t>
            </w:r>
          </w:p>
        </w:tc>
      </w:tr>
      <w:tr>
        <w:tc>
          <w:tcPr>
            <w:tcW w:type="dxa" w:w="1928"/>
          </w:tcPr>
          <w:p>
            <w:r>
              <w:rPr>
                <w:sz w:val="16"/>
              </w:rPr>
              <w:t>Model Confidence Set</w:t>
            </w:r>
          </w:p>
        </w:tc>
        <w:tc>
          <w:tcPr>
            <w:tcW w:type="dxa" w:w="2381"/>
          </w:tcPr>
          <w:p>
            <w:r>
              <w:rPr>
                <w:sz w:val="16"/>
              </w:rPr>
              <w:t>Set of models not significantly worse than the best</w:t>
            </w:r>
          </w:p>
        </w:tc>
        <w:tc>
          <w:tcPr>
            <w:tcW w:type="dxa" w:w="1928"/>
          </w:tcPr>
          <w:p>
            <w:r>
              <w:rPr>
                <w:sz w:val="16"/>
              </w:rPr>
              <w:t>Optional</w:t>
            </w:r>
          </w:p>
        </w:tc>
        <w:tc>
          <w:tcPr>
            <w:tcW w:type="dxa" w:w="2154"/>
          </w:tcPr>
          <w:p>
            <w:r>
              <w:rPr>
                <w:sz w:val="16"/>
              </w:rPr>
              <w:t>Hansen et al. (2011)</w:t>
            </w:r>
          </w:p>
        </w:tc>
        <w:tc>
          <w:tcPr>
            <w:tcW w:type="dxa" w:w="567"/>
          </w:tcPr>
          <w:p>
            <w:r>
              <w:rPr>
                <w:sz w:val="16"/>
              </w:rPr>
              <w:t>—</w:t>
            </w:r>
          </w:p>
        </w:tc>
      </w:tr>
    </w:tbl>
    <w:p>
      <w:pPr>
        <w:spacing w:after="40"/>
      </w:pPr>
    </w:p>
    <w:p>
      <w:pPr>
        <w:pStyle w:val="Heading2"/>
      </w:pPr>
      <w:r>
        <w:rPr>
          <w:color w:val="1F4E79"/>
        </w:rPr>
        <w:t>10.4 Tools and environment</w:t>
      </w:r>
    </w:p>
    <w:tbl>
      <w:tblPr>
        <w:tblStyle w:val="TableGrid"/>
        <w:tblW w:type="auto" w:w="0"/>
        <w:jc w:val="center"/>
        <w:tblLook w:firstColumn="1" w:firstRow="1" w:lastColumn="0" w:lastRow="0" w:noHBand="0" w:noVBand="1" w:val="04A0"/>
      </w:tblPr>
      <w:tblGrid>
        <w:gridCol w:w="3324"/>
        <w:gridCol w:w="3324"/>
        <w:gridCol w:w="3324"/>
      </w:tblGrid>
      <w:tr>
        <w:tc>
          <w:tcPr>
            <w:tcW w:type="dxa" w:w="2551"/>
            <w:shd w:val="clear" w:color="auto" w:fill="1F4E79"/>
          </w:tcPr>
          <w:p>
            <w:r>
              <w:rPr>
                <w:b/>
                <w:color w:val="FFFFFF"/>
                <w:sz w:val="17"/>
              </w:rPr>
              <w:t>Tool</w:t>
            </w:r>
          </w:p>
        </w:tc>
        <w:tc>
          <w:tcPr>
            <w:tcW w:type="dxa" w:w="3118"/>
            <w:shd w:val="clear" w:color="auto" w:fill="1F4E79"/>
          </w:tcPr>
          <w:p>
            <w:r>
              <w:rPr>
                <w:b/>
                <w:color w:val="FFFFFF"/>
                <w:sz w:val="17"/>
              </w:rPr>
              <w:t>Use</w:t>
            </w:r>
          </w:p>
        </w:tc>
        <w:tc>
          <w:tcPr>
            <w:tcW w:type="dxa" w:w="3969"/>
            <w:shd w:val="clear" w:color="auto" w:fill="1F4E79"/>
          </w:tcPr>
          <w:p>
            <w:r>
              <w:rPr>
                <w:b/>
                <w:color w:val="FFFFFF"/>
                <w:sz w:val="17"/>
              </w:rPr>
              <w:t>Status on your PC</w:t>
            </w:r>
          </w:p>
        </w:tc>
      </w:tr>
      <w:tr>
        <w:tc>
          <w:tcPr>
            <w:tcW w:type="dxa" w:w="2551"/>
          </w:tcPr>
          <w:p>
            <w:r>
              <w:rPr>
                <w:sz w:val="17"/>
              </w:rPr>
              <w:t>Python 3.13 (py -3.13)</w:t>
            </w:r>
          </w:p>
        </w:tc>
        <w:tc>
          <w:tcPr>
            <w:tcW w:type="dxa" w:w="3118"/>
          </w:tcPr>
          <w:p>
            <w:r>
              <w:rPr>
                <w:sz w:val="17"/>
              </w:rPr>
              <w:t>Everything</w:t>
            </w:r>
          </w:p>
        </w:tc>
        <w:tc>
          <w:tcPr>
            <w:tcW w:type="dxa" w:w="3969"/>
          </w:tcPr>
          <w:p>
            <w:r>
              <w:rPr>
                <w:sz w:val="17"/>
              </w:rPr>
              <w:t>Installed</w:t>
            </w:r>
          </w:p>
        </w:tc>
      </w:tr>
      <w:tr>
        <w:tc>
          <w:tcPr>
            <w:tcW w:type="dxa" w:w="2551"/>
          </w:tcPr>
          <w:p>
            <w:r>
              <w:rPr>
                <w:sz w:val="17"/>
              </w:rPr>
              <w:t>pandas, numpy, yfinance, matplotlib</w:t>
            </w:r>
          </w:p>
        </w:tc>
        <w:tc>
          <w:tcPr>
            <w:tcW w:type="dxa" w:w="3118"/>
          </w:tcPr>
          <w:p>
            <w:r>
              <w:rPr>
                <w:sz w:val="17"/>
              </w:rPr>
              <w:t>Data and charts</w:t>
            </w:r>
          </w:p>
        </w:tc>
        <w:tc>
          <w:tcPr>
            <w:tcW w:type="dxa" w:w="3969"/>
          </w:tcPr>
          <w:p>
            <w:r>
              <w:rPr>
                <w:sz w:val="17"/>
              </w:rPr>
              <w:t>Installed in this session (user-level)</w:t>
            </w:r>
          </w:p>
        </w:tc>
      </w:tr>
      <w:tr>
        <w:tc>
          <w:tcPr>
            <w:tcW w:type="dxa" w:w="2551"/>
          </w:tcPr>
          <w:p>
            <w:r>
              <w:rPr>
                <w:sz w:val="17"/>
              </w:rPr>
              <w:t>scikit-learn</w:t>
            </w:r>
          </w:p>
        </w:tc>
        <w:tc>
          <w:tcPr>
            <w:tcW w:type="dxa" w:w="3118"/>
          </w:tcPr>
          <w:p>
            <w:r>
              <w:rPr>
                <w:sz w:val="17"/>
              </w:rPr>
              <w:t>Scalers, metrics</w:t>
            </w:r>
          </w:p>
        </w:tc>
        <w:tc>
          <w:tcPr>
            <w:tcW w:type="dxa" w:w="3969"/>
          </w:tcPr>
          <w:p>
            <w:r>
              <w:rPr>
                <w:sz w:val="17"/>
              </w:rPr>
              <w:t>Installed</w:t>
            </w:r>
          </w:p>
        </w:tc>
      </w:tr>
      <w:tr>
        <w:tc>
          <w:tcPr>
            <w:tcW w:type="dxa" w:w="2551"/>
          </w:tcPr>
          <w:p>
            <w:r>
              <w:rPr>
                <w:sz w:val="17"/>
              </w:rPr>
              <w:t>arch</w:t>
            </w:r>
          </w:p>
        </w:tc>
        <w:tc>
          <w:tcPr>
            <w:tcW w:type="dxa" w:w="3118"/>
          </w:tcPr>
          <w:p>
            <w:r>
              <w:rPr>
                <w:sz w:val="17"/>
              </w:rPr>
              <w:t>GARCH</w:t>
            </w:r>
          </w:p>
        </w:tc>
        <w:tc>
          <w:tcPr>
            <w:tcW w:type="dxa" w:w="3969"/>
          </w:tcPr>
          <w:p>
            <w:r>
              <w:rPr>
                <w:sz w:val="17"/>
                <w:b w:val="0"/>
              </w:rPr>
              <w:t xml:space="preserve">Installed (8.0.0)</w:t>
            </w:r>
          </w:p>
        </w:tc>
      </w:tr>
      <w:tr>
        <w:tc>
          <w:tcPr>
            <w:tcW w:type="dxa" w:w="2551"/>
          </w:tcPr>
          <w:p>
            <w:r>
              <w:rPr>
                <w:sz w:val="17"/>
              </w:rPr>
              <w:t>statsmodels</w:t>
            </w:r>
          </w:p>
        </w:tc>
        <w:tc>
          <w:tcPr>
            <w:tcW w:type="dxa" w:w="3118"/>
          </w:tcPr>
          <w:p>
            <w:r>
              <w:rPr>
                <w:sz w:val="17"/>
              </w:rPr>
              <w:t>HAR (OLS), ADF, Newey–West</w:t>
            </w:r>
          </w:p>
        </w:tc>
        <w:tc>
          <w:tcPr>
            <w:tcW w:type="dxa" w:w="3969"/>
          </w:tcPr>
          <w:p>
            <w:r>
              <w:rPr>
                <w:sz w:val="17"/>
                <w:b w:val="0"/>
              </w:rPr>
              <w:t xml:space="preserve">Installed (0.15.0)</w:t>
            </w:r>
          </w:p>
        </w:tc>
      </w:tr>
      <w:tr>
        <w:tc>
          <w:tcPr>
            <w:tcW w:type="dxa" w:w="2551"/>
          </w:tcPr>
          <w:p>
            <w:r>
              <w:rPr>
                <w:sz w:val="17"/>
              </w:rPr>
              <w:t>PyTorch (CPU) + Captum</w:t>
            </w:r>
          </w:p>
        </w:tc>
        <w:tc>
          <w:tcPr>
            <w:tcW w:type="dxa" w:w="3118"/>
          </w:tcPr>
          <w:p>
            <w:r>
              <w:rPr>
                <w:sz w:val="17"/>
              </w:rPr>
              <w:t>LSTM and GradientShap</w:t>
            </w:r>
          </w:p>
        </w:tc>
        <w:tc>
          <w:tcPr>
            <w:tcW w:type="dxa" w:w="3969"/>
          </w:tcPr>
          <w:p>
            <w:r>
              <w:rPr>
                <w:sz w:val="17"/>
                <w:b w:val="0"/>
              </w:rPr>
              <w:t xml:space="preserve">Installed and tested (torch 2.14.0 CPU, Captum 0.9.0)</w:t>
            </w:r>
          </w:p>
        </w:tc>
      </w:tr>
      <w:tr>
        <w:tc>
          <w:tcPr>
            <w:tcW w:type="dxa" w:w="2551"/>
          </w:tcPr>
          <w:p>
            <w:r>
              <w:rPr>
                <w:sz w:val="17"/>
                <w:b w:val="0"/>
              </w:rPr>
              <w:t xml:space="preserve">Git + GitHub</w:t>
            </w:r>
          </w:p>
        </w:tc>
        <w:tc>
          <w:tcPr>
            <w:tcW w:type="dxa" w:w="3118"/>
          </w:tcPr>
          <w:p>
            <w:r>
              <w:rPr>
                <w:sz w:val="17"/>
              </w:rPr>
              <w:t>Version control; timestamped pre-registration</w:t>
            </w:r>
          </w:p>
        </w:tc>
        <w:tc>
          <w:tcPr>
            <w:tcW w:type="dxa" w:w="3969"/>
          </w:tcPr>
          <w:p>
            <w:r>
              <w:rPr>
                <w:sz w:val="17"/>
                <w:b w:val="0"/>
              </w:rPr>
              <w:t xml:space="preserve">Set up; public repository on GitHub (you push)</w:t>
            </w:r>
          </w:p>
        </w:tc>
      </w:tr>
      <w:tr>
        <w:tc>
          <w:tcPr>
            <w:tcW w:type="dxa" w:w="2551"/>
          </w:tcPr>
          <w:p>
            <w:r>
              <w:rPr>
                <w:sz w:val="17"/>
              </w:rPr>
              <w:t>Zotero</w:t>
            </w:r>
          </w:p>
        </w:tc>
        <w:tc>
          <w:tcPr>
            <w:tcW w:type="dxa" w:w="3118"/>
          </w:tcPr>
          <w:p>
            <w:r>
              <w:rPr>
                <w:sz w:val="17"/>
              </w:rPr>
              <w:t>References, Harvard style</w:t>
            </w:r>
          </w:p>
        </w:tc>
        <w:tc>
          <w:tcPr>
            <w:tcW w:type="dxa" w:w="3969"/>
          </w:tcPr>
          <w:p>
            <w:r>
              <w:rPr>
                <w:sz w:val="17"/>
              </w:rPr>
              <w:t>Install</w:t>
            </w:r>
          </w:p>
        </w:tc>
      </w:tr>
      <w:tr>
        <w:tc>
          <w:tcPr>
            <w:tcW w:type="dxa" w:w="2551"/>
          </w:tcPr>
          <w:p>
            <w:r>
              <w:rPr>
                <w:sz w:val="17"/>
              </w:rPr>
              <w:t>Google Colab</w:t>
            </w:r>
          </w:p>
        </w:tc>
        <w:tc>
          <w:tcPr>
            <w:tcW w:type="dxa" w:w="3118"/>
          </w:tcPr>
          <w:p>
            <w:r>
              <w:rPr>
                <w:sz w:val="17"/>
              </w:rPr>
              <w:t>Free extra compute if needed</w:t>
            </w:r>
          </w:p>
        </w:tc>
        <w:tc>
          <w:tcPr>
            <w:tcW w:type="dxa" w:w="3969"/>
          </w:tcPr>
          <w:p>
            <w:r>
              <w:rPr>
                <w:sz w:val="17"/>
                <w:b w:val="0"/>
              </w:rPr>
              <w:t xml:space="preserve">Optional; university GPU PCs also available</w:t>
            </w:r>
          </w:p>
        </w:tc>
      </w:tr>
    </w:tbl>
    <w:p>
      <w:pPr>
        <w:spacing w:after="40"/>
      </w:pPr>
    </w:p>
    <w:p>
      <w:pPr>
        <w:spacing w:after="80"/>
      </w:pPr>
      <w:r>
        <w:rPr>
          <w:i w:val="0"/>
        </w:rPr>
        <w:t xml:space="preserve">Project folder: Desktop\Dissertation\ → code\01–12 (all run), data\raw (cached Yahoo and FRED downloads), data\processed\dataset.csv, results\ (all tables), figures\ (all charts), docs\, notes\. See the README for the current results.</w:t>
      </w:r>
    </w:p>
    <w:p>
      <w:pPr>
        <w:pStyle w:val="Heading1"/>
      </w:pPr>
      <w:r>
        <w:rPr>
          <w:color w:val="1F4E79"/>
        </w:rPr>
        <w:t>11. Integrity and AI-use protocol</w:t>
      </w:r>
    </w:p>
    <w:p>
      <w:pPr>
        <w:pStyle w:val="ListBullet"/>
        <w:spacing w:after="20"/>
      </w:pPr>
      <w:r>
        <w:t>Check DBS’s current policy on generative AI before writing. Follow it exactly.</w:t>
      </w:r>
    </w:p>
    <w:p>
      <w:pPr>
        <w:pStyle w:val="ListBullet"/>
        <w:spacing w:after="20"/>
      </w:pPr>
      <w:r>
        <w:t>Declare AI assistance in the Methodology the way DBS requires; over-declare rather than under-declare.</w:t>
      </w:r>
    </w:p>
    <w:p>
      <w:pPr>
        <w:pStyle w:val="ListBullet"/>
        <w:spacing w:after="20"/>
      </w:pPr>
      <w:r>
        <w:t>Write every sentence of the dissertation yourself. Use this plan for decisions, not text.</w:t>
      </w:r>
    </w:p>
    <w:p>
      <w:pPr>
        <w:pStyle w:val="ListBullet"/>
        <w:spacing w:after="20"/>
      </w:pPr>
      <w:r>
        <w:t>Understand every line of code you submit; be able to explain it in a viva or PhD interview.</w:t>
      </w:r>
    </w:p>
    <w:p>
      <w:pPr>
        <w:pStyle w:val="ListBullet"/>
        <w:spacing w:after="20"/>
      </w:pPr>
      <w:r>
        <w:t>Keep a dated decision log (notes/decisions.md) and commit hypotheses before results.</w:t>
      </w:r>
    </w:p>
    <w:p>
      <w:pPr>
        <w:pStyle w:val="ListBullet"/>
        <w:spacing w:after="20"/>
      </w:pPr>
      <w:r>
        <w:t>Do not reuse text, tables or numbers from other dissertations or from AI-generated drafts.</w:t>
      </w:r>
    </w:p>
    <w:p>
      <w:pPr>
        <w:pStyle w:val="ListBullet"/>
        <w:spacing w:after="20"/>
      </w:pPr>
      <w:r>
        <w:t>Report results as they come out, including negative ones. Never adjust hypotheses after seeing results without saying so.</w:t>
      </w:r>
    </w:p>
    <w:p>
      <w:pPr>
        <w:pStyle w:val="Heading1"/>
      </w:pPr>
      <w:r>
        <w:rPr>
          <w:color w:val="1F4E79"/>
        </w:rPr>
        <w:t xml:space="preserve">12. Results status (30 September 2026)</w:t>
      </w:r>
    </w:p>
    <w:p>
      <w:pPr>
        <w:spacing w:after="80"/>
      </w:pPr>
      <w:r>
        <w:rPr>
          <w:i w:val="0"/>
        </w:rPr>
        <w:t xml:space="preserve">Facts only, for planning. Interpretation and all dissertation text are yours. Full tables: README.md and the Project Handbook (Part H).</w:t>
      </w:r>
    </w:p>
    <w:tbl>
      <w:tblPr>
        <w:tblStyle w:val="TableGrid"/>
        <w:tblW w:type="auto" w:w="0"/>
        <w:jc w:val="center"/>
        <w:tblLook w:firstColumn="1" w:firstRow="1" w:lastColumn="0" w:lastRow="0" w:noHBand="0" w:noVBand="1" w:val="04A0"/>
      </w:tblPr>
      <w:tblGrid>
        <w:gridCol w:w="4986"/>
        <w:gridCol w:w="4986"/>
      </w:tblGrid>
      <w:tr>
        <w:tc>
          <w:tcPr>
            <w:tcW w:type="dxa" w:w="1984"/>
            <w:shd w:val="clear" w:color="auto" w:fill="1F4E79"/>
          </w:tcPr>
          <w:p>
            <w:r>
              <w:rPr>
                <w:color w:val="FFFFFF"/>
                <w:sz w:val="17"/>
                <w:b/>
              </w:rPr>
              <w:t xml:space="preserve">Item</w:t>
            </w:r>
          </w:p>
        </w:tc>
        <w:tc>
          <w:tcPr>
            <w:tcW w:type="dxa" w:w="7654"/>
            <w:shd w:val="clear" w:color="auto" w:fill="1F4E79"/>
          </w:tcPr>
          <w:p>
            <w:r>
              <w:rPr>
                <w:color w:val="FFFFFF"/>
                <w:sz w:val="17"/>
                <w:b/>
              </w:rPr>
              <w:t xml:space="preserve">Result</w:t>
            </w:r>
          </w:p>
        </w:tc>
      </w:tr>
      <w:tr>
        <w:tc>
          <w:tcPr>
            <w:tcW w:type="dxa" w:w="1984"/>
          </w:tcPr>
          <w:p>
            <w:r>
              <w:rPr>
                <w:sz w:val="17"/>
                <w:b w:val="0"/>
              </w:rPr>
              <w:t xml:space="preserve">H1 accuracy</w:t>
            </w:r>
          </w:p>
        </w:tc>
        <w:tc>
          <w:tcPr>
            <w:tcW w:type="dxa" w:w="7654"/>
          </w:tcPr>
          <w:p>
            <w:r>
              <w:rPr>
                <w:sz w:val="17"/>
                <w:b w:val="0"/>
              </w:rPr>
              <w:t xml:space="preserve">Not supported: QLIKE LSTM 0.463 vs GARCH 0.380 and HAR 0.414; LSTM significantly worse (DM-HLN p = 0.003 and 0.044). LSTM best in COVID-19 and 2022</w:t>
            </w:r>
          </w:p>
        </w:tc>
      </w:tr>
      <w:tr>
        <w:tc>
          <w:tcPr>
            <w:tcW w:type="dxa" w:w="1984"/>
          </w:tcPr>
          <w:p>
            <w:r>
              <w:rPr>
                <w:sz w:val="17"/>
                <w:b w:val="0"/>
              </w:rPr>
              <w:t xml:space="preserve">H2 fingerprints</w:t>
            </w:r>
          </w:p>
        </w:tc>
        <w:tc>
          <w:tcPr>
            <w:tcW w:type="dxa" w:w="7654"/>
          </w:tcPr>
          <w:p>
            <w:r>
              <w:rPr>
                <w:sz w:val="17"/>
                <w:b w:val="0"/>
              </w:rPr>
              <w:t xml:space="preserve">H2a and H2b not supported (partly); H2c supported narrowly; H2e not supported; H2d pending (FTSE run)</w:t>
            </w:r>
          </w:p>
        </w:tc>
      </w:tr>
      <w:tr>
        <w:tc>
          <w:tcPr>
            <w:tcW w:type="dxa" w:w="1984"/>
          </w:tcPr>
          <w:p>
            <w:r>
              <w:rPr>
                <w:sz w:val="17"/>
                <w:b w:val="0"/>
              </w:rPr>
              <w:t xml:space="preserve">H3 learning from history</w:t>
            </w:r>
          </w:p>
        </w:tc>
        <w:tc>
          <w:tcPr>
            <w:tcW w:type="dxa" w:w="7654"/>
          </w:tcPr>
          <w:p>
            <w:r>
              <w:rPr>
                <w:sz w:val="17"/>
                <w:b w:val="0"/>
              </w:rPr>
              <w:t xml:space="preserve">Not supported as ranked: frozen/HAR GFC 4.26 &gt; Irish 1.33 &gt; COVID 0.74 (GFC largest, as predicted)</w:t>
            </w:r>
          </w:p>
        </w:tc>
      </w:tr>
      <w:tr>
        <w:tc>
          <w:tcPr>
            <w:tcW w:type="dxa" w:w="1984"/>
          </w:tcPr>
          <w:p>
            <w:r>
              <w:rPr>
                <w:sz w:val="17"/>
                <w:b w:val="0"/>
              </w:rPr>
              <w:t xml:space="preserve">H4 stability</w:t>
            </w:r>
          </w:p>
        </w:tc>
        <w:tc>
          <w:tcPr>
            <w:tcW w:type="dxa" w:w="7654"/>
          </w:tcPr>
          <w:p>
            <w:r>
              <w:rPr>
                <w:sz w:val="17"/>
                <w:b w:val="0"/>
              </w:rPr>
              <w:t xml:space="preserve">Not supported: mean Spearman 0.7 in the GFC and Irish windows</w:t>
            </w:r>
          </w:p>
        </w:tc>
      </w:tr>
      <w:tr>
        <w:tc>
          <w:tcPr>
            <w:tcW w:type="dxa" w:w="1984"/>
          </w:tcPr>
          <w:p>
            <w:r>
              <w:rPr>
                <w:sz w:val="17"/>
                <w:b w:val="0"/>
              </w:rPr>
              <w:t xml:space="preserve">Robustness</w:t>
            </w:r>
          </w:p>
        </w:tc>
        <w:tc>
          <w:tcPr>
            <w:tcW w:type="dxa" w:w="7654"/>
          </w:tcPr>
          <w:p>
            <w:r>
              <w:rPr>
                <w:sz w:val="17"/>
                <w:b w:val="0"/>
              </w:rPr>
              <w:t xml:space="preserve">Parkinson proxy: GARCH still best; LSTM best in COVID. FTSE, look-back 66, post-2023: to run</w:t>
            </w:r>
          </w:p>
        </w:tc>
      </w:tr>
      <w:tr>
        <w:tc>
          <w:tcPr>
            <w:tcW w:type="dxa" w:w="1984"/>
          </w:tcPr>
          <w:p>
            <w:r>
              <w:rPr>
                <w:sz w:val="17"/>
                <w:b w:val="0"/>
              </w:rPr>
              <w:t xml:space="preserve">E1 (exploratory)</w:t>
            </w:r>
          </w:p>
        </w:tc>
        <w:tc>
          <w:tcPr>
            <w:tcW w:type="dxa" w:w="7654"/>
          </w:tcPr>
          <w:p>
            <w:r>
              <w:rPr>
                <w:sz w:val="17"/>
                <w:b w:val="0"/>
              </w:rPr>
              <w:t xml:space="preserve">SHAP vs Diebold–Yilmaz: weak agreement (4/8 signs, 2/5 rankings)</w:t>
            </w:r>
          </w:p>
        </w:tc>
      </w:tr>
      <w:tr>
        <w:tc>
          <w:tcPr>
            <w:tcW w:type="dxa" w:w="1984"/>
          </w:tcPr>
          <w:p>
            <w:r>
              <w:rPr>
                <w:sz w:val="17"/>
                <w:b w:val="0"/>
              </w:rPr>
              <w:t xml:space="preserve">E2 (exploratory)</w:t>
            </w:r>
          </w:p>
        </w:tc>
        <w:tc>
          <w:tcPr>
            <w:tcW w:type="dxa" w:w="7654"/>
          </w:tcPr>
          <w:p>
            <w:r>
              <w:rPr>
                <w:sz w:val="17"/>
                <w:b w:val="0"/>
              </w:rPr>
              <w:t xml:space="preserve">Only Germany unusually calm before the GFC; Ireland 40th percentile</w:t>
            </w:r>
          </w:p>
        </w:tc>
      </w:tr>
    </w:tbl>
    <w:p>
      <w:pPr>
        <w:spacing w:after="40"/>
      </w:pPr>
    </w:p>
    <w:p>
      <w:pPr>
        <w:pStyle w:val="Heading1"/>
      </w:pPr>
      <w:r>
        <w:rPr>
          <w:color w:val="1F4E79"/>
        </w:rPr>
        <w:t>Appendix A. Data-quality report (from the pipeline)</w:t>
      </w:r>
    </w:p>
    <w:p>
      <w:r>
        <w:rPr>
          <w:rFonts w:ascii="Consolas" w:hAnsi="Consolas"/>
          <w:sz w:val="15"/>
        </w:rPr>
        <w:t>^GSPC   S&amp;P 500                                                      first=2002-10-01  rows= 5850  Irish days carried forward=2.6%</w:t>
        <w:br/>
        <w:t>^GDAXI  DAX (euro-area core; Euro Stoxx 50 only on Yahoo from 2007)  first=2002-10-01  rows= 5903  Irish days carried forward=0.9%</w:t>
        <w:br/>
        <w:t>^FTSE   FTSE 100 (robustness only - not a main model input)          first=2002-10-01  rows= 5873  Irish days carried forward=0.9%</w:t>
        <w:br/>
        <w:t>Daily-return correlations 2003-2023: ISEQ-US 0.48, ISEQ-euro 0.69, ISEQ-UK 0.71, euro-UK 0.83</w:t>
        <w:br/>
        <w:t>Main model inputs: ['ret', 'r2', 'us_ret', 'us_r2', 'euro_ret', 'euro_r2']</w:t>
        <w:br/>
        <w:t>Robustness inputs (FTSE replaces DAX): ['ret', 'r2', 'us_ret', 'us_r2', 'uk_ret', 'uk_r2']</w:t>
        <w:br/>
        <w:br/>
        <w:t>Why Garman-Klass is rejected (Yahoo ^ISEQ open is often yesterday's close):</w:t>
        <w:br/>
        <w:t xml:space="preserve">  2003-2006: stale opens= 8.3%  monthly corr(GK, r^2)=0.54  monthly corr(Parkinson, r^2)=0.67</w:t>
        <w:br/>
        <w:t xml:space="preserve">  2007-2012: stale opens=37.7%  monthly corr(GK, r^2)=0.97  monthly corr(Parkinson, r^2)=0.99</w:t>
        <w:br/>
        <w:t xml:space="preserve">  2013-2019: stale opens=75.4%  monthly corr(GK, r^2)=0.96  monthly corr(Parkinson, r^2)=0.98</w:t>
        <w:br/>
        <w:t xml:space="preserve">  2020-2025: stale opens=10.0%  monthly corr(GK, r^2)=0.99  monthly corr(Parkinson, r^2)=0.99</w:t>
        <w:br/>
        <w:br/>
        <w:t>ISEQ by evaluation window (target = forward 5-day realised variance):</w:t>
        <w:br/>
        <w:t xml:space="preserve">  calm periods: median annualised vol 13.0%</w:t>
        <w:br/>
        <w:t xml:space="preserve">  Global Financial Crisis        days= 402  max drawdown=-78.0%  median vol=34.2%  peak vol=121.3%  days above 2x calm vol=68.4%</w:t>
        <w:br/>
        <w:t xml:space="preserve">  Irish sovereign debt crisis    days= 574  max drawdown=-32.3%  median vol=18.2%  peak vol= 72.2%  days above 2x calm vol=21.4%</w:t>
        <w:br/>
        <w:t xml:space="preserve">  COVID-19                       days=  92  max drawdown=-39.8%  median vol=35.9%  peak vol=110.5%  days above 2x calm vol=65.2%</w:t>
        <w:br/>
        <w:t xml:space="preserve">  Brexit referendum              days=  42  max drawdown=-18.2%  median vol=24.9%  peak vol= 97.7%  days above 2x calm vol=47.6%</w:t>
        <w:br/>
        <w:t xml:space="preserve">  Ukraine war / rate shock       days= 185  max drawdown=-27.5%  median vol=23.3%  peak vol= 66.5%  days above 2x calm vol=36.8%</w:t>
        <w:br/>
        <w:br/>
        <w:t>Training history before the GFC window: 1166 days (4.6 years), all from the calm 2003-07 boom.</w:t>
        <w:br/>
        <w:t>Main sample (Jan 2003 - Aug 2023), complete rows: 5243; zero-return days: 2</w:t>
        <w:br/>
        <w:t>Days after ISEQ composition break (2023-09-01): 592 -&gt; robustness only, not in the main sample.</w:t>
      </w:r>
    </w:p>
    <w:p>
      <w:pPr>
        <w:pStyle w:val="Heading1"/>
      </w:pPr>
      <w:r>
        <w:rPr>
          <w:color w:val="1F4E79"/>
        </w:rPr>
        <w:t>Appendix B. Sources checked online in this session</w:t>
      </w:r>
    </w:p>
    <w:p>
      <w:pPr>
        <w:pStyle w:val="ListBullet"/>
        <w:spacing w:after="20"/>
      </w:pPr>
      <w:r>
        <w:t>Corbet &amp; Twomey (2015), IDEAS/RePEc: ideas.repec.org/a/prg/jnlefa/v2015y2015i3id143p15-34.html</w:t>
      </w:r>
    </w:p>
    <w:p>
      <w:pPr>
        <w:pStyle w:val="ListBullet"/>
        <w:spacing w:after="20"/>
      </w:pPr>
      <w:r>
        <w:t>Bucci (2020): doi.org/10.1093/jjfinec/nbaa008</w:t>
      </w:r>
    </w:p>
    <w:p>
      <w:pPr>
        <w:pStyle w:val="ListBullet"/>
        <w:spacing w:after="20"/>
      </w:pPr>
      <w:r>
        <w:t>Christensen, Siggaard &amp; Veliyev (2023): doi.org/10.1093/jjfinec/nbac020</w:t>
      </w:r>
    </w:p>
    <w:p>
      <w:pPr>
        <w:pStyle w:val="ListBullet"/>
        <w:spacing w:after="20"/>
      </w:pPr>
      <w:r>
        <w:t>Patton (2011): ideas.repec.org/a/eee/econom/v160y2011i1p246-256.html</w:t>
      </w:r>
    </w:p>
    <w:p>
      <w:pPr>
        <w:pStyle w:val="ListBullet"/>
        <w:spacing w:after="20"/>
      </w:pPr>
      <w:r>
        <w:t>Hamao, Masulis &amp; Ng (1990): doi.org/10.1093/rfs/3.2.281</w:t>
      </w:r>
    </w:p>
    <w:p>
      <w:pPr>
        <w:pStyle w:val="ListBullet"/>
        <w:spacing w:after="20"/>
      </w:pPr>
      <w:r>
        <w:t>Sahiner (2023): doi.org/10.1007/s10614-023-10412-4</w:t>
      </w:r>
    </w:p>
    <w:p>
      <w:pPr>
        <w:pStyle w:val="ListBullet"/>
        <w:spacing w:after="20"/>
      </w:pPr>
      <w:r>
        <w:t>Ahmed (2026), SSRN abstract 6301119</w:t>
      </w:r>
    </w:p>
    <w:p>
      <w:pPr>
        <w:pStyle w:val="ListBullet"/>
        <w:spacing w:after="20"/>
      </w:pPr>
      <w:r>
        <w:t>SHAP–LSTM issues: github.com/shap/shap/issues/1193 and /1677</w:t>
      </w:r>
    </w:p>
    <w:p>
      <w:pPr>
        <w:pStyle w:val="ListBullet"/>
        <w:spacing w:after="20"/>
      </w:pPr>
      <w:r>
        <w:t>Captum GradientShap: captum.ai/api/gradient_shap.html</w:t>
      </w:r>
    </w:p>
    <w:p>
      <w:pPr>
        <w:pStyle w:val="ListBullet"/>
        <w:spacing w:after="20"/>
      </w:pPr>
      <w:r>
        <w:t>Irish Times on CRH/Flutter exits (2 Mar 2024) and Smurfit Kappa exit (8 Sep 2023, 2 Jul 2024)</w:t>
      </w:r>
    </w:p>
    <w:p>
      <w:pPr>
        <w:pStyle w:val="ListBullet"/>
        <w:spacing w:after="20"/>
      </w:pPr>
      <w:r>
        <w:rPr/>
        <w:t xml:space="preserve">30 Sep 2026 — Diebold &amp; Yilmaz (2012) full text: sas.upenn.edu/~fdiebold/papers/paper99/DirectionofSpillovers_Mar10.pdf</w:t>
      </w:r>
    </w:p>
    <w:p>
      <w:pPr>
        <w:pStyle w:val="ListBullet"/>
        <w:spacing w:after="20"/>
      </w:pPr>
      <w:r>
        <w:rPr/>
        <w:t xml:space="preserve">30 Sep 2026 — Danielsson, Valenzuela &amp; Zer (2018) accepted version: eprints.lse.ac.uk/91136</w:t>
      </w:r>
    </w:p>
    <w:p>
      <w:pPr>
        <w:pStyle w:val="ListBullet"/>
        <w:spacing w:after="20"/>
      </w:pPr>
      <w:r>
        <w:rPr/>
        <w:t xml:space="preserve">30 Sep 2026 — FRED series SPASTT01IEM661N, SPASTT01USM661N, SPASTT01DEM661N: fred.stlouisfed.org</w:t>
      </w:r>
    </w:p>
    <w:p>
      <w:pPr>
        <w:pStyle w:val="ListBullet"/>
        <w:spacing w:after="20"/>
      </w:pPr>
      <w:r>
        <w:rPr/>
        <w:t xml:space="preserve">30 Sep 2026 — Gallagher &amp; Twomey (1998), ESR 29(4), 341–356 (search result; confirm in the ESR archive)</w:t>
      </w:r>
    </w:p>
    <w:p>
      <w:pPr>
        <w:pStyle w:val="ListBullet"/>
        <w:spacing w:after="20"/>
      </w:pPr>
      <w:r>
        <w:rPr/>
        <w:t xml:space="preserve">30 Sep 2026 — Feng, Shi &amp; Kutan (2026): ideas.repec.org/a/eee/jimfin/v160y2026ics0261560625002025.html</w:t>
      </w:r>
    </w:p>
    <w:p>
      <w:pPr>
        <w:pStyle w:val="ListBullet"/>
        <w:spacing w:after="20"/>
      </w:pPr>
      <w:r>
        <w:rPr/>
        <w:t xml:space="preserve">30 Sep 2026 — Brini (2026): arxiv.org/abs/2607.05291</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