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sz w:val="52"/>
        </w:rPr>
        <w:t>Literature Handbook — v2</w:t>
      </w:r>
    </w:p>
    <w:p>
      <w:r>
        <w:rPr>
          <w:color w:val="1F4E79"/>
          <w:sz w:val="28"/>
        </w:rPr>
        <w:t>In-depth study notes for Chapter 2 of ‘This Time Is Different?’</w:t>
      </w:r>
    </w:p>
    <w:p>
      <w:pPr>
        <w:spacing w:after="80"/>
      </w:pPr>
      <w:r>
        <w:rPr>
          <w:i/>
        </w:rPr>
        <w:t xml:space="preserve">Updated for the three-market design (ISEQ, S&amp;P 500, DAX; FTSE for robustness). 51 paper cards with 12 fields each (summary, dataset, methodology, results, relation to your study, exact pages to read, what to skip, key terms, strengths, weaknesses, how to use) · 9 original figures from your own data · key numbers · Irish timeline · concept primers · 24 September 2026, updated 30 September 2026 (5 new cards and 3 figures for the exploratory extensions and the closest new work; Gallagher &amp; Twomey correction)</w:t>
      </w:r>
    </w:p>
    <w:tbl>
      <w:tblPr>
        <w:tblW w:type="auto" w:w="0"/>
        <w:tblLook w:firstColumn="1" w:firstRow="1" w:lastColumn="0" w:lastRow="0" w:noHBand="0" w:noVBand="1" w:val="04A0"/>
      </w:tblPr>
      <w:tblGrid>
        <w:gridCol w:w="10200"/>
      </w:tblGrid>
      <w:tr>
        <w:tc>
          <w:tcPr>
            <w:tcW w:type="dxa" w:w="10200"/>
            <w:shd w:val="clear" w:color="auto" w:fill="FFF2CC"/>
          </w:tcPr>
          <w:p>
            <w:r>
              <w:rPr>
                <w:b/>
              </w:rPr>
              <w:t xml:space="preserve">Why there are no screenshots: </w:t>
            </w:r>
            <w:r>
              <w:t>No paragraphs or page images are copied from the papers. They are copyrighted, and copied text in your dissertation would be plagiarism. Instead, each card tells you exactly which section, pages, tables and figures to read in the original (field ‘Must read in the original’), and the figures in this handbook are original charts made from YOUR dataset that illustrate what each key paper describes. You may reuse these figures in your dissertation because they are your own analysis — describe them in your own words.</w:t>
            </w:r>
          </w:p>
        </w:tc>
      </w:tr>
    </w:tbl>
    <w:p>
      <w:pPr>
        <w:spacing w:after="40"/>
      </w:pPr>
    </w:p>
    <w:tbl>
      <w:tblPr>
        <w:tblStyle w:val="TableGrid"/>
        <w:tblW w:type="auto" w:w="0"/>
        <w:jc w:val="center"/>
        <w:tblLook w:firstColumn="1" w:firstRow="1" w:lastColumn="0" w:lastRow="0" w:noHBand="0" w:noVBand="1" w:val="04A0"/>
      </w:tblPr>
      <w:tblGrid>
        <w:gridCol w:w="5100"/>
        <w:gridCol w:w="5100"/>
      </w:tblGrid>
      <w:tr>
        <w:tc>
          <w:tcPr>
            <w:tcW w:type="dxa" w:w="1701"/>
            <w:shd w:val="clear" w:color="auto" w:fill="1F4E79"/>
          </w:tcPr>
          <w:p>
            <w:r>
              <w:rPr>
                <w:b/>
                <w:color w:val="FFFFFF"/>
                <w:sz w:val="17"/>
              </w:rPr>
              <w:t>Card colour</w:t>
            </w:r>
          </w:p>
        </w:tc>
        <w:tc>
          <w:tcPr>
            <w:tcW w:type="dxa" w:w="8164"/>
            <w:shd w:val="clear" w:color="auto" w:fill="1F4E79"/>
          </w:tcPr>
          <w:p>
            <w:r>
              <w:rPr>
                <w:b/>
                <w:color w:val="FFFFFF"/>
                <w:sz w:val="17"/>
              </w:rPr>
              <w:t>Meaning</w:t>
            </w:r>
          </w:p>
        </w:tc>
      </w:tr>
      <w:tr>
        <w:tc>
          <w:tcPr>
            <w:tcW w:type="dxa" w:w="1701"/>
          </w:tcPr>
          <w:p>
            <w:r>
              <w:rPr>
                <w:sz w:val="17"/>
              </w:rPr>
              <w:t>Green</w:t>
            </w:r>
          </w:p>
        </w:tc>
        <w:tc>
          <w:tcPr>
            <w:tcW w:type="dxa" w:w="8164"/>
          </w:tcPr>
          <w:p>
            <w:r>
              <w:rPr>
                <w:sz w:val="17"/>
              </w:rPr>
              <w:t>FULL TEXT read in this session; page numbers refer to the open-access version in Part G</w:t>
            </w:r>
          </w:p>
        </w:tc>
      </w:tr>
      <w:tr>
        <w:tc>
          <w:tcPr>
            <w:tcW w:type="dxa" w:w="1701"/>
          </w:tcPr>
          <w:p>
            <w:r>
              <w:rPr>
                <w:sz w:val="17"/>
              </w:rPr>
              <w:t>Yellow</w:t>
            </w:r>
          </w:p>
        </w:tc>
        <w:tc>
          <w:tcPr>
            <w:tcW w:type="dxa" w:w="8164"/>
          </w:tcPr>
          <w:p>
            <w:r>
              <w:rPr>
                <w:sz w:val="17"/>
              </w:rPr>
              <w:t>ABSTRACT / summary read in this session; read the full paper before relying on details</w:t>
            </w:r>
          </w:p>
        </w:tc>
      </w:tr>
      <w:tr>
        <w:tc>
          <w:tcPr>
            <w:tcW w:type="dxa" w:w="1701"/>
          </w:tcPr>
          <w:p>
            <w:r>
              <w:rPr>
                <w:sz w:val="17"/>
              </w:rPr>
              <w:t>Grey</w:t>
            </w:r>
          </w:p>
        </w:tc>
        <w:tc>
          <w:tcPr>
            <w:tcW w:type="dxa" w:w="8164"/>
          </w:tcPr>
          <w:p>
            <w:r>
              <w:rPr>
                <w:sz w:val="17"/>
              </w:rPr>
              <w:t>STANDARD KNOWLEDGE, not re-read this session; confirm every detail and page before citing</w:t>
            </w:r>
          </w:p>
        </w:tc>
      </w:tr>
      <w:tr>
        <w:tc>
          <w:tcPr>
            <w:tcW w:type="dxa" w:w="1701"/>
          </w:tcPr>
          <w:p>
            <w:r>
              <w:rPr>
                <w:sz w:val="17"/>
              </w:rPr>
              <w:t>Blue rows</w:t>
            </w:r>
          </w:p>
        </w:tc>
        <w:tc>
          <w:tcPr>
            <w:tcW w:type="dxa" w:w="8164"/>
          </w:tcPr>
          <w:p>
            <w:r>
              <w:rPr>
                <w:sz w:val="17"/>
              </w:rPr>
              <w:t>The rows that matter most for you: relation to your study, what to read, and how to use it</w:t>
            </w:r>
          </w:p>
        </w:tc>
      </w:tr>
    </w:tbl>
    <w:p>
      <w:pPr>
        <w:spacing w:after="40"/>
      </w:pPr>
    </w:p>
    <w:p>
      <w:pPr>
        <w:spacing w:after="80"/>
      </w:pPr>
      <w:r>
        <w:rPr>
          <w:i w:val="0"/>
        </w:rPr>
        <w:t>Contents: A. Key numbers · B. Irish timeline · C. Concept primers with figures · D. Paper cards (2.2 theory, 2.3 crises &amp; Ireland, 2.4 transmission, 2.5 forecasting, 2.6 explainability) · E. Reading order · F. From notes to paragraph · G. Where to read the originals.</w:t>
      </w:r>
    </w:p>
    <w:p>
      <w:pPr>
        <w:pStyle w:val="Heading1"/>
      </w:pPr>
      <w:r>
        <w:rPr>
          <w:color w:val="1F4E79"/>
        </w:rPr>
        <w:t>A. Key numbers to remember</w:t>
      </w:r>
    </w:p>
    <w:tbl>
      <w:tblPr>
        <w:tblStyle w:val="TableGrid"/>
        <w:tblW w:type="auto" w:w="0"/>
        <w:jc w:val="center"/>
        <w:tblLook w:firstColumn="1" w:firstRow="1" w:lastColumn="0" w:lastRow="0" w:noHBand="0" w:noVBand="1" w:val="04A0"/>
      </w:tblPr>
      <w:tblGrid>
        <w:gridCol w:w="3400"/>
        <w:gridCol w:w="3400"/>
        <w:gridCol w:w="3400"/>
      </w:tblGrid>
      <w:tr>
        <w:tc>
          <w:tcPr>
            <w:tcW w:type="dxa" w:w="3175"/>
            <w:shd w:val="clear" w:color="auto" w:fill="1F4E79"/>
          </w:tcPr>
          <w:p>
            <w:r>
              <w:rPr>
                <w:b/>
                <w:color w:val="FFFFFF"/>
                <w:sz w:val="17"/>
              </w:rPr>
              <w:t>Fact</w:t>
            </w:r>
          </w:p>
        </w:tc>
        <w:tc>
          <w:tcPr>
            <w:tcW w:type="dxa" w:w="4309"/>
            <w:shd w:val="clear" w:color="auto" w:fill="1F4E79"/>
          </w:tcPr>
          <w:p>
            <w:r>
              <w:rPr>
                <w:b/>
                <w:color w:val="FFFFFF"/>
                <w:sz w:val="17"/>
              </w:rPr>
              <w:t>Number</w:t>
            </w:r>
          </w:p>
        </w:tc>
        <w:tc>
          <w:tcPr>
            <w:tcW w:type="dxa" w:w="2381"/>
            <w:shd w:val="clear" w:color="auto" w:fill="1F4E79"/>
          </w:tcPr>
          <w:p>
            <w:r>
              <w:rPr>
                <w:b/>
                <w:color w:val="FFFFFF"/>
                <w:sz w:val="17"/>
              </w:rPr>
              <w:t>Source</w:t>
            </w:r>
          </w:p>
        </w:tc>
      </w:tr>
      <w:tr>
        <w:tc>
          <w:tcPr>
            <w:tcW w:type="dxa" w:w="3175"/>
          </w:tcPr>
          <w:p>
            <w:r>
              <w:rPr>
                <w:sz w:val="17"/>
              </w:rPr>
              <w:t>ISEQ pre-GFC peak → trough</w:t>
            </w:r>
          </w:p>
        </w:tc>
        <w:tc>
          <w:tcPr>
            <w:tcW w:type="dxa" w:w="4309"/>
          </w:tcPr>
          <w:p>
            <w:r>
              <w:rPr>
                <w:sz w:val="17"/>
              </w:rPr>
              <w:t>9,981 (20 Feb 2007) → 1,916 (9 Mar 2009): −80.8%</w:t>
            </w:r>
          </w:p>
        </w:tc>
        <w:tc>
          <w:tcPr>
            <w:tcW w:type="dxa" w:w="2381"/>
          </w:tcPr>
          <w:p>
            <w:r>
              <w:rPr>
                <w:sz w:val="17"/>
              </w:rPr>
              <w:t>Your data</w:t>
            </w:r>
          </w:p>
        </w:tc>
      </w:tr>
      <w:tr>
        <w:tc>
          <w:tcPr>
            <w:tcW w:type="dxa" w:w="3175"/>
          </w:tcPr>
          <w:p>
            <w:r>
              <w:rPr>
                <w:sz w:val="17"/>
              </w:rPr>
              <w:t>ISEQ 29 Sep 2008 / 30 Sep 2008 (guarantee day)</w:t>
            </w:r>
          </w:p>
        </w:tc>
        <w:tc>
          <w:tcPr>
            <w:tcW w:type="dxa" w:w="4309"/>
          </w:tcPr>
          <w:p>
            <w:r>
              <w:rPr>
                <w:sz w:val="17"/>
              </w:rPr>
              <w:t>−13.0% / +7.9%</w:t>
            </w:r>
          </w:p>
        </w:tc>
        <w:tc>
          <w:tcPr>
            <w:tcW w:type="dxa" w:w="2381"/>
          </w:tcPr>
          <w:p>
            <w:r>
              <w:rPr>
                <w:sz w:val="17"/>
              </w:rPr>
              <w:t>Your data</w:t>
            </w:r>
          </w:p>
        </w:tc>
      </w:tr>
      <w:tr>
        <w:tc>
          <w:tcPr>
            <w:tcW w:type="dxa" w:w="3175"/>
          </w:tcPr>
          <w:p>
            <w:r>
              <w:rPr>
                <w:sz w:val="17"/>
              </w:rPr>
              <w:t>Irish bank CDS on guarantee day</w:t>
            </w:r>
          </w:p>
        </w:tc>
        <w:tc>
          <w:tcPr>
            <w:tcW w:type="dxa" w:w="4309"/>
          </w:tcPr>
          <w:p>
            <w:r>
              <w:rPr>
                <w:sz w:val="17"/>
              </w:rPr>
              <w:t>≈400 → ≈150 bp overnight; Irish sovereign CDS rose sharply</w:t>
            </w:r>
          </w:p>
        </w:tc>
        <w:tc>
          <w:tcPr>
            <w:tcW w:type="dxa" w:w="2381"/>
          </w:tcPr>
          <w:p>
            <w:r>
              <w:rPr>
                <w:sz w:val="17"/>
              </w:rPr>
              <w:t>Acharya et al. (2014), p.3</w:t>
            </w:r>
          </w:p>
        </w:tc>
      </w:tr>
      <w:tr>
        <w:tc>
          <w:tcPr>
            <w:tcW w:type="dxa" w:w="3175"/>
          </w:tcPr>
          <w:p>
            <w:r>
              <w:rPr>
                <w:sz w:val="17"/>
              </w:rPr>
              <w:t>European average CDS bank / sovereign</w:t>
            </w:r>
          </w:p>
        </w:tc>
        <w:tc>
          <w:tcPr>
            <w:tcW w:type="dxa" w:w="4309"/>
          </w:tcPr>
          <w:p>
            <w:r>
              <w:rPr>
                <w:sz w:val="17"/>
              </w:rPr>
              <w:t>63/14 bp before bailouts; 148/48 during; 184/112 after</w:t>
            </w:r>
          </w:p>
        </w:tc>
        <w:tc>
          <w:tcPr>
            <w:tcW w:type="dxa" w:w="2381"/>
          </w:tcPr>
          <w:p>
            <w:r>
              <w:rPr>
                <w:sz w:val="17"/>
              </w:rPr>
              <w:t>Acharya et al. (2014)</w:t>
            </w:r>
          </w:p>
        </w:tc>
      </w:tr>
      <w:tr>
        <w:tc>
          <w:tcPr>
            <w:tcW w:type="dxa" w:w="3175"/>
          </w:tcPr>
          <w:p>
            <w:r>
              <w:rPr>
                <w:sz w:val="17"/>
              </w:rPr>
              <w:t>Irish lending growth 1997→2008</w:t>
            </w:r>
          </w:p>
        </w:tc>
        <w:tc>
          <w:tcPr>
            <w:tcW w:type="dxa" w:w="4309"/>
          </w:tcPr>
          <w:p>
            <w:r>
              <w:rPr>
                <w:sz w:val="17"/>
              </w:rPr>
              <w:t>mortgages ≈7×; developer loans ≈11×</w:t>
            </w:r>
          </w:p>
        </w:tc>
        <w:tc>
          <w:tcPr>
            <w:tcW w:type="dxa" w:w="2381"/>
          </w:tcPr>
          <w:p>
            <w:r>
              <w:rPr>
                <w:sz w:val="17"/>
              </w:rPr>
              <w:t>Kelly (2009)</w:t>
            </w:r>
          </w:p>
        </w:tc>
      </w:tr>
      <w:tr>
        <w:tc>
          <w:tcPr>
            <w:tcW w:type="dxa" w:w="3175"/>
          </w:tcPr>
          <w:p>
            <w:r>
              <w:rPr>
                <w:sz w:val="17"/>
              </w:rPr>
              <w:t>EU/IMF programme (28 Nov 2010)</w:t>
            </w:r>
          </w:p>
        </w:tc>
        <w:tc>
          <w:tcPr>
            <w:tcW w:type="dxa" w:w="4309"/>
          </w:tcPr>
          <w:p>
            <w:r>
              <w:rPr>
                <w:sz w:val="17"/>
              </w:rPr>
              <w:t>€85bn; €67.5bn external (€45bn EU &amp; bilateral, €22.5bn IMF)</w:t>
            </w:r>
          </w:p>
        </w:tc>
        <w:tc>
          <w:tcPr>
            <w:tcW w:type="dxa" w:w="2381"/>
          </w:tcPr>
          <w:p>
            <w:r>
              <w:rPr>
                <w:sz w:val="17"/>
              </w:rPr>
              <w:t>European Commission</w:t>
            </w:r>
          </w:p>
        </w:tc>
      </w:tr>
      <w:tr>
        <w:tc>
          <w:tcPr>
            <w:tcW w:type="dxa" w:w="3175"/>
          </w:tcPr>
          <w:p>
            <w:r>
              <w:rPr>
                <w:sz w:val="17"/>
              </w:rPr>
              <w:t>Programme exit</w:t>
            </w:r>
          </w:p>
        </w:tc>
        <w:tc>
          <w:tcPr>
            <w:tcW w:type="dxa" w:w="4309"/>
          </w:tcPr>
          <w:p>
            <w:r>
              <w:rPr>
                <w:sz w:val="17"/>
              </w:rPr>
              <w:t>15 Dec 2013</w:t>
            </w:r>
          </w:p>
        </w:tc>
        <w:tc>
          <w:tcPr>
            <w:tcW w:type="dxa" w:w="2381"/>
          </w:tcPr>
          <w:p>
            <w:r>
              <w:rPr>
                <w:sz w:val="17"/>
              </w:rPr>
              <w:t>European Commission</w:t>
            </w:r>
          </w:p>
        </w:tc>
      </w:tr>
      <w:tr>
        <w:tc>
          <w:tcPr>
            <w:tcW w:type="dxa" w:w="3175"/>
          </w:tcPr>
          <w:p>
            <w:r>
              <w:rPr>
                <w:sz w:val="17"/>
              </w:rPr>
              <w:t>Brexit: ISEQ 24 / 27 Jun 2016</w:t>
            </w:r>
          </w:p>
        </w:tc>
        <w:tc>
          <w:tcPr>
            <w:tcW w:type="dxa" w:w="4309"/>
          </w:tcPr>
          <w:p>
            <w:r>
              <w:rPr>
                <w:sz w:val="17"/>
              </w:rPr>
              <w:t>−7.7% / −9.9%</w:t>
            </w:r>
          </w:p>
        </w:tc>
        <w:tc>
          <w:tcPr>
            <w:tcW w:type="dxa" w:w="2381"/>
          </w:tcPr>
          <w:p>
            <w:r>
              <w:rPr>
                <w:sz w:val="17"/>
              </w:rPr>
              <w:t>Your data</w:t>
            </w:r>
          </w:p>
        </w:tc>
      </w:tr>
      <w:tr>
        <w:tc>
          <w:tcPr>
            <w:tcW w:type="dxa" w:w="3175"/>
          </w:tcPr>
          <w:p>
            <w:r>
              <w:rPr>
                <w:sz w:val="17"/>
              </w:rPr>
              <w:t>COVID: ISEQ 12 Mar 2020</w:t>
            </w:r>
          </w:p>
        </w:tc>
        <w:tc>
          <w:tcPr>
            <w:tcW w:type="dxa" w:w="4309"/>
          </w:tcPr>
          <w:p>
            <w:r>
              <w:rPr>
                <w:sz w:val="17"/>
              </w:rPr>
              <w:t>−9.9%</w:t>
            </w:r>
          </w:p>
        </w:tc>
        <w:tc>
          <w:tcPr>
            <w:tcW w:type="dxa" w:w="2381"/>
          </w:tcPr>
          <w:p>
            <w:r>
              <w:rPr>
                <w:sz w:val="17"/>
              </w:rPr>
              <w:t>Your data</w:t>
            </w:r>
          </w:p>
        </w:tc>
      </w:tr>
      <w:tr>
        <w:tc>
          <w:tcPr>
            <w:tcW w:type="dxa" w:w="3175"/>
          </w:tcPr>
          <w:p>
            <w:r>
              <w:rPr>
                <w:sz w:val="17"/>
              </w:rPr>
              <w:t>War: ISEQ 24 Feb 2022</w:t>
            </w:r>
          </w:p>
        </w:tc>
        <w:tc>
          <w:tcPr>
            <w:tcW w:type="dxa" w:w="4309"/>
          </w:tcPr>
          <w:p>
            <w:r>
              <w:rPr>
                <w:sz w:val="17"/>
              </w:rPr>
              <w:t>−4.6%</w:t>
            </w:r>
          </w:p>
        </w:tc>
        <w:tc>
          <w:tcPr>
            <w:tcW w:type="dxa" w:w="2381"/>
          </w:tcPr>
          <w:p>
            <w:r>
              <w:rPr>
                <w:sz w:val="17"/>
              </w:rPr>
              <w:t>Your data</w:t>
            </w:r>
          </w:p>
        </w:tc>
      </w:tr>
      <w:tr>
        <w:tc>
          <w:tcPr>
            <w:tcW w:type="dxa" w:w="3175"/>
          </w:tcPr>
          <w:p>
            <w:r>
              <w:rPr>
                <w:sz w:val="17"/>
              </w:rPr>
              <w:t>US daily moves &gt;2.5%, 1900–2019</w:t>
            </w:r>
          </w:p>
        </w:tc>
        <w:tc>
          <w:tcPr>
            <w:tcW w:type="dxa" w:w="4309"/>
          </w:tcPr>
          <w:p>
            <w:r>
              <w:rPr>
                <w:sz w:val="17"/>
              </w:rPr>
              <w:t>&gt;1,100, none attributed to pandemics</w:t>
            </w:r>
          </w:p>
        </w:tc>
        <w:tc>
          <w:tcPr>
            <w:tcW w:type="dxa" w:w="2381"/>
          </w:tcPr>
          <w:p>
            <w:r>
              <w:rPr>
                <w:sz w:val="17"/>
              </w:rPr>
              <w:t>Baker et al. (2020)</w:t>
            </w:r>
          </w:p>
        </w:tc>
      </w:tr>
      <w:tr>
        <w:tc>
          <w:tcPr>
            <w:tcW w:type="dxa" w:w="3175"/>
          </w:tcPr>
          <w:p>
            <w:r>
              <w:rPr>
                <w:sz w:val="17"/>
              </w:rPr>
              <w:t>COVID-attributed jumps 24 Feb–20 Apr 2020</w:t>
            </w:r>
          </w:p>
        </w:tc>
        <w:tc>
          <w:tcPr>
            <w:tcW w:type="dxa" w:w="4309"/>
          </w:tcPr>
          <w:p>
            <w:r>
              <w:rPr>
                <w:sz w:val="17"/>
              </w:rPr>
              <w:t>≈ two dozen</w:t>
            </w:r>
          </w:p>
        </w:tc>
        <w:tc>
          <w:tcPr>
            <w:tcW w:type="dxa" w:w="2381"/>
          </w:tcPr>
          <w:p>
            <w:r>
              <w:rPr>
                <w:sz w:val="17"/>
              </w:rPr>
              <w:t>Baker et al. (2020)</w:t>
            </w:r>
          </w:p>
        </w:tc>
      </w:tr>
      <w:tr>
        <w:tc>
          <w:tcPr>
            <w:tcW w:type="dxa" w:w="3175"/>
          </w:tcPr>
          <w:p>
            <w:r>
              <w:rPr>
                <w:sz w:val="17"/>
              </w:rPr>
              <w:t>COVID excess mortality vs Spanish Flu</w:t>
            </w:r>
          </w:p>
        </w:tc>
        <w:tc>
          <w:tcPr>
            <w:tcW w:type="dxa" w:w="4309"/>
          </w:tcPr>
          <w:p>
            <w:r>
              <w:rPr>
                <w:sz w:val="17"/>
              </w:rPr>
              <w:t>≈1/25th</w:t>
            </w:r>
          </w:p>
        </w:tc>
        <w:tc>
          <w:tcPr>
            <w:tcW w:type="dxa" w:w="2381"/>
          </w:tcPr>
          <w:p>
            <w:r>
              <w:rPr>
                <w:sz w:val="17"/>
              </w:rPr>
              <w:t>Baker et al. (2020)</w:t>
            </w:r>
          </w:p>
        </w:tc>
      </w:tr>
      <w:tr>
        <w:tc>
          <w:tcPr>
            <w:tcW w:type="dxa" w:w="3175"/>
          </w:tcPr>
          <w:p>
            <w:r>
              <w:rPr>
                <w:sz w:val="17"/>
              </w:rPr>
              <w:t>Bekaert et al. sample</w:t>
            </w:r>
          </w:p>
        </w:tc>
        <w:tc>
          <w:tcPr>
            <w:tcW w:type="dxa" w:w="4309"/>
          </w:tcPr>
          <w:p>
            <w:r>
              <w:rPr>
                <w:sz w:val="17"/>
              </w:rPr>
              <w:t>415 country-sector portfolios, 55 markets, ≈725 weekly observations</w:t>
            </w:r>
          </w:p>
        </w:tc>
        <w:tc>
          <w:tcPr>
            <w:tcW w:type="dxa" w:w="2381"/>
          </w:tcPr>
          <w:p>
            <w:r>
              <w:rPr>
                <w:sz w:val="17"/>
              </w:rPr>
              <w:t>Bekaert et al. (2014)</w:t>
            </w:r>
          </w:p>
        </w:tc>
      </w:tr>
      <w:tr>
        <w:tc>
          <w:tcPr>
            <w:tcW w:type="dxa" w:w="3175"/>
          </w:tcPr>
          <w:p>
            <w:r>
              <w:rPr>
                <w:sz w:val="17"/>
              </w:rPr>
              <w:t>Diebold–Yilmaz sample</w:t>
            </w:r>
          </w:p>
        </w:tc>
        <w:tc>
          <w:tcPr>
            <w:tcW w:type="dxa" w:w="4309"/>
          </w:tcPr>
          <w:p>
            <w:r>
              <w:rPr>
                <w:sz w:val="17"/>
              </w:rPr>
              <w:t>19 markets, weekly, Jan 1992 – Nov 2007; VAR(2); 10-week horizon; 200-week rolling window</w:t>
            </w:r>
          </w:p>
        </w:tc>
        <w:tc>
          <w:tcPr>
            <w:tcW w:type="dxa" w:w="2381"/>
          </w:tcPr>
          <w:p>
            <w:r>
              <w:rPr>
                <w:sz w:val="17"/>
              </w:rPr>
              <w:t>Diebold &amp; Yilmaz (2009)</w:t>
            </w:r>
          </w:p>
        </w:tc>
      </w:tr>
      <w:tr>
        <w:tc>
          <w:tcPr>
            <w:tcW w:type="dxa" w:w="3175"/>
          </w:tcPr>
          <w:p>
            <w:r>
              <w:rPr>
                <w:sz w:val="17"/>
              </w:rPr>
              <w:t>Christensen et al. sample</w:t>
            </w:r>
          </w:p>
        </w:tc>
        <w:tc>
          <w:tcPr>
            <w:tcW w:type="dxa" w:w="4309"/>
          </w:tcPr>
          <w:p>
            <w:r>
              <w:rPr>
                <w:sz w:val="17"/>
              </w:rPr>
              <w:t>DJIA stocks, 29 Jan 2001 – 31 Dec 2017, 4,257 days</w:t>
            </w:r>
          </w:p>
        </w:tc>
        <w:tc>
          <w:tcPr>
            <w:tcW w:type="dxa" w:w="2381"/>
          </w:tcPr>
          <w:p>
            <w:r>
              <w:rPr>
                <w:sz w:val="17"/>
              </w:rPr>
              <w:t>Christensen et al. (2023)</w:t>
            </w:r>
          </w:p>
        </w:tc>
      </w:tr>
      <w:tr>
        <w:tc>
          <w:tcPr>
            <w:tcW w:type="dxa" w:w="3175"/>
          </w:tcPr>
          <w:p>
            <w:r>
              <w:rPr>
                <w:sz w:val="17"/>
              </w:rPr>
              <w:t>Bucci sample</w:t>
            </w:r>
          </w:p>
        </w:tc>
        <w:tc>
          <w:tcPr>
            <w:tcW w:type="dxa" w:w="4309"/>
          </w:tcPr>
          <w:p>
            <w:r>
              <w:rPr>
                <w:sz w:val="17"/>
              </w:rPr>
              <w:t>monthly S&amp;P 500, Feb 1950 – Dec 2017 (815 obs.); 245 out-of-sample forecasts, only 22 in the 2007–09 subsample</w:t>
            </w:r>
          </w:p>
        </w:tc>
        <w:tc>
          <w:tcPr>
            <w:tcW w:type="dxa" w:w="2381"/>
          </w:tcPr>
          <w:p>
            <w:r>
              <w:rPr>
                <w:sz w:val="17"/>
              </w:rPr>
              <w:t>Bucci (2020)</w:t>
            </w:r>
          </w:p>
        </w:tc>
      </w:tr>
      <w:tr>
        <w:tc>
          <w:tcPr>
            <w:tcW w:type="dxa" w:w="3175"/>
          </w:tcPr>
          <w:p>
            <w:r>
              <w:rPr>
                <w:sz w:val="17"/>
              </w:rPr>
              <w:t>Akhtaruzzaman et al. periods</w:t>
            </w:r>
          </w:p>
        </w:tc>
        <w:tc>
          <w:tcPr>
            <w:tcW w:type="dxa" w:w="4309"/>
          </w:tcPr>
          <w:p>
            <w:r>
              <w:rPr>
                <w:sz w:val="17"/>
              </w:rPr>
              <w:t>pre-COVID 1 Jan 2013 – 30 Dec 2019; COVID 31 Dec 2019 – 20 Mar 2020</w:t>
            </w:r>
          </w:p>
        </w:tc>
        <w:tc>
          <w:tcPr>
            <w:tcW w:type="dxa" w:w="2381"/>
          </w:tcPr>
          <w:p>
            <w:r>
              <w:rPr>
                <w:sz w:val="17"/>
              </w:rPr>
              <w:t>Akhtaruzzaman et al. (2021)</w:t>
            </w:r>
          </w:p>
        </w:tc>
      </w:tr>
      <w:tr>
        <w:tc>
          <w:tcPr>
            <w:tcW w:type="dxa" w:w="3175"/>
          </w:tcPr>
          <w:p>
            <w:r>
              <w:rPr>
                <w:sz w:val="17"/>
              </w:rPr>
              <w:t>ISEQ 20 value lost 2023–24</w:t>
            </w:r>
          </w:p>
        </w:tc>
        <w:tc>
          <w:tcPr>
            <w:tcW w:type="dxa" w:w="4309"/>
          </w:tcPr>
          <w:p>
            <w:r>
              <w:rPr>
                <w:sz w:val="17"/>
              </w:rPr>
              <w:t>≈€74bn of ≈€152bn (CRH, Flutter, Smurfit)</w:t>
            </w:r>
          </w:p>
        </w:tc>
        <w:tc>
          <w:tcPr>
            <w:tcW w:type="dxa" w:w="2381"/>
          </w:tcPr>
          <w:p>
            <w:r>
              <w:rPr>
                <w:sz w:val="17"/>
              </w:rPr>
              <w:t>Irish Times</w:t>
            </w:r>
          </w:p>
        </w:tc>
      </w:tr>
      <w:tr>
        <w:tc>
          <w:tcPr>
            <w:tcW w:type="dxa" w:w="3175"/>
          </w:tcPr>
          <w:p>
            <w:r>
              <w:rPr>
                <w:sz w:val="17"/>
              </w:rPr>
              <w:t>Your main sample</w:t>
            </w:r>
          </w:p>
        </w:tc>
        <w:tc>
          <w:tcPr>
            <w:tcW w:type="dxa" w:w="4309"/>
          </w:tcPr>
          <w:p>
            <w:r>
              <w:rPr>
                <w:sz w:val="17"/>
              </w:rPr>
              <w:t>5,243 complete days, Jan 2003 – Aug 2023</w:t>
            </w:r>
          </w:p>
        </w:tc>
        <w:tc>
          <w:tcPr>
            <w:tcW w:type="dxa" w:w="2381"/>
          </w:tcPr>
          <w:p>
            <w:r>
              <w:rPr>
                <w:sz w:val="17"/>
              </w:rPr>
              <w:t>Your data</w:t>
            </w:r>
          </w:p>
        </w:tc>
      </w:tr>
      <w:tr>
        <w:tc>
          <w:tcPr>
            <w:tcW w:type="dxa" w:w="3175"/>
          </w:tcPr>
          <w:p>
            <w:r>
              <w:rPr>
                <w:sz w:val="17"/>
                <w:b w:val="0"/>
              </w:rPr>
              <w:t xml:space="preserve">Diebold–Yilmaz (2012) set-up</w:t>
            </w:r>
          </w:p>
        </w:tc>
        <w:tc>
          <w:tcPr>
            <w:tcW w:type="dxa" w:w="4309"/>
          </w:tcPr>
          <w:p>
            <w:r>
              <w:rPr>
                <w:sz w:val="17"/>
                <w:b w:val="0"/>
              </w:rPr>
              <w:t xml:space="preserve">daily range volatility, 4 US markets, 25 Jan 1999 – 29 Jan 2010 (2,771 days); VAR(4); 10-day horizon; 200-day windows; total spillover 12.6%</w:t>
            </w:r>
          </w:p>
        </w:tc>
        <w:tc>
          <w:tcPr>
            <w:tcW w:type="dxa" w:w="2381"/>
          </w:tcPr>
          <w:p>
            <w:r>
              <w:rPr>
                <w:sz w:val="17"/>
                <w:b w:val="0"/>
              </w:rPr>
              <w:t xml:space="preserve">Diebold &amp; Yilmaz (2012), pp.59–61</w:t>
            </w:r>
          </w:p>
        </w:tc>
      </w:tr>
      <w:tr>
        <w:tc>
          <w:tcPr>
            <w:tcW w:type="dxa" w:w="3175"/>
          </w:tcPr>
          <w:p>
            <w:r>
              <w:rPr>
                <w:sz w:val="17"/>
                <w:b w:val="0"/>
              </w:rPr>
              <w:t xml:space="preserve">Danielsson et al. (2018) database</w:t>
            </w:r>
          </w:p>
        </w:tc>
        <w:tc>
          <w:tcPr>
            <w:tcW w:type="dxa" w:w="4309"/>
          </w:tcPr>
          <w:p>
            <w:r>
              <w:rPr>
                <w:sz w:val="17"/>
                <w:b w:val="0"/>
              </w:rPr>
              <w:t xml:space="preserve">60 countries, up to 211 years, 3,700 country-years, 259 banking crises; 1% below trend for 5 years → +1.01% crisis probability</w:t>
            </w:r>
          </w:p>
        </w:tc>
        <w:tc>
          <w:tcPr>
            <w:tcW w:type="dxa" w:w="2381"/>
          </w:tcPr>
          <w:p>
            <w:r>
              <w:rPr>
                <w:sz w:val="17"/>
                <w:b w:val="0"/>
              </w:rPr>
              <w:t xml:space="preserve">Danielsson et al. (2018), pp.5–6</w:t>
            </w:r>
          </w:p>
        </w:tc>
      </w:tr>
      <w:tr>
        <w:tc>
          <w:tcPr>
            <w:tcW w:type="dxa" w:w="3175"/>
          </w:tcPr>
          <w:p>
            <w:r>
              <w:rPr>
                <w:sz w:val="17"/>
                <w:b w:val="0"/>
              </w:rPr>
              <w:t xml:space="preserve">Your E1 (exploratory)</w:t>
            </w:r>
          </w:p>
        </w:tc>
        <w:tc>
          <w:tcPr>
            <w:tcW w:type="dxa" w:w="4309"/>
          </w:tcPr>
          <w:p>
            <w:r>
              <w:rPr>
                <w:sz w:val="17"/>
                <w:b w:val="0"/>
              </w:rPr>
              <w:t xml:space="preserve">total spillover 34.0%; ISEQ net receiver −8.4; SHAP vs Diebold–Yilmaz agree in 4 of 8 direction checks</w:t>
            </w:r>
          </w:p>
        </w:tc>
        <w:tc>
          <w:tcPr>
            <w:tcW w:type="dxa" w:w="2381"/>
          </w:tcPr>
          <w:p>
            <w:r>
              <w:rPr>
                <w:sz w:val="17"/>
                <w:b w:val="0"/>
              </w:rPr>
              <w:t xml:space="preserve">Your data</w:t>
            </w:r>
          </w:p>
        </w:tc>
      </w:tr>
      <w:tr>
        <w:tc>
          <w:tcPr>
            <w:tcW w:type="dxa" w:w="3175"/>
          </w:tcPr>
          <w:p>
            <w:r>
              <w:rPr>
                <w:sz w:val="17"/>
                <w:b w:val="0"/>
              </w:rPr>
              <w:t xml:space="preserve">Your E2 (exploratory)</w:t>
            </w:r>
          </w:p>
        </w:tc>
        <w:tc>
          <w:tcPr>
            <w:tcW w:type="dxa" w:w="4309"/>
          </w:tcPr>
          <w:p>
            <w:r>
              <w:rPr>
                <w:sz w:val="17"/>
                <w:b w:val="0"/>
              </w:rPr>
              <w:t xml:space="preserve">pre-GFC below-trend measure: Ireland 40th percentile (history 1970–2024), US 42nd, Germany 4th</w:t>
            </w:r>
          </w:p>
        </w:tc>
        <w:tc>
          <w:tcPr>
            <w:tcW w:type="dxa" w:w="2381"/>
          </w:tcPr>
          <w:p>
            <w:r>
              <w:rPr>
                <w:sz w:val="17"/>
                <w:b w:val="0"/>
              </w:rPr>
              <w:t xml:space="preserve">Your data (FRED)</w:t>
            </w:r>
          </w:p>
        </w:tc>
      </w:tr>
    </w:tbl>
    <w:p>
      <w:pPr>
        <w:spacing w:after="40"/>
      </w:pPr>
    </w:p>
    <w:p>
      <w:r>
        <w:drawing>
          <wp:inline xmlns:a="http://schemas.openxmlformats.org/drawingml/2006/main" xmlns:pic="http://schemas.openxmlformats.org/drawingml/2006/picture">
            <wp:extent cx="6192000" cy="3334154"/>
            <wp:docPr id="1" name="Picture 1"/>
            <wp:cNvGraphicFramePr>
              <a:graphicFrameLocks noChangeAspect="1"/>
            </wp:cNvGraphicFramePr>
            <a:graphic>
              <a:graphicData uri="http://schemas.openxmlformats.org/drawingml/2006/picture">
                <pic:pic>
                  <pic:nvPicPr>
                    <pic:cNvPr id="0" name="hb_event_windows.png"/>
                    <pic:cNvPicPr/>
                  </pic:nvPicPr>
                  <pic:blipFill>
                    <a:blip r:embed="rId9"/>
                    <a:stretch>
                      <a:fillRect/>
                    </a:stretch>
                  </pic:blipFill>
                  <pic:spPr>
                    <a:xfrm>
                      <a:off x="0" y="0"/>
                      <a:ext cx="6192000" cy="3334154"/>
                    </a:xfrm>
                    <a:prstGeom prst="rect"/>
                  </pic:spPr>
                </pic:pic>
              </a:graphicData>
            </a:graphic>
          </wp:inline>
        </w:drawing>
      </w:r>
    </w:p>
    <w:p>
      <w:pPr>
        <w:spacing w:after="160"/>
      </w:pPr>
      <w:r>
        <w:rPr>
          <w:b/>
          <w:sz w:val="17"/>
        </w:rPr>
        <w:t xml:space="preserve">Figure H1. </w:t>
      </w:r>
      <w:r>
        <w:rPr>
          <w:i/>
          <w:sz w:val="17"/>
        </w:rPr>
        <w:t>Your data: ISEQ, S&amp;P 500, FTSE 100 and DAX around six events (index = 100 on the day before). Things to notice: after Lehman the ISEQ fell further than the others (domestic weakness — Bekaert et al.); on guarantee day the ISEQ jumped while others did not, then fell with them (Acharya et al.); after Brexit the ISEQ fell hardest while the FTSE 100 recovered (it is priced in sterling, which fell); in 2022 the ISEQ and DAX fell more than the S&amp;P 500 (European exposure). These are descriptive — your models test them formally.</w:t>
      </w:r>
    </w:p>
    <w:p>
      <w:pPr>
        <w:pStyle w:val="Heading1"/>
      </w:pPr>
      <w:r>
        <w:rPr>
          <w:color w:val="1F4E79"/>
        </w:rPr>
        <w:t>B. Irish crisis timeline</w:t>
      </w:r>
    </w:p>
    <w:tbl>
      <w:tblPr>
        <w:tblStyle w:val="TableGrid"/>
        <w:tblW w:type="auto" w:w="0"/>
        <w:jc w:val="center"/>
        <w:tblLook w:firstColumn="1" w:firstRow="1" w:lastColumn="0" w:lastRow="0" w:noHBand="0" w:noVBand="1" w:val="04A0"/>
      </w:tblPr>
      <w:tblGrid>
        <w:gridCol w:w="3400"/>
        <w:gridCol w:w="3400"/>
        <w:gridCol w:w="3400"/>
      </w:tblGrid>
      <w:tr>
        <w:tc>
          <w:tcPr>
            <w:tcW w:type="dxa" w:w="1474"/>
            <w:shd w:val="clear" w:color="auto" w:fill="1F4E79"/>
          </w:tcPr>
          <w:p>
            <w:r>
              <w:rPr>
                <w:b/>
                <w:color w:val="FFFFFF"/>
                <w:sz w:val="17"/>
              </w:rPr>
              <w:t>Date</w:t>
            </w:r>
          </w:p>
        </w:tc>
        <w:tc>
          <w:tcPr>
            <w:tcW w:type="dxa" w:w="4762"/>
            <w:shd w:val="clear" w:color="auto" w:fill="1F4E79"/>
          </w:tcPr>
          <w:p>
            <w:r>
              <w:rPr>
                <w:b/>
                <w:color w:val="FFFFFF"/>
                <w:sz w:val="17"/>
              </w:rPr>
              <w:t>Event</w:t>
            </w:r>
          </w:p>
        </w:tc>
        <w:tc>
          <w:tcPr>
            <w:tcW w:type="dxa" w:w="3628"/>
            <w:shd w:val="clear" w:color="auto" w:fill="1F4E79"/>
          </w:tcPr>
          <w:p>
            <w:r>
              <w:rPr>
                <w:b/>
                <w:color w:val="FFFFFF"/>
                <w:sz w:val="17"/>
              </w:rPr>
              <w:t>Why it matters for you</w:t>
            </w:r>
          </w:p>
        </w:tc>
      </w:tr>
      <w:tr>
        <w:tc>
          <w:tcPr>
            <w:tcW w:type="dxa" w:w="1474"/>
          </w:tcPr>
          <w:p>
            <w:r>
              <w:rPr>
                <w:sz w:val="17"/>
              </w:rPr>
              <w:t>2003–2007</w:t>
            </w:r>
          </w:p>
        </w:tc>
        <w:tc>
          <w:tcPr>
            <w:tcW w:type="dxa" w:w="4762"/>
          </w:tcPr>
          <w:p>
            <w:r>
              <w:rPr>
                <w:sz w:val="17"/>
              </w:rPr>
              <w:t>Credit and property boom (mortgages ≈7×, developer loans ≈11× 1997 levels)</w:t>
            </w:r>
          </w:p>
        </w:tc>
        <w:tc>
          <w:tcPr>
            <w:tcW w:type="dxa" w:w="3628"/>
          </w:tcPr>
          <w:p>
            <w:r>
              <w:rPr>
                <w:sz w:val="17"/>
              </w:rPr>
              <w:t>Minsky’s calm boom; your pre-GFC training data</w:t>
            </w:r>
          </w:p>
        </w:tc>
      </w:tr>
      <w:tr>
        <w:tc>
          <w:tcPr>
            <w:tcW w:type="dxa" w:w="1474"/>
          </w:tcPr>
          <w:p>
            <w:r>
              <w:rPr>
                <w:sz w:val="17"/>
              </w:rPr>
              <w:t>20 Feb 2007</w:t>
            </w:r>
          </w:p>
        </w:tc>
        <w:tc>
          <w:tcPr>
            <w:tcW w:type="dxa" w:w="4762"/>
          </w:tcPr>
          <w:p>
            <w:r>
              <w:rPr>
                <w:sz w:val="17"/>
              </w:rPr>
              <w:t>ISEQ peak 9,981 (your data)</w:t>
            </w:r>
          </w:p>
        </w:tc>
        <w:tc>
          <w:tcPr>
            <w:tcW w:type="dxa" w:w="3628"/>
          </w:tcPr>
          <w:p>
            <w:r>
              <w:rPr>
                <w:sz w:val="17"/>
              </w:rPr>
              <w:t>Irish decline starts before the global crisis</w:t>
            </w:r>
          </w:p>
        </w:tc>
      </w:tr>
      <w:tr>
        <w:tc>
          <w:tcPr>
            <w:tcW w:type="dxa" w:w="1474"/>
          </w:tcPr>
          <w:p>
            <w:r>
              <w:rPr>
                <w:sz w:val="17"/>
              </w:rPr>
              <w:t>9 Aug 2007</w:t>
            </w:r>
          </w:p>
        </w:tc>
        <w:tc>
          <w:tcPr>
            <w:tcW w:type="dxa" w:w="4762"/>
          </w:tcPr>
          <w:p>
            <w:r>
              <w:rPr>
                <w:sz w:val="17"/>
              </w:rPr>
              <w:t>BNP Paribas freezes three funds (Brunnermeier, p.9–10)</w:t>
            </w:r>
          </w:p>
        </w:tc>
        <w:tc>
          <w:tcPr>
            <w:tcW w:type="dxa" w:w="3628"/>
          </w:tcPr>
          <w:p>
            <w:r>
              <w:rPr>
                <w:sz w:val="17"/>
              </w:rPr>
              <w:t>Start of your GFC window</w:t>
            </w:r>
          </w:p>
        </w:tc>
      </w:tr>
      <w:tr>
        <w:tc>
          <w:tcPr>
            <w:tcW w:type="dxa" w:w="1474"/>
          </w:tcPr>
          <w:p>
            <w:r>
              <w:rPr>
                <w:sz w:val="17"/>
              </w:rPr>
              <w:t>Sep 2007</w:t>
            </w:r>
          </w:p>
        </w:tc>
        <w:tc>
          <w:tcPr>
            <w:tcW w:type="dxa" w:w="4762"/>
          </w:tcPr>
          <w:p>
            <w:r>
              <w:rPr>
                <w:sz w:val="17"/>
              </w:rPr>
              <w:t>Northern Rock — first UK bank run in over a century (Brunnermeier)</w:t>
            </w:r>
          </w:p>
        </w:tc>
        <w:tc>
          <w:tcPr>
            <w:tcW w:type="dxa" w:w="3628"/>
          </w:tcPr>
          <w:p>
            <w:r>
              <w:rPr>
                <w:sz w:val="17"/>
              </w:rPr>
              <w:t>Contagion to UK/Irish banks</w:t>
            </w:r>
          </w:p>
        </w:tc>
      </w:tr>
      <w:tr>
        <w:tc>
          <w:tcPr>
            <w:tcW w:type="dxa" w:w="1474"/>
          </w:tcPr>
          <w:p>
            <w:r>
              <w:rPr>
                <w:sz w:val="17"/>
              </w:rPr>
              <w:t>15 Sep 2008</w:t>
            </w:r>
          </w:p>
        </w:tc>
        <w:tc>
          <w:tcPr>
            <w:tcW w:type="dxa" w:w="4762"/>
          </w:tcPr>
          <w:p>
            <w:r>
              <w:rPr>
                <w:sz w:val="17"/>
              </w:rPr>
              <w:t>Lehman Brothers fails</w:t>
            </w:r>
          </w:p>
        </w:tc>
        <w:tc>
          <w:tcPr>
            <w:tcW w:type="dxa" w:w="3628"/>
          </w:tcPr>
          <w:p>
            <w:r>
              <w:rPr>
                <w:sz w:val="17"/>
              </w:rPr>
              <w:t>Peak global stress</w:t>
            </w:r>
          </w:p>
        </w:tc>
      </w:tr>
      <w:tr>
        <w:tc>
          <w:tcPr>
            <w:tcW w:type="dxa" w:w="1474"/>
          </w:tcPr>
          <w:p>
            <w:r>
              <w:rPr>
                <w:sz w:val="17"/>
              </w:rPr>
              <w:t>30 Sep 2008</w:t>
            </w:r>
          </w:p>
        </w:tc>
        <w:tc>
          <w:tcPr>
            <w:tcW w:type="dxa" w:w="4762"/>
          </w:tcPr>
          <w:p>
            <w:r>
              <w:rPr>
                <w:sz w:val="17"/>
              </w:rPr>
              <w:t>Irish guarantee of six banks’ deposits (Acharya et al., p.3)</w:t>
            </w:r>
          </w:p>
        </w:tc>
        <w:tc>
          <w:tcPr>
            <w:tcW w:type="dxa" w:w="3628"/>
          </w:tcPr>
          <w:p>
            <w:r>
              <w:rPr>
                <w:sz w:val="17"/>
              </w:rPr>
              <w:t>Bank risk moves to the state</w:t>
            </w:r>
          </w:p>
        </w:tc>
      </w:tr>
      <w:tr>
        <w:tc>
          <w:tcPr>
            <w:tcW w:type="dxa" w:w="1474"/>
          </w:tcPr>
          <w:p>
            <w:r>
              <w:rPr>
                <w:sz w:val="17"/>
              </w:rPr>
              <w:t>Jan 2009</w:t>
            </w:r>
          </w:p>
        </w:tc>
        <w:tc>
          <w:tcPr>
            <w:tcW w:type="dxa" w:w="4762"/>
          </w:tcPr>
          <w:p>
            <w:r>
              <w:rPr>
                <w:sz w:val="17"/>
              </w:rPr>
              <w:t>Anglo Irish Bank nationalised</w:t>
            </w:r>
          </w:p>
        </w:tc>
        <w:tc>
          <w:tcPr>
            <w:tcW w:type="dxa" w:w="3628"/>
          </w:tcPr>
          <w:p>
            <w:r>
              <w:rPr>
                <w:sz w:val="17"/>
              </w:rPr>
              <w:t>Domestic banking collapse</w:t>
            </w:r>
          </w:p>
        </w:tc>
      </w:tr>
      <w:tr>
        <w:tc>
          <w:tcPr>
            <w:tcW w:type="dxa" w:w="1474"/>
          </w:tcPr>
          <w:p>
            <w:r>
              <w:rPr>
                <w:sz w:val="17"/>
              </w:rPr>
              <w:t>9 Mar 2009</w:t>
            </w:r>
          </w:p>
        </w:tc>
        <w:tc>
          <w:tcPr>
            <w:tcW w:type="dxa" w:w="4762"/>
          </w:tcPr>
          <w:p>
            <w:r>
              <w:rPr>
                <w:sz w:val="17"/>
              </w:rPr>
              <w:t>ISEQ trough 1,916 (your data)</w:t>
            </w:r>
          </w:p>
        </w:tc>
        <w:tc>
          <w:tcPr>
            <w:tcW w:type="dxa" w:w="3628"/>
          </w:tcPr>
          <w:p>
            <w:r>
              <w:rPr>
                <w:sz w:val="17"/>
              </w:rPr>
              <w:t>End of GFC window</w:t>
            </w:r>
          </w:p>
        </w:tc>
      </w:tr>
      <w:tr>
        <w:tc>
          <w:tcPr>
            <w:tcW w:type="dxa" w:w="1474"/>
          </w:tcPr>
          <w:p>
            <w:r>
              <w:rPr>
                <w:sz w:val="17"/>
              </w:rPr>
              <w:t>23 Apr 2010</w:t>
            </w:r>
          </w:p>
        </w:tc>
        <w:tc>
          <w:tcPr>
            <w:tcW w:type="dxa" w:w="4762"/>
          </w:tcPr>
          <w:p>
            <w:r>
              <w:rPr>
                <w:sz w:val="17"/>
              </w:rPr>
              <w:t>Greece requests EU/IMF aid</w:t>
            </w:r>
          </w:p>
        </w:tc>
        <w:tc>
          <w:tcPr>
            <w:tcW w:type="dxa" w:w="3628"/>
          </w:tcPr>
          <w:p>
            <w:r>
              <w:rPr>
                <w:sz w:val="17"/>
              </w:rPr>
              <w:t>Start of Irish sovereign-debt window</w:t>
            </w:r>
          </w:p>
        </w:tc>
      </w:tr>
      <w:tr>
        <w:tc>
          <w:tcPr>
            <w:tcW w:type="dxa" w:w="1474"/>
          </w:tcPr>
          <w:p>
            <w:r>
              <w:rPr>
                <w:sz w:val="17"/>
              </w:rPr>
              <w:t>28 Nov 2010</w:t>
            </w:r>
          </w:p>
        </w:tc>
        <w:tc>
          <w:tcPr>
            <w:tcW w:type="dxa" w:w="4762"/>
          </w:tcPr>
          <w:p>
            <w:r>
              <w:rPr>
                <w:sz w:val="17"/>
              </w:rPr>
              <w:t>€85bn EU/IMF programme for Ireland</w:t>
            </w:r>
          </w:p>
        </w:tc>
        <w:tc>
          <w:tcPr>
            <w:tcW w:type="dxa" w:w="3628"/>
          </w:tcPr>
          <w:p>
            <w:r>
              <w:rPr>
                <w:sz w:val="17"/>
              </w:rPr>
              <w:t>Sovereign crisis peak for Ireland</w:t>
            </w:r>
          </w:p>
        </w:tc>
      </w:tr>
      <w:tr>
        <w:tc>
          <w:tcPr>
            <w:tcW w:type="dxa" w:w="1474"/>
          </w:tcPr>
          <w:p>
            <w:r>
              <w:rPr>
                <w:sz w:val="17"/>
              </w:rPr>
              <w:t>26 Jul 2012</w:t>
            </w:r>
          </w:p>
        </w:tc>
        <w:tc>
          <w:tcPr>
            <w:tcW w:type="dxa" w:w="4762"/>
          </w:tcPr>
          <w:p>
            <w:r>
              <w:rPr>
                <w:sz w:val="17"/>
              </w:rPr>
              <w:t>Draghi: ‘whatever it takes’</w:t>
            </w:r>
          </w:p>
        </w:tc>
        <w:tc>
          <w:tcPr>
            <w:tcW w:type="dxa" w:w="3628"/>
          </w:tcPr>
          <w:p>
            <w:r>
              <w:rPr>
                <w:sz w:val="17"/>
              </w:rPr>
              <w:t>End of window; Whelan: turnaround from 2012</w:t>
            </w:r>
          </w:p>
        </w:tc>
      </w:tr>
      <w:tr>
        <w:tc>
          <w:tcPr>
            <w:tcW w:type="dxa" w:w="1474"/>
          </w:tcPr>
          <w:p>
            <w:r>
              <w:rPr>
                <w:sz w:val="17"/>
              </w:rPr>
              <w:t>15 Dec 2013</w:t>
            </w:r>
          </w:p>
        </w:tc>
        <w:tc>
          <w:tcPr>
            <w:tcW w:type="dxa" w:w="4762"/>
          </w:tcPr>
          <w:p>
            <w:r>
              <w:rPr>
                <w:sz w:val="17"/>
              </w:rPr>
              <w:t>Ireland exits the programme</w:t>
            </w:r>
          </w:p>
        </w:tc>
        <w:tc>
          <w:tcPr>
            <w:tcW w:type="dxa" w:w="3628"/>
          </w:tcPr>
          <w:p>
            <w:r>
              <w:rPr>
                <w:sz w:val="17"/>
              </w:rPr>
              <w:t>Recovery</w:t>
            </w:r>
          </w:p>
        </w:tc>
      </w:tr>
      <w:tr>
        <w:tc>
          <w:tcPr>
            <w:tcW w:type="dxa" w:w="1474"/>
          </w:tcPr>
          <w:p>
            <w:r>
              <w:rPr>
                <w:sz w:val="17"/>
              </w:rPr>
              <w:t>23–27 Jun 2016</w:t>
            </w:r>
          </w:p>
        </w:tc>
        <w:tc>
          <w:tcPr>
            <w:tcW w:type="dxa" w:w="4762"/>
          </w:tcPr>
          <w:p>
            <w:r>
              <w:rPr>
                <w:sz w:val="17"/>
              </w:rPr>
              <w:t>Brexit vote; ISEQ −7.7% and −9.9%</w:t>
            </w:r>
          </w:p>
        </w:tc>
        <w:tc>
          <w:tcPr>
            <w:tcW w:type="dxa" w:w="3628"/>
          </w:tcPr>
          <w:p>
            <w:r>
              <w:rPr>
                <w:sz w:val="17"/>
              </w:rPr>
              <w:t>UK-origin validation event</w:t>
            </w:r>
          </w:p>
        </w:tc>
      </w:tr>
      <w:tr>
        <w:tc>
          <w:tcPr>
            <w:tcW w:type="dxa" w:w="1474"/>
          </w:tcPr>
          <w:p>
            <w:r>
              <w:rPr>
                <w:sz w:val="17"/>
              </w:rPr>
              <w:t>Feb–Mar 2020</w:t>
            </w:r>
          </w:p>
        </w:tc>
        <w:tc>
          <w:tcPr>
            <w:tcW w:type="dxa" w:w="4762"/>
          </w:tcPr>
          <w:p>
            <w:r>
              <w:rPr>
                <w:sz w:val="17"/>
              </w:rPr>
              <w:t>COVID-19; ISEQ −9.9% on 12 Mar</w:t>
            </w:r>
          </w:p>
        </w:tc>
        <w:tc>
          <w:tcPr>
            <w:tcW w:type="dxa" w:w="3628"/>
          </w:tcPr>
          <w:p>
            <w:r>
              <w:rPr>
                <w:sz w:val="17"/>
              </w:rPr>
              <w:t>Exogenous crisis window</w:t>
            </w:r>
          </w:p>
        </w:tc>
      </w:tr>
      <w:tr>
        <w:tc>
          <w:tcPr>
            <w:tcW w:type="dxa" w:w="1474"/>
          </w:tcPr>
          <w:p>
            <w:r>
              <w:rPr>
                <w:sz w:val="17"/>
              </w:rPr>
              <w:t>24 Feb 2022</w:t>
            </w:r>
          </w:p>
        </w:tc>
        <w:tc>
          <w:tcPr>
            <w:tcW w:type="dxa" w:w="4762"/>
          </w:tcPr>
          <w:p>
            <w:r>
              <w:rPr>
                <w:sz w:val="17"/>
              </w:rPr>
              <w:t>Russia invades Ukraine; ISEQ −4.6%; ECB hikes from Jul 2022</w:t>
            </w:r>
          </w:p>
        </w:tc>
        <w:tc>
          <w:tcPr>
            <w:tcW w:type="dxa" w:w="3628"/>
          </w:tcPr>
          <w:p>
            <w:r>
              <w:rPr>
                <w:sz w:val="17"/>
              </w:rPr>
              <w:t>Energy-shock validation event (euro channel)</w:t>
            </w:r>
          </w:p>
        </w:tc>
      </w:tr>
      <w:tr>
        <w:tc>
          <w:tcPr>
            <w:tcW w:type="dxa" w:w="1474"/>
          </w:tcPr>
          <w:p>
            <w:r>
              <w:rPr>
                <w:sz w:val="17"/>
              </w:rPr>
              <w:t>Sep 2023 – Jul 2024</w:t>
            </w:r>
          </w:p>
        </w:tc>
        <w:tc>
          <w:tcPr>
            <w:tcW w:type="dxa" w:w="4762"/>
          </w:tcPr>
          <w:p>
            <w:r>
              <w:rPr>
                <w:sz w:val="17"/>
              </w:rPr>
              <w:t>CRH, Flutter, Smurfit leave the ISEQ</w:t>
            </w:r>
          </w:p>
        </w:tc>
        <w:tc>
          <w:tcPr>
            <w:tcW w:type="dxa" w:w="3628"/>
          </w:tcPr>
          <w:p>
            <w:r>
              <w:rPr>
                <w:sz w:val="17"/>
              </w:rPr>
              <w:t>Sample ends 31 Aug 2023</w:t>
            </w:r>
          </w:p>
        </w:tc>
      </w:tr>
    </w:tbl>
    <w:p>
      <w:pPr>
        <w:spacing w:after="40"/>
      </w:pPr>
    </w:p>
    <w:p>
      <w:pPr>
        <w:pStyle w:val="Heading1"/>
      </w:pPr>
      <w:r>
        <w:rPr>
          <w:color w:val="1F4E79"/>
        </w:rPr>
        <w:t>C. Concept primers with figures from your data</w:t>
      </w:r>
    </w:p>
    <w:p>
      <w:pPr>
        <w:pStyle w:val="Heading2"/>
      </w:pPr>
      <w:r>
        <w:rPr>
          <w:color w:val="1F4E79"/>
        </w:rPr>
        <w:t>C1. Crisis theory</w:t>
      </w:r>
    </w:p>
    <w:p>
      <w:pPr>
        <w:pStyle w:val="ListBullet"/>
        <w:spacing w:after="20"/>
      </w:pPr>
      <w:r>
        <w:rPr>
          <w:b/>
        </w:rPr>
        <w:t xml:space="preserve">Efficient markets (Fama, 1970). </w:t>
      </w:r>
      <w:r>
        <w:t>Returns should be close to unpredictable; volatility is not — see Figure H5. This is why you forecast risk, not price.</w:t>
      </w:r>
    </w:p>
    <w:p>
      <w:pPr>
        <w:pStyle w:val="ListBullet"/>
        <w:spacing w:after="20"/>
      </w:pPr>
      <w:r>
        <w:rPr>
          <w:b/>
        </w:rPr>
        <w:t xml:space="preserve">Minsky (1992). </w:t>
      </w:r>
      <w:r>
        <w:t>Hedge → speculative → Ponzi finance; Theorem 1: stable and unstable regimes exist; Theorem 2: long prosperity moves the economy toward the unstable regime; tight money can turn speculative units Ponzi.</w:t>
      </w:r>
    </w:p>
    <w:p>
      <w:pPr>
        <w:pStyle w:val="ListBullet"/>
        <w:spacing w:after="20"/>
      </w:pPr>
      <w:r>
        <w:rPr>
          <w:b/>
        </w:rPr>
        <w:t xml:space="preserve">Kindleberger. </w:t>
      </w:r>
      <w:r>
        <w:t>Displacement → credit boom → euphoria → distress → panic → lender of last resort.</w:t>
      </w:r>
    </w:p>
    <w:p>
      <w:pPr>
        <w:pStyle w:val="ListBullet"/>
        <w:spacing w:after="20"/>
      </w:pPr>
      <w:r>
        <w:rPr>
          <w:b/>
        </w:rPr>
        <w:t xml:space="preserve">Reinhart &amp; Rogoff. </w:t>
      </w:r>
      <w:r>
        <w:t>Crises recur decades apart, so each generation thinks ‘this time is different’.</w:t>
      </w:r>
    </w:p>
    <w:p>
      <w:pPr>
        <w:pStyle w:val="ListBullet"/>
        <w:spacing w:after="20"/>
      </w:pPr>
      <w:r>
        <w:rPr>
          <w:b/>
        </w:rPr>
        <w:t xml:space="preserve">Volatility paradox (Danielsson et al., 2018). </w:t>
      </w:r>
      <w:r>
        <w:rPr/>
        <w:t xml:space="preserve">Prolonged below-trend volatility — not high volatility — precedes banking crises; Minsky measured in data (Figure H9).</w:t>
      </w:r>
    </w:p>
    <w:p>
      <w:r>
        <w:drawing>
          <wp:inline xmlns:a="http://schemas.openxmlformats.org/drawingml/2006/main" xmlns:pic="http://schemas.openxmlformats.org/drawingml/2006/picture">
            <wp:extent cx="6192000" cy="2352960"/>
            <wp:docPr id="2" name="Picture 2"/>
            <wp:cNvGraphicFramePr>
              <a:graphicFrameLocks noChangeAspect="1"/>
            </wp:cNvGraphicFramePr>
            <a:graphic>
              <a:graphicData uri="http://schemas.openxmlformats.org/drawingml/2006/picture">
                <pic:pic>
                  <pic:nvPicPr>
                    <pic:cNvPr id="0" name="hb_minsky_boom.png"/>
                    <pic:cNvPicPr/>
                  </pic:nvPicPr>
                  <pic:blipFill>
                    <a:blip r:embed="rId10"/>
                    <a:stretch>
                      <a:fillRect/>
                    </a:stretch>
                  </pic:blipFill>
                  <pic:spPr>
                    <a:xfrm>
                      <a:off x="0" y="0"/>
                      <a:ext cx="6192000" cy="2352960"/>
                    </a:xfrm>
                    <a:prstGeom prst="rect"/>
                  </pic:spPr>
                </pic:pic>
              </a:graphicData>
            </a:graphic>
          </wp:inline>
        </w:drawing>
      </w:r>
    </w:p>
    <w:p>
      <w:pPr>
        <w:spacing w:after="160"/>
      </w:pPr>
      <w:r>
        <w:rPr>
          <w:b/>
          <w:sz w:val="17"/>
        </w:rPr>
        <w:t xml:space="preserve">Figure H2. </w:t>
      </w:r>
      <w:r>
        <w:rPr>
          <w:i/>
          <w:sz w:val="17"/>
        </w:rPr>
        <w:t>Your data: the ISEQ doubled between 2003 and early 2007 while its 1-year realised volatility stayed around 10–15%; volatility then rose to about 50% in 2008–09. This is what Minsky’s ‘stability breeds instability’ looks like in a market, and it is why RQ3 asks whether a model trained only on the calm boom can cope with the crash.</w:t>
      </w:r>
    </w:p>
    <w:p>
      <w:pPr>
        <w:pStyle w:val="Heading2"/>
      </w:pPr>
      <w:r>
        <w:rPr>
          <w:color w:val="1F4E79"/>
        </w:rPr>
        <w:t>C2. Contagion and transmission</w:t>
      </w:r>
    </w:p>
    <w:p>
      <w:pPr>
        <w:pStyle w:val="ListBullet"/>
        <w:spacing w:after="20"/>
      </w:pPr>
      <w:r>
        <w:rPr>
          <w:b/>
        </w:rPr>
        <w:t xml:space="preserve">Interdependence vs contagion (Forbes &amp; Rigobon). </w:t>
      </w:r>
      <w:r>
        <w:t>Correlations rise mechanically when volatility rises; the adjusted correlation is ρ* = ρ / √(1 + δ(1 − ρ²)), δ = relative rise in the source market’s variance.</w:t>
      </w:r>
    </w:p>
    <w:p>
      <w:pPr>
        <w:pStyle w:val="ListBullet"/>
        <w:spacing w:after="20"/>
      </w:pPr>
      <w:r>
        <w:rPr>
          <w:b/>
        </w:rPr>
        <w:t xml:space="preserve">Heat waves vs meteor showers (Engle, Ito &amp; Lin). </w:t>
      </w:r>
      <w:r>
        <w:t>Own-market persistence vs volatility travelling between markets. Your ‘domestic’ channel (ISEQ) = heat wave; US (S&amp;P 500) and euro (DAX) channels = meteor showers.</w:t>
      </w:r>
    </w:p>
    <w:p>
      <w:pPr>
        <w:pStyle w:val="ListBullet"/>
        <w:spacing w:after="20"/>
      </w:pPr>
      <w:r>
        <w:rPr>
          <w:b/>
        </w:rPr>
        <w:t xml:space="preserve">Non-synchronous trading (Hamao et al.; Forbes &amp; Rigobon). </w:t>
      </w:r>
      <w:r>
        <w:t>Markets close at different times. Forbes &amp; Rigobon use two-day average returns; you instead align on the Irish calendar and use foreign closes up to day t (Figure H4).</w:t>
      </w:r>
    </w:p>
    <w:p>
      <w:pPr>
        <w:pStyle w:val="ListBullet"/>
        <w:spacing w:after="20"/>
      </w:pPr>
      <w:r>
        <w:rPr>
          <w:b/>
        </w:rPr>
        <w:t xml:space="preserve">Spillover index (Diebold &amp; Yilmaz). </w:t>
      </w:r>
      <w:r>
        <w:t>Share of a market’s forecast-error variance caused by other markets; volatility spillovers burst in crises.</w:t>
      </w:r>
      <w:r>
        <w:t xml:space="preserve"> The 2012 version uses a generalized decomposition that does not depend on variable order and adds directional (to/from) and net spillovers — the method of your exploratory E1 (Figures H7–H8).</w:t>
      </w:r>
    </w:p>
    <w:p>
      <w:r>
        <w:drawing>
          <wp:inline xmlns:a="http://schemas.openxmlformats.org/drawingml/2006/main" xmlns:pic="http://schemas.openxmlformats.org/drawingml/2006/picture">
            <wp:extent cx="6192000" cy="2000492"/>
            <wp:docPr id="3" name="Picture 3"/>
            <wp:cNvGraphicFramePr>
              <a:graphicFrameLocks noChangeAspect="1"/>
            </wp:cNvGraphicFramePr>
            <a:graphic>
              <a:graphicData uri="http://schemas.openxmlformats.org/drawingml/2006/picture">
                <pic:pic>
                  <pic:nvPicPr>
                    <pic:cNvPr id="0" name="hb_rolling_correlation.png"/>
                    <pic:cNvPicPr/>
                  </pic:nvPicPr>
                  <pic:blipFill>
                    <a:blip r:embed="rId11"/>
                    <a:stretch>
                      <a:fillRect/>
                    </a:stretch>
                  </pic:blipFill>
                  <pic:spPr>
                    <a:xfrm>
                      <a:off x="0" y="0"/>
                      <a:ext cx="6192000" cy="2000492"/>
                    </a:xfrm>
                    <a:prstGeom prst="rect"/>
                  </pic:spPr>
                </pic:pic>
              </a:graphicData>
            </a:graphic>
          </wp:inline>
        </w:drawing>
      </w:r>
    </w:p>
    <w:p>
      <w:pPr>
        <w:spacing w:after="160"/>
      </w:pPr>
      <w:r>
        <w:rPr>
          <w:b/>
          <w:sz w:val="17"/>
        </w:rPr>
        <w:t xml:space="preserve">Figure H3. </w:t>
      </w:r>
      <w:r>
        <w:rPr>
          <w:i/>
          <w:sz w:val="17"/>
        </w:rPr>
        <w:t>Your data: 250-day correlation of daily ISEQ returns with London and Frankfurt (same day) and New York (previous US day). Links with Europe rose towards 0.85 in the Irish debt crisis and COVID — the pattern Forbes &amp; Rigobon warn can reflect volatility rather than contagion. The New York link is weaker and collapses when a few extreme days enter the window (e.g., early 2020), showing how fragile simple correlation is — one reason to use forecasting models and attributions instead.</w:t>
      </w:r>
    </w:p>
    <w:p>
      <w:r>
        <w:drawing>
          <wp:inline xmlns:a="http://schemas.openxmlformats.org/drawingml/2006/main" xmlns:pic="http://schemas.openxmlformats.org/drawingml/2006/picture">
            <wp:extent cx="5760000" cy="1570909"/>
            <wp:docPr id="4" name="Picture 4"/>
            <wp:cNvGraphicFramePr>
              <a:graphicFrameLocks noChangeAspect="1"/>
            </wp:cNvGraphicFramePr>
            <a:graphic>
              <a:graphicData uri="http://schemas.openxmlformats.org/drawingml/2006/picture">
                <pic:pic>
                  <pic:nvPicPr>
                    <pic:cNvPr id="0" name="hb_trading_hours.png"/>
                    <pic:cNvPicPr/>
                  </pic:nvPicPr>
                  <pic:blipFill>
                    <a:blip r:embed="rId12"/>
                    <a:stretch>
                      <a:fillRect/>
                    </a:stretch>
                  </pic:blipFill>
                  <pic:spPr>
                    <a:xfrm>
                      <a:off x="0" y="0"/>
                      <a:ext cx="5760000" cy="1570909"/>
                    </a:xfrm>
                    <a:prstGeom prst="rect"/>
                  </pic:spPr>
                </pic:pic>
              </a:graphicData>
            </a:graphic>
          </wp:inline>
        </w:drawing>
      </w:r>
    </w:p>
    <w:p>
      <w:pPr>
        <w:spacing w:after="160"/>
      </w:pPr>
      <w:r>
        <w:rPr>
          <w:b/>
          <w:sz w:val="17"/>
        </w:rPr>
        <w:t xml:space="preserve">Figure H4. </w:t>
      </w:r>
      <w:r>
        <w:rPr>
          <w:i/>
          <w:sz w:val="17"/>
        </w:rPr>
        <w:t>Original diagram: New York closes at about 21:00 Irish time, after Dublin. A forecast issued at 08:00 on day t+1 may legitimately use every market’s close up to day t — never day t+1 (Hamao, Masulis &amp; Ng, 1990).</w:t>
      </w:r>
    </w:p>
    <w:p>
      <w:pPr>
        <w:pStyle w:val="Heading2"/>
      </w:pPr>
      <w:r>
        <w:rPr>
          <w:color w:val="1F4E79"/>
        </w:rPr>
        <w:t>C3. Volatility econometrics</w:t>
      </w:r>
    </w:p>
    <w:p>
      <w:pPr>
        <w:pStyle w:val="ListBullet"/>
        <w:spacing w:after="20"/>
      </w:pPr>
      <w:r>
        <w:rPr>
          <w:b/>
        </w:rPr>
        <w:t xml:space="preserve">Stylised facts (Cont, 2001). </w:t>
      </w:r>
      <w:r>
        <w:t>Little autocorrelation in returns, strong and slowly decaying autocorrelation in squared returns (Figure H5).</w:t>
      </w:r>
    </w:p>
    <w:p>
      <w:pPr>
        <w:pStyle w:val="ListBullet"/>
        <w:spacing w:after="20"/>
      </w:pPr>
      <w:r>
        <w:rPr>
          <w:b/>
        </w:rPr>
        <w:t xml:space="preserve">GARCH(1,1). </w:t>
      </w:r>
      <w:r>
        <w:t>σ²(t) = ω + α·ε²(t−1) + β·σ²(t−1); α+β = persistence.</w:t>
      </w:r>
    </w:p>
    <w:p>
      <w:pPr>
        <w:pStyle w:val="ListBullet"/>
        <w:spacing w:after="20"/>
      </w:pPr>
      <w:r>
        <w:rPr>
          <w:b/>
        </w:rPr>
        <w:t xml:space="preserve">HAR (Corsi, 2009). </w:t>
      </w:r>
      <w:r>
        <w:t>RV(t+1) = β0 + βd·daily + βw·weekly + βm·monthly (Figure H6).</w:t>
      </w:r>
    </w:p>
    <w:p>
      <w:pPr>
        <w:pStyle w:val="ListBullet"/>
        <w:spacing w:after="20"/>
      </w:pPr>
      <w:r>
        <w:rPr>
          <w:b/>
        </w:rPr>
        <w:t xml:space="preserve">QLIKE (Patton, 2011). </w:t>
      </w:r>
      <w:r>
        <w:t>RV/F − ln(RV/F) − 1; robust to noisy volatility proxies; penalises under-prediction more.</w:t>
      </w:r>
    </w:p>
    <w:p>
      <w:pPr>
        <w:pStyle w:val="ListBullet"/>
        <w:spacing w:after="20"/>
      </w:pPr>
      <w:r>
        <w:rPr>
          <w:b/>
        </w:rPr>
        <w:t xml:space="preserve">Diebold–Mariano + HLN. </w:t>
      </w:r>
      <w:r>
        <w:t>Test on the average loss difference; Newey–West with h−1 = 4 lags for 5-day forecasts; small-sample correction.</w:t>
      </w:r>
    </w:p>
    <w:p>
      <w:r>
        <w:drawing>
          <wp:inline xmlns:a="http://schemas.openxmlformats.org/drawingml/2006/main" xmlns:pic="http://schemas.openxmlformats.org/drawingml/2006/picture">
            <wp:extent cx="6192000" cy="2352960"/>
            <wp:docPr id="5" name="Picture 5"/>
            <wp:cNvGraphicFramePr>
              <a:graphicFrameLocks noChangeAspect="1"/>
            </wp:cNvGraphicFramePr>
            <a:graphic>
              <a:graphicData uri="http://schemas.openxmlformats.org/drawingml/2006/picture">
                <pic:pic>
                  <pic:nvPicPr>
                    <pic:cNvPr id="0" name="hb_volatility_clustering.png"/>
                    <pic:cNvPicPr/>
                  </pic:nvPicPr>
                  <pic:blipFill>
                    <a:blip r:embed="rId13"/>
                    <a:stretch>
                      <a:fillRect/>
                    </a:stretch>
                  </pic:blipFill>
                  <pic:spPr>
                    <a:xfrm>
                      <a:off x="0" y="0"/>
                      <a:ext cx="6192000" cy="2352960"/>
                    </a:xfrm>
                    <a:prstGeom prst="rect"/>
                  </pic:spPr>
                </pic:pic>
              </a:graphicData>
            </a:graphic>
          </wp:inline>
        </w:drawing>
      </w:r>
    </w:p>
    <w:p>
      <w:pPr>
        <w:spacing w:after="160"/>
      </w:pPr>
      <w:r>
        <w:rPr>
          <w:b/>
          <w:sz w:val="17"/>
        </w:rPr>
        <w:t xml:space="preserve">Figure H5. </w:t>
      </w:r>
      <w:r>
        <w:rPr>
          <w:i/>
          <w:sz w:val="17"/>
        </w:rPr>
        <w:t>Your data: autocorrelation of ISEQ daily returns (grey) is almost always inside the ‘no autocorrelation’ band, but squared returns (blue) are strongly and persistently autocorrelated even 60 days back. Returns are hard to predict; volatility is not. Long memory like this is what HAR and LSTM are designed to capture.</w:t>
      </w:r>
    </w:p>
    <w:p>
      <w:r>
        <w:drawing>
          <wp:inline xmlns:a="http://schemas.openxmlformats.org/drawingml/2006/main" xmlns:pic="http://schemas.openxmlformats.org/drawingml/2006/picture">
            <wp:extent cx="6192000" cy="2352960"/>
            <wp:docPr id="6" name="Picture 6"/>
            <wp:cNvGraphicFramePr>
              <a:graphicFrameLocks noChangeAspect="1"/>
            </wp:cNvGraphicFramePr>
            <a:graphic>
              <a:graphicData uri="http://schemas.openxmlformats.org/drawingml/2006/picture">
                <pic:pic>
                  <pic:nvPicPr>
                    <pic:cNvPr id="0" name="hb_har_components.png"/>
                    <pic:cNvPicPr/>
                  </pic:nvPicPr>
                  <pic:blipFill>
                    <a:blip r:embed="rId14"/>
                    <a:stretch>
                      <a:fillRect/>
                    </a:stretch>
                  </pic:blipFill>
                  <pic:spPr>
                    <a:xfrm>
                      <a:off x="0" y="0"/>
                      <a:ext cx="6192000" cy="2352960"/>
                    </a:xfrm>
                    <a:prstGeom prst="rect"/>
                  </pic:spPr>
                </pic:pic>
              </a:graphicData>
            </a:graphic>
          </wp:inline>
        </w:drawing>
      </w:r>
    </w:p>
    <w:p>
      <w:pPr>
        <w:spacing w:after="160"/>
      </w:pPr>
      <w:r>
        <w:rPr>
          <w:b/>
          <w:sz w:val="17"/>
        </w:rPr>
        <w:t xml:space="preserve">Figure H6. </w:t>
      </w:r>
      <w:r>
        <w:rPr>
          <w:i/>
          <w:sz w:val="17"/>
        </w:rPr>
        <w:t>Your data: the three HAR ingredients during the GFC. The daily series (grey) is very noisy; the weekly average (blue) follows turning points; the monthly average (red) carries the slow, persistent level. HAR combines all three; your LSTM sees the same history day by day.</w:t>
      </w:r>
    </w:p>
    <w:p>
      <w:pPr>
        <w:pStyle w:val="Heading2"/>
      </w:pPr>
      <w:r>
        <w:rPr>
          <w:color w:val="1F4E79"/>
        </w:rPr>
        <w:t>C4. LSTM and C5. Explainable AI (summary)</w:t>
      </w:r>
    </w:p>
    <w:p>
      <w:pPr>
        <w:pStyle w:val="ListBullet"/>
        <w:spacing w:after="20"/>
      </w:pPr>
      <w:r>
        <w:rPr>
          <w:b/>
        </w:rPr>
        <w:t xml:space="preserve">LSTM. </w:t>
      </w:r>
      <w:r>
        <w:t>Cell state + gates (input, output; forget gate added by Gers et al., 2000) fix vanishing gradients.</w:t>
      </w:r>
    </w:p>
    <w:p>
      <w:pPr>
        <w:pStyle w:val="ListBullet"/>
        <w:spacing w:after="20"/>
      </w:pPr>
      <w:r>
        <w:rPr>
          <w:b/>
        </w:rPr>
        <w:t xml:space="preserve">SHAP. </w:t>
      </w:r>
      <w:r>
        <w:t>Unique additive attribution with local accuracy, missingness, consistency (Lundberg &amp; Lee).</w:t>
      </w:r>
    </w:p>
    <w:p>
      <w:pPr>
        <w:pStyle w:val="ListBullet"/>
        <w:spacing w:after="20"/>
      </w:pPr>
      <w:r>
        <w:rPr>
          <w:b/>
        </w:rPr>
        <w:t xml:space="preserve">Integrated Gradients. </w:t>
      </w:r>
      <w:r>
        <w:t>Sensitivity + implementation invariance; completeness; depends on a baseline.</w:t>
      </w:r>
    </w:p>
    <w:p>
      <w:pPr>
        <w:pStyle w:val="ListBullet"/>
        <w:spacing w:after="20"/>
      </w:pPr>
      <w:r>
        <w:rPr>
          <w:b/>
        </w:rPr>
        <w:t xml:space="preserve">Expected gradients / GradientSHAP. </w:t>
      </w:r>
      <w:r>
        <w:t>IG averaged over baselines drawn from real data (Erion et al.).</w:t>
      </w:r>
    </w:p>
    <w:p>
      <w:pPr>
        <w:pStyle w:val="ListBullet"/>
        <w:spacing w:after="20"/>
      </w:pPr>
      <w:r>
        <w:rPr>
          <w:b/>
        </w:rPr>
        <w:t xml:space="preserve">Limits. </w:t>
      </w:r>
      <w:r>
        <w:t>Correlated features (Aas et al.); mathematical and human-centred problems (Kumar et al.); prefer interpretable models in high-stakes use (Rudin).</w:t>
      </w:r>
    </w:p>
    <w:p>
      <w:pPr>
        <w:pStyle w:val="Heading2"/>
      </w:pPr>
      <w:r>
        <w:rPr>
          <w:color w:val="1F4E79"/>
        </w:rPr>
        <w:t xml:space="preserve">C6. Tools of the exploratory extensions (added 30 Sep 2026)</w:t>
      </w:r>
    </w:p>
    <w:p>
      <w:pPr>
        <w:pStyle w:val="ListBullet"/>
        <w:spacing w:after="20"/>
      </w:pPr>
      <w:r>
        <w:rPr>
          <w:b/>
        </w:rPr>
        <w:t xml:space="preserve">Connectedness (E1). </w:t>
      </w:r>
      <w:r>
        <w:rPr/>
        <w:t xml:space="preserve">A VAR(4) on log 5-day realised variance of ISEQ, S&amp;P 500 and DAX, re-estimated on each 200-day window. The ISEQ row of the generalized variance decomposition gives own / from-US / from-euro shares — comparable with your SHAP channel shares, but from a linear model of volatility only.</w:t>
      </w:r>
    </w:p>
    <w:p>
      <w:pPr>
        <w:pStyle w:val="ListBullet"/>
        <w:spacing w:after="20"/>
      </w:pPr>
      <w:r>
        <w:rPr>
          <w:b/>
        </w:rPr>
        <w:t xml:space="preserve">One-sided HP trend (E2). </w:t>
      </w:r>
      <w:r>
        <w:rPr/>
        <w:t xml:space="preserve">For each year the trend is fitted to past years only; volatility below it counts as ‘calm’. The five-year average of that calm is Danielsson et al.’s crisis indicator.</w:t>
      </w:r>
    </w:p>
    <w:p>
      <w:r>
        <w:drawing>
          <wp:inline xmlns:a="http://schemas.openxmlformats.org/drawingml/2006/main" xmlns:pic="http://schemas.openxmlformats.org/drawingml/2006/picture">
            <wp:extent cx="6192000" cy="3658909"/>
            <wp:docPr id="7" name="Picture 7"/>
            <wp:cNvGraphicFramePr>
              <a:graphicFrameLocks noChangeAspect="1"/>
            </wp:cNvGraphicFramePr>
            <a:graphic>
              <a:graphicData uri="http://schemas.openxmlformats.org/drawingml/2006/picture">
                <pic:pic>
                  <pic:nvPicPr>
                    <pic:cNvPr id="0" name="connectedness_rolling.png"/>
                    <pic:cNvPicPr/>
                  </pic:nvPicPr>
                  <pic:blipFill>
                    <a:blip r:embed="rId15"/>
                    <a:stretch>
                      <a:fillRect/>
                    </a:stretch>
                  </pic:blipFill>
                  <pic:spPr>
                    <a:xfrm>
                      <a:off x="0" y="0"/>
                      <a:ext cx="6192000" cy="3658909"/>
                    </a:xfrm>
                    <a:prstGeom prst="rect"/>
                  </pic:spPr>
                </pic:pic>
              </a:graphicData>
            </a:graphic>
          </wp:inline>
        </w:drawing>
      </w:r>
    </w:p>
    <w:p>
      <w:pPr>
        <w:spacing w:after="160"/>
      </w:pPr>
      <w:r>
        <w:rPr>
          <w:sz w:val="17"/>
          <w:b/>
        </w:rPr>
        <w:t xml:space="preserve">Figure H7. </w:t>
      </w:r>
      <w:r>
        <w:rPr>
          <w:sz w:val="17"/>
          <w:i/>
        </w:rPr>
        <w:t xml:space="preserve">Your data: share of the ISEQ’s volatility forecast-error variance coming from the US (blue) and the DAX (orange) in a 200-day rolling VAR, and the total spillover index (bottom). The US share jumps in COVID-19; the DAX share is highest in 2016–17 and 2022; total spillover peaks at 55% in September 2020. Method: Diebold &amp; Yilmaz (2012).</w:t>
      </w:r>
    </w:p>
    <w:p>
      <w:r>
        <w:drawing>
          <wp:inline xmlns:a="http://schemas.openxmlformats.org/drawingml/2006/main" xmlns:pic="http://schemas.openxmlformats.org/drawingml/2006/picture">
            <wp:extent cx="6192000" cy="1960800"/>
            <wp:docPr id="8" name="Picture 8"/>
            <wp:cNvGraphicFramePr>
              <a:graphicFrameLocks noChangeAspect="1"/>
            </wp:cNvGraphicFramePr>
            <a:graphic>
              <a:graphicData uri="http://schemas.openxmlformats.org/drawingml/2006/picture">
                <pic:pic>
                  <pic:nvPicPr>
                    <pic:cNvPr id="0" name="connectedness_vs_shap.png"/>
                    <pic:cNvPicPr/>
                  </pic:nvPicPr>
                  <pic:blipFill>
                    <a:blip r:embed="rId16"/>
                    <a:stretch>
                      <a:fillRect/>
                    </a:stretch>
                  </pic:blipFill>
                  <pic:spPr>
                    <a:xfrm>
                      <a:off x="0" y="0"/>
                      <a:ext cx="6192000" cy="1960800"/>
                    </a:xfrm>
                    <a:prstGeom prst="rect"/>
                  </pic:spPr>
                </pic:pic>
              </a:graphicData>
            </a:graphic>
          </wp:inline>
        </w:drawing>
      </w:r>
    </w:p>
    <w:p>
      <w:pPr>
        <w:spacing w:after="160"/>
      </w:pPr>
      <w:r>
        <w:rPr>
          <w:sz w:val="17"/>
          <w:b/>
        </w:rPr>
        <w:t xml:space="preserve">Figure H8. </w:t>
      </w:r>
      <w:r>
        <w:rPr>
          <w:sz w:val="17"/>
          <w:i/>
        </w:rPr>
        <w:t xml:space="preserve">Your data: SHAP channel shares of the LSTM (solid) next to Diebold–Yilmaz shares (hatched) in each window. The two lenses agree that the US share was highest in COVID-19 and differ most in 2022 (Project Handbook, H9).</w:t>
      </w:r>
    </w:p>
    <w:p>
      <w:r>
        <w:drawing>
          <wp:inline xmlns:a="http://schemas.openxmlformats.org/drawingml/2006/main" xmlns:pic="http://schemas.openxmlformats.org/drawingml/2006/picture">
            <wp:extent cx="6192000" cy="2874857"/>
            <wp:docPr id="9" name="Picture 9"/>
            <wp:cNvGraphicFramePr>
              <a:graphicFrameLocks noChangeAspect="1"/>
            </wp:cNvGraphicFramePr>
            <a:graphic>
              <a:graphicData uri="http://schemas.openxmlformats.org/drawingml/2006/picture">
                <pic:pic>
                  <pic:nvPicPr>
                    <pic:cNvPr id="0" name="volatility_paradox.png"/>
                    <pic:cNvPicPr/>
                  </pic:nvPicPr>
                  <pic:blipFill>
                    <a:blip r:embed="rId17"/>
                    <a:stretch>
                      <a:fillRect/>
                    </a:stretch>
                  </pic:blipFill>
                  <pic:spPr>
                    <a:xfrm>
                      <a:off x="0" y="0"/>
                      <a:ext cx="6192000" cy="2874857"/>
                    </a:xfrm>
                    <a:prstGeom prst="rect"/>
                  </pic:spPr>
                </pic:pic>
              </a:graphicData>
            </a:graphic>
          </wp:inline>
        </w:drawing>
      </w:r>
    </w:p>
    <w:p>
      <w:pPr>
        <w:spacing w:after="160"/>
      </w:pPr>
      <w:r>
        <w:rPr>
          <w:sz w:val="17"/>
          <w:b/>
        </w:rPr>
        <w:t xml:space="preserve">Figure H9. </w:t>
      </w:r>
      <w:r>
        <w:rPr>
          <w:sz w:val="17"/>
          <w:i/>
        </w:rPr>
        <w:t xml:space="preserve">Your data (FRED, from 1955): annual volatility and its one-sided HP trend (top) and the five-year below-trend measure (bottom) for Ireland, the US and Germany. Only Germany was unusually calm before the GFC. Method: Danielsson, Valenzuela &amp; Zer (2018).</w:t>
      </w:r>
    </w:p>
    <w:p>
      <w:pPr>
        <w:pStyle w:val="Heading1"/>
      </w:pPr>
      <w:r>
        <w:rPr>
          <w:color w:val="1F4E79"/>
        </w:rPr>
        <w:t>D. Paper cards</w:t>
      </w:r>
    </w:p>
    <w:p>
      <w:pPr>
        <w:pStyle w:val="Heading2"/>
      </w:pPr>
      <w:r>
        <w:rPr>
          <w:color w:val="1F4E79"/>
        </w:rPr>
        <w:t>D1. Section 2.2 — Why crises recur</w:t>
      </w:r>
    </w:p>
    <w:tbl>
      <w:tblPr>
        <w:tblStyle w:val="TableGrid"/>
        <w:tblW w:type="auto" w:w="0"/>
        <w:jc w:val="center"/>
        <w:tblLook w:firstColumn="1" w:firstRow="1" w:lastColumn="0" w:lastRow="0" w:noHBand="0" w:noVBand="1" w:val="04A0"/>
      </w:tblPr>
      <w:tblGrid>
        <w:gridCol w:w="5100"/>
        <w:gridCol w:w="5100"/>
      </w:tblGrid>
      <w:tr>
        <w:tc>
          <w:tcPr>
            <w:tcW w:type="dxa" w:w="8164"/>
            <w:gridSpan w:val="2"/>
            <w:shd w:val="clear" w:color="auto" w:fill="1F4E79"/>
          </w:tcPr>
          <w:p>
            <w:r>
              <w:rPr>
                <w:b/>
                <w:color w:val="FFFFFF"/>
                <w:sz w:val="19"/>
              </w:rPr>
              <w:t>Minsky, H. (1992) The Financial Instability Hypothesis. Levy Institute WP 74.</w:t>
            </w:r>
          </w:p>
        </w:tc>
      </w:tr>
      <w:tr>
        <w:tc>
          <w:tcPr>
            <w:tcW w:type="dxa" w:w="1701"/>
            <w:shd w:val="clear" w:color="auto" w:fill="D9EAD3"/>
          </w:tcPr>
          <w:p>
            <w:r>
              <w:rPr>
                <w:b/>
                <w:sz w:val="16"/>
              </w:rPr>
              <w:t>Source basis</w:t>
            </w:r>
          </w:p>
        </w:tc>
        <w:tc>
          <w:tcPr>
            <w:tcW w:type="dxa" w:w="8164"/>
            <w:shd w:val="clear" w:color="auto" w:fill="D9EAD3"/>
          </w:tcPr>
          <w:p>
            <w:r>
              <w:rPr>
                <w:sz w:val="16"/>
              </w:rPr>
              <w:t>FULL TEXT read in this session; page numbers refer to the open-access version in Part G</w:t>
            </w:r>
          </w:p>
        </w:tc>
      </w:tr>
      <w:tr>
        <w:tc>
          <w:tcPr>
            <w:tcW w:type="dxa" w:w="1701"/>
          </w:tcPr>
          <w:p>
            <w:r>
              <w:rPr>
                <w:b/>
                <w:sz w:val="16"/>
              </w:rPr>
              <w:t>Summary</w:t>
            </w:r>
          </w:p>
        </w:tc>
        <w:tc>
          <w:tcPr>
            <w:tcW w:type="dxa" w:w="8164"/>
          </w:tcPr>
          <w:p>
            <w:r>
              <w:rPr>
                <w:sz w:val="16"/>
              </w:rPr>
              <w:t>A short essay arguing that financial crises come from inside the economy: long periods of stability encourage ever-riskier borrowing until the system becomes fragile and a small shock causes a crash.</w:t>
            </w:r>
          </w:p>
        </w:tc>
      </w:tr>
      <w:tr>
        <w:tc>
          <w:tcPr>
            <w:tcW w:type="dxa" w:w="1701"/>
          </w:tcPr>
          <w:p>
            <w:r>
              <w:rPr>
                <w:b/>
                <w:sz w:val="16"/>
              </w:rPr>
              <w:t>Dataset</w:t>
            </w:r>
          </w:p>
        </w:tc>
        <w:tc>
          <w:tcPr>
            <w:tcW w:type="dxa" w:w="8164"/>
          </w:tcPr>
          <w:p>
            <w:r>
              <w:rPr>
                <w:sz w:val="16"/>
              </w:rPr>
              <w:t>None — a theoretical essay.</w:t>
            </w:r>
          </w:p>
        </w:tc>
      </w:tr>
      <w:tr>
        <w:tc>
          <w:tcPr>
            <w:tcW w:type="dxa" w:w="1701"/>
          </w:tcPr>
          <w:p>
            <w:r>
              <w:rPr>
                <w:b/>
                <w:sz w:val="16"/>
              </w:rPr>
              <w:t>Methodology</w:t>
            </w:r>
          </w:p>
        </w:tc>
        <w:tc>
          <w:tcPr>
            <w:tcW w:type="dxa" w:w="8164"/>
          </w:tcPr>
          <w:p>
            <w:r>
              <w:rPr>
                <w:sz w:val="16"/>
              </w:rPr>
              <w:t>Verbal theory building on Keynes; classification of borrowers by how their income covers debt payments.</w:t>
            </w:r>
          </w:p>
        </w:tc>
      </w:tr>
      <w:tr>
        <w:tc>
          <w:tcPr>
            <w:tcW w:type="dxa" w:w="1701"/>
          </w:tcPr>
          <w:p>
            <w:r>
              <w:rPr>
                <w:b/>
                <w:sz w:val="16"/>
              </w:rPr>
              <w:t>Results</w:t>
            </w:r>
          </w:p>
        </w:tc>
        <w:tc>
          <w:tcPr>
            <w:tcW w:type="dxa" w:w="8164"/>
          </w:tcPr>
          <w:p>
            <w:r>
              <w:rPr>
                <w:sz w:val="16"/>
              </w:rPr>
              <w:t>• Hedge units pay interest and principal from income; speculative units pay interest but must refinance principal; Ponzi units cannot even pay interest.</w:t>
            </w:r>
          </w:p>
          <w:p>
            <w:r>
              <w:rPr>
                <w:sz w:val="16"/>
              </w:rPr>
              <w:t>• Theorem 1: an economy has stable and unstable financing regimes.</w:t>
            </w:r>
          </w:p>
          <w:p>
            <w:r>
              <w:rPr>
                <w:sz w:val="16"/>
              </w:rPr>
              <w:t>• Theorem 2: long prosperity moves the economy from stable to unstable financing.</w:t>
            </w:r>
          </w:p>
          <w:p>
            <w:r>
              <w:rPr>
                <w:sz w:val="16"/>
              </w:rPr>
              <w:t>• The more speculative/Ponzi finance, the more the system amplifies shocks.</w:t>
            </w:r>
          </w:p>
          <w:p>
            <w:r>
              <w:rPr>
                <w:sz w:val="16"/>
              </w:rPr>
              <w:t>• Fighting inflation with tight money can turn speculative units into Ponzi units.</w:t>
            </w:r>
          </w:p>
        </w:tc>
      </w:tr>
      <w:tr>
        <w:tc>
          <w:tcPr>
            <w:tcW w:type="dxa" w:w="1701"/>
            <w:shd w:val="clear" w:color="auto" w:fill="EAF1FB"/>
          </w:tcPr>
          <w:p>
            <w:r>
              <w:rPr>
                <w:b/>
                <w:sz w:val="16"/>
              </w:rPr>
              <w:t>How it relates to MY study</w:t>
            </w:r>
          </w:p>
        </w:tc>
        <w:tc>
          <w:tcPr>
            <w:tcW w:type="dxa" w:w="8164"/>
            <w:shd w:val="clear" w:color="auto" w:fill="EAF1FB"/>
          </w:tcPr>
          <w:p>
            <w:r>
              <w:rPr>
                <w:sz w:val="16"/>
              </w:rPr>
              <w:t>The theory behind RQ3: your models learn from the calm 2003–07 boom (Figure H2) and are then tested on the crash. Also frames the 2022 rate shock (tight money).</w:t>
            </w:r>
          </w:p>
        </w:tc>
      </w:tr>
      <w:tr>
        <w:tc>
          <w:tcPr>
            <w:tcW w:type="dxa" w:w="1701"/>
            <w:shd w:val="clear" w:color="auto" w:fill="EAF1FB"/>
          </w:tcPr>
          <w:p>
            <w:r>
              <w:rPr>
                <w:b/>
                <w:sz w:val="16"/>
              </w:rPr>
              <w:t>Must read in the original</w:t>
            </w:r>
          </w:p>
        </w:tc>
        <w:tc>
          <w:tcPr>
            <w:tcW w:type="dxa" w:w="8164"/>
            <w:shd w:val="clear" w:color="auto" w:fill="EAF1FB"/>
          </w:tcPr>
          <w:p>
            <w:r>
              <w:rPr>
                <w:sz w:val="16"/>
              </w:rPr>
              <w:t>Whole paper (10 pages). Key: definitions of the three finance types and the two theorems (pp. 6–8).</w:t>
            </w:r>
          </w:p>
        </w:tc>
      </w:tr>
      <w:tr>
        <w:tc>
          <w:tcPr>
            <w:tcW w:type="dxa" w:w="1701"/>
          </w:tcPr>
          <w:p>
            <w:r>
              <w:rPr>
                <w:b/>
                <w:sz w:val="16"/>
              </w:rPr>
              <w:t>Can skim / skip</w:t>
            </w:r>
          </w:p>
        </w:tc>
        <w:tc>
          <w:tcPr>
            <w:tcW w:type="dxa" w:w="8164"/>
          </w:tcPr>
          <w:p>
            <w:r>
              <w:rPr>
                <w:sz w:val="16"/>
              </w:rPr>
              <w:t>Nothing — it is short.</w:t>
            </w:r>
          </w:p>
        </w:tc>
      </w:tr>
      <w:tr>
        <w:tc>
          <w:tcPr>
            <w:tcW w:type="dxa" w:w="1701"/>
          </w:tcPr>
          <w:p>
            <w:r>
              <w:rPr>
                <w:b/>
                <w:sz w:val="16"/>
              </w:rPr>
              <w:t>Key terms</w:t>
            </w:r>
          </w:p>
        </w:tc>
        <w:tc>
          <w:tcPr>
            <w:tcW w:type="dxa" w:w="8164"/>
          </w:tcPr>
          <w:p>
            <w:r>
              <w:rPr>
                <w:sz w:val="16"/>
              </w:rPr>
              <w:t>hedge / speculative / Ponzi finance; financial fragility; deviation-amplifying system</w:t>
            </w:r>
          </w:p>
        </w:tc>
      </w:tr>
      <w:tr>
        <w:tc>
          <w:tcPr>
            <w:tcW w:type="dxa" w:w="1701"/>
          </w:tcPr>
          <w:p>
            <w:r>
              <w:rPr>
                <w:b/>
                <w:sz w:val="16"/>
              </w:rPr>
              <w:t>Strengths</w:t>
            </w:r>
          </w:p>
        </w:tc>
        <w:tc>
          <w:tcPr>
            <w:tcW w:type="dxa" w:w="8164"/>
          </w:tcPr>
          <w:p>
            <w:r>
              <w:rPr>
                <w:sz w:val="16"/>
              </w:rPr>
              <w:t>Clear, influential, anticipates the GFC mechanism.</w:t>
            </w:r>
          </w:p>
        </w:tc>
      </w:tr>
      <w:tr>
        <w:tc>
          <w:tcPr>
            <w:tcW w:type="dxa" w:w="1701"/>
          </w:tcPr>
          <w:p>
            <w:r>
              <w:rPr>
                <w:b/>
                <w:sz w:val="16"/>
              </w:rPr>
              <w:t>Weaknesses / critique</w:t>
            </w:r>
          </w:p>
        </w:tc>
        <w:tc>
          <w:tcPr>
            <w:tcW w:type="dxa" w:w="8164"/>
          </w:tcPr>
          <w:p>
            <w:r>
              <w:rPr>
                <w:sz w:val="16"/>
              </w:rPr>
              <w:t>Not formally tested; hard to measure directly.</w:t>
            </w:r>
          </w:p>
        </w:tc>
      </w:tr>
      <w:tr>
        <w:tc>
          <w:tcPr>
            <w:tcW w:type="dxa" w:w="1701"/>
            <w:shd w:val="clear" w:color="auto" w:fill="EAF1FB"/>
          </w:tcPr>
          <w:p>
            <w:r>
              <w:rPr>
                <w:b/>
                <w:sz w:val="16"/>
              </w:rPr>
              <w:t>Use it as · where</w:t>
            </w:r>
          </w:p>
        </w:tc>
        <w:tc>
          <w:tcPr>
            <w:tcW w:type="dxa" w:w="8164"/>
            <w:shd w:val="clear" w:color="auto" w:fill="EAF1FB"/>
          </w:tcPr>
          <w:p>
            <w:r>
              <w:rPr>
                <w:sz w:val="16"/>
              </w:rPr>
              <w:t>Theory support · 2.2; H3; Discussion</w:t>
            </w:r>
          </w:p>
        </w:tc>
      </w:tr>
    </w:tbl>
    <w:p>
      <w:pPr>
        <w:spacing w:after="80"/>
      </w:pPr>
    </w:p>
    <w:tbl>
      <w:tblPr>
        <w:tblStyle w:val="TableGrid"/>
        <w:tblW w:type="auto" w:w="0"/>
        <w:jc w:val="center"/>
        <w:tblLook w:firstColumn="1" w:firstRow="1" w:lastColumn="0" w:lastRow="0" w:noHBand="0" w:noVBand="1" w:val="04A0"/>
      </w:tblPr>
      <w:tblGrid>
        <w:gridCol w:w="5100"/>
        <w:gridCol w:w="5100"/>
      </w:tblGrid>
      <w:tr>
        <w:tc>
          <w:tcPr>
            <w:tcW w:type="dxa" w:w="8164"/>
            <w:gridSpan w:val="2"/>
            <w:shd w:val="clear" w:color="auto" w:fill="1F4E79"/>
          </w:tcPr>
          <w:p>
            <w:r>
              <w:rPr>
                <w:b/>
                <w:color w:val="FFFFFF"/>
                <w:sz w:val="19"/>
              </w:rPr>
              <w:t>Reinhart, C. &amp; Rogoff, K. (2008/2009) This Time Is Different (NBER WP 13882; book 2009).</w:t>
            </w:r>
          </w:p>
        </w:tc>
      </w:tr>
      <w:tr>
        <w:tc>
          <w:tcPr>
            <w:tcW w:type="dxa" w:w="1701"/>
            <w:shd w:val="clear" w:color="auto" w:fill="D9EAD3"/>
          </w:tcPr>
          <w:p>
            <w:r>
              <w:rPr>
                <w:b/>
                <w:sz w:val="16"/>
              </w:rPr>
              <w:t>Source basis</w:t>
            </w:r>
          </w:p>
        </w:tc>
        <w:tc>
          <w:tcPr>
            <w:tcW w:type="dxa" w:w="8164"/>
            <w:shd w:val="clear" w:color="auto" w:fill="D9EAD3"/>
          </w:tcPr>
          <w:p>
            <w:r>
              <w:rPr>
                <w:sz w:val="16"/>
              </w:rPr>
              <w:t>FULL TEXT read in this session; page numbers refer to the open-access version in Part G</w:t>
            </w:r>
          </w:p>
        </w:tc>
      </w:tr>
      <w:tr>
        <w:tc>
          <w:tcPr>
            <w:tcW w:type="dxa" w:w="1701"/>
          </w:tcPr>
          <w:p>
            <w:r>
              <w:rPr>
                <w:b/>
                <w:sz w:val="16"/>
              </w:rPr>
              <w:t>Summary</w:t>
            </w:r>
          </w:p>
        </w:tc>
        <w:tc>
          <w:tcPr>
            <w:tcW w:type="dxa" w:w="8164"/>
          </w:tcPr>
          <w:p>
            <w:r>
              <w:rPr>
                <w:sz w:val="16"/>
              </w:rPr>
              <w:t>A historical database of crises across eight centuries showing that defaults and banking crises recur, that they cluster, and that each generation wrongly believes it is immune.</w:t>
            </w:r>
          </w:p>
        </w:tc>
      </w:tr>
      <w:tr>
        <w:tc>
          <w:tcPr>
            <w:tcW w:type="dxa" w:w="1701"/>
          </w:tcPr>
          <w:p>
            <w:r>
              <w:rPr>
                <w:b/>
                <w:sz w:val="16"/>
              </w:rPr>
              <w:t>Dataset</w:t>
            </w:r>
          </w:p>
        </w:tc>
        <w:tc>
          <w:tcPr>
            <w:tcW w:type="dxa" w:w="8164"/>
          </w:tcPr>
          <w:p>
            <w:r>
              <w:rPr>
                <w:sz w:val="16"/>
              </w:rPr>
              <w:t>66 countries (Table 1, p.15), all regions including India and China; from the 14th century to 2008.</w:t>
            </w:r>
          </w:p>
        </w:tc>
      </w:tr>
      <w:tr>
        <w:tc>
          <w:tcPr>
            <w:tcW w:type="dxa" w:w="1701"/>
          </w:tcPr>
          <w:p>
            <w:r>
              <w:rPr>
                <w:b/>
                <w:sz w:val="16"/>
              </w:rPr>
              <w:t>Methodology</w:t>
            </w:r>
          </w:p>
        </w:tc>
        <w:tc>
          <w:tcPr>
            <w:tcW w:type="dxa" w:w="8164"/>
          </w:tcPr>
          <w:p>
            <w:r>
              <w:rPr>
                <w:sz w:val="16"/>
              </w:rPr>
              <w:t>Descriptive statistics on defaults, banking crises, inflation and currency crashes.</w:t>
            </w:r>
          </w:p>
        </w:tc>
      </w:tr>
      <w:tr>
        <w:tc>
          <w:tcPr>
            <w:tcW w:type="dxa" w:w="1701"/>
          </w:tcPr>
          <w:p>
            <w:r>
              <w:rPr>
                <w:b/>
                <w:sz w:val="16"/>
              </w:rPr>
              <w:t>Results</w:t>
            </w:r>
          </w:p>
        </w:tc>
        <w:tc>
          <w:tcPr>
            <w:tcW w:type="dxa" w:w="8164"/>
          </w:tcPr>
          <w:p>
            <w:r>
              <w:rPr>
                <w:sz w:val="16"/>
              </w:rPr>
              <w:t>• Serial default is nearly universal as countries develop.</w:t>
            </w:r>
          </w:p>
          <w:p>
            <w:r>
              <w:rPr>
                <w:sz w:val="16"/>
              </w:rPr>
              <w:t>• Defaults are years or decades apart, creating the ‘this time is different’ illusion.</w:t>
            </w:r>
          </w:p>
          <w:p>
            <w:r>
              <w:rPr>
                <w:sz w:val="16"/>
              </w:rPr>
              <w:t>• Crises often start in financial centres and spread through interest-rate and commodity-price shocks.</w:t>
            </w:r>
          </w:p>
          <w:p>
            <w:r>
              <w:rPr>
                <w:sz w:val="16"/>
              </w:rPr>
              <w:t>• The US sub-prime crisis was ‘hardly unique’.</w:t>
            </w:r>
          </w:p>
        </w:tc>
      </w:tr>
      <w:tr>
        <w:tc>
          <w:tcPr>
            <w:tcW w:type="dxa" w:w="1701"/>
            <w:shd w:val="clear" w:color="auto" w:fill="EAF1FB"/>
          </w:tcPr>
          <w:p>
            <w:r>
              <w:rPr>
                <w:b/>
                <w:sz w:val="16"/>
              </w:rPr>
              <w:t>How it relates to MY study</w:t>
            </w:r>
          </w:p>
        </w:tc>
        <w:tc>
          <w:tcPr>
            <w:tcW w:type="dxa" w:w="8164"/>
            <w:shd w:val="clear" w:color="auto" w:fill="EAF1FB"/>
          </w:tcPr>
          <w:p>
            <w:r>
              <w:rPr>
                <w:sz w:val="16"/>
              </w:rPr>
              <w:t>Your title; the US-origin expectation for the GFC (H2a); the history lens in your Discussion.</w:t>
            </w:r>
          </w:p>
        </w:tc>
      </w:tr>
      <w:tr>
        <w:tc>
          <w:tcPr>
            <w:tcW w:type="dxa" w:w="1701"/>
            <w:shd w:val="clear" w:color="auto" w:fill="EAF1FB"/>
          </w:tcPr>
          <w:p>
            <w:r>
              <w:rPr>
                <w:b/>
                <w:sz w:val="16"/>
              </w:rPr>
              <w:t>Must read in the original</w:t>
            </w:r>
          </w:p>
        </w:tc>
        <w:tc>
          <w:tcPr>
            <w:tcW w:type="dxa" w:w="8164"/>
            <w:shd w:val="clear" w:color="auto" w:fill="EAF1FB"/>
          </w:tcPr>
          <w:p>
            <w:r>
              <w:rPr>
                <w:sz w:val="16"/>
              </w:rPr>
              <w:t>Abstract (p.2); I. Introduction (pp.3–4); II. First insights (pp.5–15), especially Figure 1 (p.6, share of countries in default).</w:t>
            </w:r>
          </w:p>
        </w:tc>
      </w:tr>
      <w:tr>
        <w:tc>
          <w:tcPr>
            <w:tcW w:type="dxa" w:w="1701"/>
          </w:tcPr>
          <w:p>
            <w:r>
              <w:rPr>
                <w:b/>
                <w:sz w:val="16"/>
              </w:rPr>
              <w:t>Can skim / skip</w:t>
            </w:r>
          </w:p>
        </w:tc>
        <w:tc>
          <w:tcPr>
            <w:tcW w:type="dxa" w:w="8164"/>
          </w:tcPr>
          <w:p>
            <w:r>
              <w:rPr>
                <w:sz w:val="16"/>
              </w:rPr>
              <w:t>Data appendices (pp.56–125).</w:t>
            </w:r>
          </w:p>
        </w:tc>
      </w:tr>
      <w:tr>
        <w:tc>
          <w:tcPr>
            <w:tcW w:type="dxa" w:w="1701"/>
          </w:tcPr>
          <w:p>
            <w:r>
              <w:rPr>
                <w:b/>
                <w:sz w:val="16"/>
              </w:rPr>
              <w:t>Key terms</w:t>
            </w:r>
          </w:p>
        </w:tc>
        <w:tc>
          <w:tcPr>
            <w:tcW w:type="dxa" w:w="8164"/>
          </w:tcPr>
          <w:p>
            <w:r>
              <w:rPr>
                <w:sz w:val="16"/>
              </w:rPr>
              <w:t>serial default; ‘this time is different’ syndrome; financial centre</w:t>
            </w:r>
          </w:p>
        </w:tc>
      </w:tr>
      <w:tr>
        <w:tc>
          <w:tcPr>
            <w:tcW w:type="dxa" w:w="1701"/>
          </w:tcPr>
          <w:p>
            <w:r>
              <w:rPr>
                <w:b/>
                <w:sz w:val="16"/>
              </w:rPr>
              <w:t>Strengths</w:t>
            </w:r>
          </w:p>
        </w:tc>
        <w:tc>
          <w:tcPr>
            <w:tcW w:type="dxa" w:w="8164"/>
          </w:tcPr>
          <w:p>
            <w:r>
              <w:rPr>
                <w:sz w:val="16"/>
              </w:rPr>
              <w:t>Unmatched historical scope.</w:t>
            </w:r>
          </w:p>
        </w:tc>
      </w:tr>
      <w:tr>
        <w:tc>
          <w:tcPr>
            <w:tcW w:type="dxa" w:w="1701"/>
          </w:tcPr>
          <w:p>
            <w:r>
              <w:rPr>
                <w:b/>
                <w:sz w:val="16"/>
              </w:rPr>
              <w:t>Weaknesses / critique</w:t>
            </w:r>
          </w:p>
        </w:tc>
        <w:tc>
          <w:tcPr>
            <w:tcW w:type="dxa" w:w="8164"/>
          </w:tcPr>
          <w:p>
            <w:r>
              <w:rPr>
                <w:sz w:val="16"/>
              </w:rPr>
              <w:t>Annual macro data; about incidence, not market transmission or forecasting.</w:t>
            </w:r>
          </w:p>
        </w:tc>
      </w:tr>
      <w:tr>
        <w:tc>
          <w:tcPr>
            <w:tcW w:type="dxa" w:w="1701"/>
            <w:shd w:val="clear" w:color="auto" w:fill="EAF1FB"/>
          </w:tcPr>
          <w:p>
            <w:r>
              <w:rPr>
                <w:b/>
                <w:sz w:val="16"/>
              </w:rPr>
              <w:t>Use it as · where</w:t>
            </w:r>
          </w:p>
        </w:tc>
        <w:tc>
          <w:tcPr>
            <w:tcW w:type="dxa" w:w="8164"/>
            <w:shd w:val="clear" w:color="auto" w:fill="EAF1FB"/>
          </w:tcPr>
          <w:p>
            <w:r>
              <w:rPr>
                <w:sz w:val="16"/>
              </w:rPr>
              <w:t>Context + framing · 1, 2.2, 5</w:t>
            </w:r>
          </w:p>
        </w:tc>
      </w:tr>
    </w:tbl>
    <w:p>
      <w:pPr>
        <w:spacing w:after="80"/>
      </w:pPr>
    </w:p>
    <w:tbl>
      <w:tblPr>
        <w:tblStyle w:val="TableGrid"/>
        <w:tblW w:type="auto" w:w="0"/>
        <w:jc w:val="center"/>
        <w:tblLook w:firstColumn="1" w:firstRow="1" w:lastColumn="0" w:lastRow="0" w:noHBand="0" w:noVBand="1" w:val="04A0"/>
      </w:tblPr>
      <w:tblGrid>
        <w:gridCol w:w="5100"/>
        <w:gridCol w:w="5100"/>
      </w:tblGrid>
      <w:tr>
        <w:tc>
          <w:tcPr>
            <w:tcW w:type="dxa" w:w="8164"/>
            <w:gridSpan w:val="2"/>
            <w:shd w:val="clear" w:color="auto" w:fill="1F4E79"/>
          </w:tcPr>
          <w:p>
            <w:r>
              <w:rPr>
                <w:b/>
                <w:color w:val="FFFFFF"/>
                <w:sz w:val="19"/>
              </w:rPr>
              <w:t>Fama, E. (1970) Efficient capital markets. Journal of Finance, 25(2), 383–417.</w:t>
            </w:r>
          </w:p>
        </w:tc>
      </w:tr>
      <w:tr>
        <w:tc>
          <w:tcPr>
            <w:tcW w:type="dxa" w:w="1701"/>
            <w:shd w:val="clear" w:color="auto" w:fill="EFEFEF"/>
          </w:tcPr>
          <w:p>
            <w:r>
              <w:rPr>
                <w:b/>
                <w:sz w:val="16"/>
              </w:rPr>
              <w:t>Source basis</w:t>
            </w:r>
          </w:p>
        </w:tc>
        <w:tc>
          <w:tcPr>
            <w:tcW w:type="dxa" w:w="8164"/>
            <w:shd w:val="clear" w:color="auto" w:fill="EFEFEF"/>
          </w:tcPr>
          <w:p>
            <w:r>
              <w:rPr>
                <w:sz w:val="16"/>
              </w:rPr>
              <w:t>STANDARD KNOWLEDGE, not re-read this session; confirm every detail and page before citing</w:t>
            </w:r>
          </w:p>
        </w:tc>
      </w:tr>
      <w:tr>
        <w:tc>
          <w:tcPr>
            <w:tcW w:type="dxa" w:w="1701"/>
          </w:tcPr>
          <w:p>
            <w:r>
              <w:rPr>
                <w:b/>
                <w:sz w:val="16"/>
              </w:rPr>
              <w:t>Summary</w:t>
            </w:r>
          </w:p>
        </w:tc>
        <w:tc>
          <w:tcPr>
            <w:tcW w:type="dxa" w:w="8164"/>
          </w:tcPr>
          <w:p>
            <w:r>
              <w:rPr>
                <w:sz w:val="16"/>
              </w:rPr>
              <w:t>The classic review defining weak, semi-strong and strong market efficiency.</w:t>
            </w:r>
          </w:p>
        </w:tc>
      </w:tr>
      <w:tr>
        <w:tc>
          <w:tcPr>
            <w:tcW w:type="dxa" w:w="1701"/>
          </w:tcPr>
          <w:p>
            <w:r>
              <w:rPr>
                <w:b/>
                <w:sz w:val="16"/>
              </w:rPr>
              <w:t>Dataset</w:t>
            </w:r>
          </w:p>
        </w:tc>
        <w:tc>
          <w:tcPr>
            <w:tcW w:type="dxa" w:w="8164"/>
          </w:tcPr>
          <w:p>
            <w:r>
              <w:rPr>
                <w:sz w:val="16"/>
              </w:rPr>
              <w:t>Review of empirical studies before 1970.</w:t>
            </w:r>
          </w:p>
        </w:tc>
      </w:tr>
      <w:tr>
        <w:tc>
          <w:tcPr>
            <w:tcW w:type="dxa" w:w="1701"/>
          </w:tcPr>
          <w:p>
            <w:r>
              <w:rPr>
                <w:b/>
                <w:sz w:val="16"/>
              </w:rPr>
              <w:t>Methodology</w:t>
            </w:r>
          </w:p>
        </w:tc>
        <w:tc>
          <w:tcPr>
            <w:tcW w:type="dxa" w:w="8164"/>
          </w:tcPr>
          <w:p>
            <w:r>
              <w:rPr>
                <w:sz w:val="16"/>
              </w:rPr>
              <w:t>Literature review and classification of tests.</w:t>
            </w:r>
          </w:p>
        </w:tc>
      </w:tr>
      <w:tr>
        <w:tc>
          <w:tcPr>
            <w:tcW w:type="dxa" w:w="1701"/>
          </w:tcPr>
          <w:p>
            <w:r>
              <w:rPr>
                <w:b/>
                <w:sz w:val="16"/>
              </w:rPr>
              <w:t>Results</w:t>
            </w:r>
          </w:p>
        </w:tc>
        <w:tc>
          <w:tcPr>
            <w:tcW w:type="dxa" w:w="8164"/>
          </w:tcPr>
          <w:p>
            <w:r>
              <w:rPr>
                <w:sz w:val="16"/>
              </w:rPr>
              <w:t>• Strong support for weak and semi-strong efficiency; little for the strong form.</w:t>
            </w:r>
          </w:p>
          <w:p>
            <w:r>
              <w:rPr>
                <w:sz w:val="16"/>
              </w:rPr>
              <w:t>• Tests of efficiency are joint tests with a model of expected returns.</w:t>
            </w:r>
          </w:p>
        </w:tc>
      </w:tr>
      <w:tr>
        <w:tc>
          <w:tcPr>
            <w:tcW w:type="dxa" w:w="1701"/>
            <w:shd w:val="clear" w:color="auto" w:fill="EAF1FB"/>
          </w:tcPr>
          <w:p>
            <w:r>
              <w:rPr>
                <w:b/>
                <w:sz w:val="16"/>
              </w:rPr>
              <w:t>How it relates to MY study</w:t>
            </w:r>
          </w:p>
        </w:tc>
        <w:tc>
          <w:tcPr>
            <w:tcW w:type="dxa" w:w="8164"/>
            <w:shd w:val="clear" w:color="auto" w:fill="EAF1FB"/>
          </w:tcPr>
          <w:p>
            <w:r>
              <w:rPr>
                <w:sz w:val="16"/>
              </w:rPr>
              <w:t>Why you forecast volatility (predictable) rather than returns (not).</w:t>
            </w:r>
          </w:p>
        </w:tc>
      </w:tr>
      <w:tr>
        <w:tc>
          <w:tcPr>
            <w:tcW w:type="dxa" w:w="1701"/>
            <w:shd w:val="clear" w:color="auto" w:fill="EAF1FB"/>
          </w:tcPr>
          <w:p>
            <w:r>
              <w:rPr>
                <w:b/>
                <w:sz w:val="16"/>
              </w:rPr>
              <w:t>Must read in the original</w:t>
            </w:r>
          </w:p>
        </w:tc>
        <w:tc>
          <w:tcPr>
            <w:tcW w:type="dxa" w:w="8164"/>
            <w:shd w:val="clear" w:color="auto" w:fill="EAF1FB"/>
          </w:tcPr>
          <w:p>
            <w:r>
              <w:rPr>
                <w:sz w:val="16"/>
              </w:rPr>
              <w:t>Introduction and the weak-form evidence section.</w:t>
            </w:r>
          </w:p>
        </w:tc>
      </w:tr>
      <w:tr>
        <w:tc>
          <w:tcPr>
            <w:tcW w:type="dxa" w:w="1701"/>
          </w:tcPr>
          <w:p>
            <w:r>
              <w:rPr>
                <w:b/>
                <w:sz w:val="16"/>
              </w:rPr>
              <w:t>Can skim / skip</w:t>
            </w:r>
          </w:p>
        </w:tc>
        <w:tc>
          <w:tcPr>
            <w:tcW w:type="dxa" w:w="8164"/>
          </w:tcPr>
          <w:p>
            <w:r>
              <w:rPr>
                <w:sz w:val="16"/>
              </w:rPr>
              <w:t>Detailed older test results.</w:t>
            </w:r>
          </w:p>
        </w:tc>
      </w:tr>
      <w:tr>
        <w:tc>
          <w:tcPr>
            <w:tcW w:type="dxa" w:w="1701"/>
          </w:tcPr>
          <w:p>
            <w:r>
              <w:rPr>
                <w:b/>
                <w:sz w:val="16"/>
              </w:rPr>
              <w:t>Key terms</w:t>
            </w:r>
          </w:p>
        </w:tc>
        <w:tc>
          <w:tcPr>
            <w:tcW w:type="dxa" w:w="8164"/>
          </w:tcPr>
          <w:p>
            <w:r>
              <w:rPr>
                <w:sz w:val="16"/>
              </w:rPr>
              <w:t>weak / semi-strong / strong form; joint hypothesis</w:t>
            </w:r>
          </w:p>
        </w:tc>
      </w:tr>
      <w:tr>
        <w:tc>
          <w:tcPr>
            <w:tcW w:type="dxa" w:w="1701"/>
          </w:tcPr>
          <w:p>
            <w:r>
              <w:rPr>
                <w:b/>
                <w:sz w:val="16"/>
              </w:rPr>
              <w:t>Strengths</w:t>
            </w:r>
          </w:p>
        </w:tc>
        <w:tc>
          <w:tcPr>
            <w:tcW w:type="dxa" w:w="8164"/>
          </w:tcPr>
          <w:p>
            <w:r>
              <w:rPr>
                <w:sz w:val="16"/>
              </w:rPr>
              <w:t>Foundational definitions.</w:t>
            </w:r>
          </w:p>
        </w:tc>
      </w:tr>
      <w:tr>
        <w:tc>
          <w:tcPr>
            <w:tcW w:type="dxa" w:w="1701"/>
          </w:tcPr>
          <w:p>
            <w:r>
              <w:rPr>
                <w:b/>
                <w:sz w:val="16"/>
              </w:rPr>
              <w:t>Weaknesses / critique</w:t>
            </w:r>
          </w:p>
        </w:tc>
        <w:tc>
          <w:tcPr>
            <w:tcW w:type="dxa" w:w="8164"/>
          </w:tcPr>
          <w:p>
            <w:r>
              <w:rPr>
                <w:sz w:val="16"/>
              </w:rPr>
              <w:t>About returns; pre-dates volatility-clustering evidence.</w:t>
            </w:r>
          </w:p>
        </w:tc>
      </w:tr>
      <w:tr>
        <w:tc>
          <w:tcPr>
            <w:tcW w:type="dxa" w:w="1701"/>
            <w:shd w:val="clear" w:color="auto" w:fill="EAF1FB"/>
          </w:tcPr>
          <w:p>
            <w:r>
              <w:rPr>
                <w:b/>
                <w:sz w:val="16"/>
              </w:rPr>
              <w:t>Use it as · where</w:t>
            </w:r>
          </w:p>
        </w:tc>
        <w:tc>
          <w:tcPr>
            <w:tcW w:type="dxa" w:w="8164"/>
            <w:shd w:val="clear" w:color="auto" w:fill="EAF1FB"/>
          </w:tcPr>
          <w:p>
            <w:r>
              <w:rPr>
                <w:sz w:val="16"/>
              </w:rPr>
              <w:t>Context · 2.2; Chapter 3 target choice</w:t>
            </w:r>
          </w:p>
        </w:tc>
      </w:tr>
    </w:tbl>
    <w:p>
      <w:pPr>
        <w:spacing w:after="80"/>
      </w:pPr>
    </w:p>
    <w:tbl>
      <w:tblPr>
        <w:tblStyle w:val="TableGrid"/>
        <w:tblW w:type="auto" w:w="0"/>
        <w:jc w:val="center"/>
        <w:tblLook w:firstColumn="1" w:firstRow="1" w:lastColumn="0" w:lastRow="0" w:noHBand="0" w:noVBand="1" w:val="04A0"/>
      </w:tblPr>
      <w:tblGrid>
        <w:gridCol w:w="5100"/>
        <w:gridCol w:w="5100"/>
      </w:tblGrid>
      <w:tr>
        <w:tc>
          <w:tcPr>
            <w:tcW w:type="dxa" w:w="8164"/>
            <w:gridSpan w:val="2"/>
            <w:shd w:val="clear" w:color="auto" w:fill="1F4E79"/>
          </w:tcPr>
          <w:p>
            <w:r>
              <w:rPr>
                <w:b/>
                <w:color w:val="FFFFFF"/>
                <w:sz w:val="19"/>
              </w:rPr>
              <w:t>Kindleberger, C. &amp; Aliber, R. (2015) Manias, Panics and Crashes, 7th edn.</w:t>
            </w:r>
          </w:p>
        </w:tc>
      </w:tr>
      <w:tr>
        <w:tc>
          <w:tcPr>
            <w:tcW w:type="dxa" w:w="1701"/>
            <w:shd w:val="clear" w:color="auto" w:fill="EFEFEF"/>
          </w:tcPr>
          <w:p>
            <w:r>
              <w:rPr>
                <w:b/>
                <w:sz w:val="16"/>
              </w:rPr>
              <w:t>Source basis</w:t>
            </w:r>
          </w:p>
        </w:tc>
        <w:tc>
          <w:tcPr>
            <w:tcW w:type="dxa" w:w="8164"/>
            <w:shd w:val="clear" w:color="auto" w:fill="EFEFEF"/>
          </w:tcPr>
          <w:p>
            <w:r>
              <w:rPr>
                <w:sz w:val="16"/>
              </w:rPr>
              <w:t>STANDARD KNOWLEDGE, not re-read this session; confirm every detail and page before citing</w:t>
            </w:r>
          </w:p>
        </w:tc>
      </w:tr>
      <w:tr>
        <w:tc>
          <w:tcPr>
            <w:tcW w:type="dxa" w:w="1701"/>
          </w:tcPr>
          <w:p>
            <w:r>
              <w:rPr>
                <w:b/>
                <w:sz w:val="16"/>
              </w:rPr>
              <w:t>Summary</w:t>
            </w:r>
          </w:p>
        </w:tc>
        <w:tc>
          <w:tcPr>
            <w:tcW w:type="dxa" w:w="8164"/>
          </w:tcPr>
          <w:p>
            <w:r>
              <w:rPr>
                <w:sz w:val="16"/>
              </w:rPr>
              <w:t>Narrative history showing that manias and crashes follow a recurring pattern.</w:t>
            </w:r>
          </w:p>
        </w:tc>
      </w:tr>
      <w:tr>
        <w:tc>
          <w:tcPr>
            <w:tcW w:type="dxa" w:w="1701"/>
          </w:tcPr>
          <w:p>
            <w:r>
              <w:rPr>
                <w:b/>
                <w:sz w:val="16"/>
              </w:rPr>
              <w:t>Dataset</w:t>
            </w:r>
          </w:p>
        </w:tc>
        <w:tc>
          <w:tcPr>
            <w:tcW w:type="dxa" w:w="8164"/>
          </w:tcPr>
          <w:p>
            <w:r>
              <w:rPr>
                <w:sz w:val="16"/>
              </w:rPr>
              <w:t>Historical episodes over several centuries.</w:t>
            </w:r>
          </w:p>
        </w:tc>
      </w:tr>
      <w:tr>
        <w:tc>
          <w:tcPr>
            <w:tcW w:type="dxa" w:w="1701"/>
          </w:tcPr>
          <w:p>
            <w:r>
              <w:rPr>
                <w:b/>
                <w:sz w:val="16"/>
              </w:rPr>
              <w:t>Methodology</w:t>
            </w:r>
          </w:p>
        </w:tc>
        <w:tc>
          <w:tcPr>
            <w:tcW w:type="dxa" w:w="8164"/>
          </w:tcPr>
          <w:p>
            <w:r>
              <w:rPr>
                <w:sz w:val="16"/>
              </w:rPr>
              <w:t>Comparative history built on Minsky.</w:t>
            </w:r>
          </w:p>
        </w:tc>
      </w:tr>
      <w:tr>
        <w:tc>
          <w:tcPr>
            <w:tcW w:type="dxa" w:w="1701"/>
          </w:tcPr>
          <w:p>
            <w:r>
              <w:rPr>
                <w:b/>
                <w:sz w:val="16"/>
              </w:rPr>
              <w:t>Results</w:t>
            </w:r>
          </w:p>
        </w:tc>
        <w:tc>
          <w:tcPr>
            <w:tcW w:type="dxa" w:w="8164"/>
          </w:tcPr>
          <w:p>
            <w:r>
              <w:rPr>
                <w:sz w:val="16"/>
              </w:rPr>
              <w:t>• Stages: displacement, credit boom, euphoria, distress, panic, lender of last resort.</w:t>
            </w:r>
          </w:p>
          <w:p>
            <w:r>
              <w:rPr>
                <w:sz w:val="16"/>
              </w:rPr>
              <w:t>• Crises spread internationally through trade, capital flows and psychology.</w:t>
            </w:r>
          </w:p>
        </w:tc>
      </w:tr>
      <w:tr>
        <w:tc>
          <w:tcPr>
            <w:tcW w:type="dxa" w:w="1701"/>
            <w:shd w:val="clear" w:color="auto" w:fill="EAF1FB"/>
          </w:tcPr>
          <w:p>
            <w:r>
              <w:rPr>
                <w:b/>
                <w:sz w:val="16"/>
              </w:rPr>
              <w:t>How it relates to MY study</w:t>
            </w:r>
          </w:p>
        </w:tc>
        <w:tc>
          <w:tcPr>
            <w:tcW w:type="dxa" w:w="8164"/>
            <w:shd w:val="clear" w:color="auto" w:fill="EAF1FB"/>
          </w:tcPr>
          <w:p>
            <w:r>
              <w:rPr>
                <w:sz w:val="16"/>
              </w:rPr>
              <w:t>Classify the ‘displacement’ (origin) of each of your three crises.</w:t>
            </w:r>
          </w:p>
        </w:tc>
      </w:tr>
      <w:tr>
        <w:tc>
          <w:tcPr>
            <w:tcW w:type="dxa" w:w="1701"/>
            <w:shd w:val="clear" w:color="auto" w:fill="EAF1FB"/>
          </w:tcPr>
          <w:p>
            <w:r>
              <w:rPr>
                <w:b/>
                <w:sz w:val="16"/>
              </w:rPr>
              <w:t>Must read in the original</w:t>
            </w:r>
          </w:p>
        </w:tc>
        <w:tc>
          <w:tcPr>
            <w:tcW w:type="dxa" w:w="8164"/>
            <w:shd w:val="clear" w:color="auto" w:fill="EAF1FB"/>
          </w:tcPr>
          <w:p>
            <w:r>
              <w:rPr>
                <w:sz w:val="16"/>
              </w:rPr>
              <w:t>The chapter on the anatomy of a typical crisis and the chapter on international contagion (check chapter numbers in your edition).</w:t>
            </w:r>
          </w:p>
        </w:tc>
      </w:tr>
      <w:tr>
        <w:tc>
          <w:tcPr>
            <w:tcW w:type="dxa" w:w="1701"/>
          </w:tcPr>
          <w:p>
            <w:r>
              <w:rPr>
                <w:b/>
                <w:sz w:val="16"/>
              </w:rPr>
              <w:t>Can skim / skip</w:t>
            </w:r>
          </w:p>
        </w:tc>
        <w:tc>
          <w:tcPr>
            <w:tcW w:type="dxa" w:w="8164"/>
          </w:tcPr>
          <w:p>
            <w:r>
              <w:rPr>
                <w:sz w:val="16"/>
              </w:rPr>
              <w:t>Individual historical cases outside your period.</w:t>
            </w:r>
          </w:p>
        </w:tc>
      </w:tr>
      <w:tr>
        <w:tc>
          <w:tcPr>
            <w:tcW w:type="dxa" w:w="1701"/>
          </w:tcPr>
          <w:p>
            <w:r>
              <w:rPr>
                <w:b/>
                <w:sz w:val="16"/>
              </w:rPr>
              <w:t>Key terms</w:t>
            </w:r>
          </w:p>
        </w:tc>
        <w:tc>
          <w:tcPr>
            <w:tcW w:type="dxa" w:w="8164"/>
          </w:tcPr>
          <w:p>
            <w:r>
              <w:rPr>
                <w:sz w:val="16"/>
              </w:rPr>
              <w:t>displacement; euphoria; revulsion; lender of last resort</w:t>
            </w:r>
          </w:p>
        </w:tc>
      </w:tr>
      <w:tr>
        <w:tc>
          <w:tcPr>
            <w:tcW w:type="dxa" w:w="1701"/>
          </w:tcPr>
          <w:p>
            <w:r>
              <w:rPr>
                <w:b/>
                <w:sz w:val="16"/>
              </w:rPr>
              <w:t>Strengths</w:t>
            </w:r>
          </w:p>
        </w:tc>
        <w:tc>
          <w:tcPr>
            <w:tcW w:type="dxa" w:w="8164"/>
          </w:tcPr>
          <w:p>
            <w:r>
              <w:rPr>
                <w:sz w:val="16"/>
              </w:rPr>
              <w:t>Readable, rich history.</w:t>
            </w:r>
          </w:p>
        </w:tc>
      </w:tr>
      <w:tr>
        <w:tc>
          <w:tcPr>
            <w:tcW w:type="dxa" w:w="1701"/>
          </w:tcPr>
          <w:p>
            <w:r>
              <w:rPr>
                <w:b/>
                <w:sz w:val="16"/>
              </w:rPr>
              <w:t>Weaknesses / critique</w:t>
            </w:r>
          </w:p>
        </w:tc>
        <w:tc>
          <w:tcPr>
            <w:tcW w:type="dxa" w:w="8164"/>
          </w:tcPr>
          <w:p>
            <w:r>
              <w:rPr>
                <w:sz w:val="16"/>
              </w:rPr>
              <w:t>Narrative, selective cases.</w:t>
            </w:r>
          </w:p>
        </w:tc>
      </w:tr>
      <w:tr>
        <w:tc>
          <w:tcPr>
            <w:tcW w:type="dxa" w:w="1701"/>
            <w:shd w:val="clear" w:color="auto" w:fill="EAF1FB"/>
          </w:tcPr>
          <w:p>
            <w:r>
              <w:rPr>
                <w:b/>
                <w:sz w:val="16"/>
              </w:rPr>
              <w:t>Use it as · where</w:t>
            </w:r>
          </w:p>
        </w:tc>
        <w:tc>
          <w:tcPr>
            <w:tcW w:type="dxa" w:w="8164"/>
            <w:shd w:val="clear" w:color="auto" w:fill="EAF1FB"/>
          </w:tcPr>
          <w:p>
            <w:r>
              <w:rPr>
                <w:sz w:val="16"/>
              </w:rPr>
              <w:t>Context · 2.2; origin table in 2.3</w:t>
            </w:r>
          </w:p>
        </w:tc>
      </w:tr>
    </w:tbl>
    <w:p>
      <w:pPr>
        <w:spacing w:after="80"/>
      </w:pPr>
    </w:p>
    <w:tbl>
      <w:tblPr>
        <w:tblStyle w:val="TableGrid"/>
        <w:tblW w:type="auto" w:w="0"/>
        <w:jc w:val="center"/>
        <w:tblLook w:firstColumn="1" w:firstRow="1" w:lastColumn="0" w:lastRow="0" w:noHBand="0" w:noVBand="1" w:val="04A0"/>
      </w:tblPr>
      <w:tblGrid>
        <w:gridCol w:w="5100"/>
        <w:gridCol w:w="5100"/>
      </w:tblGrid>
      <w:tr>
        <w:tc>
          <w:tcPr>
            <w:tcW w:type="dxa" w:w="8164"/>
            <w:gridSpan w:val="2"/>
            <w:shd w:val="clear" w:color="auto" w:fill="1F4E79"/>
          </w:tcPr>
          <w:p>
            <w:r>
              <w:rPr>
                <w:b/>
                <w:color w:val="FFFFFF"/>
                <w:sz w:val="19"/>
              </w:rPr>
              <w:t>Kelly, M. (2009) The Irish credit bubble. UCD CER WP09/32.</w:t>
            </w:r>
          </w:p>
        </w:tc>
      </w:tr>
      <w:tr>
        <w:tc>
          <w:tcPr>
            <w:tcW w:type="dxa" w:w="1701"/>
            <w:shd w:val="clear" w:color="auto" w:fill="FFF2CC"/>
          </w:tcPr>
          <w:p>
            <w:r>
              <w:rPr>
                <w:b/>
                <w:sz w:val="16"/>
              </w:rPr>
              <w:t>Source basis</w:t>
            </w:r>
          </w:p>
        </w:tc>
        <w:tc>
          <w:tcPr>
            <w:tcW w:type="dxa" w:w="8164"/>
            <w:shd w:val="clear" w:color="auto" w:fill="FFF2CC"/>
          </w:tcPr>
          <w:p>
            <w:r>
              <w:rPr>
                <w:sz w:val="16"/>
              </w:rPr>
              <w:t>ABSTRACT / summary read in this session; read the full paper before relying on details</w:t>
            </w:r>
          </w:p>
        </w:tc>
      </w:tr>
      <w:tr>
        <w:tc>
          <w:tcPr>
            <w:tcW w:type="dxa" w:w="1701"/>
          </w:tcPr>
          <w:p>
            <w:r>
              <w:rPr>
                <w:b/>
                <w:sz w:val="16"/>
              </w:rPr>
              <w:t>Summary</w:t>
            </w:r>
          </w:p>
        </w:tc>
        <w:tc>
          <w:tcPr>
            <w:tcW w:type="dxa" w:w="8164"/>
          </w:tcPr>
          <w:p>
            <w:r>
              <w:rPr>
                <w:sz w:val="16"/>
              </w:rPr>
              <w:t>Documents the scale of Irish bank lending growth and warns of large bank losses.</w:t>
            </w:r>
          </w:p>
        </w:tc>
      </w:tr>
      <w:tr>
        <w:tc>
          <w:tcPr>
            <w:tcW w:type="dxa" w:w="1701"/>
          </w:tcPr>
          <w:p>
            <w:r>
              <w:rPr>
                <w:b/>
                <w:sz w:val="16"/>
              </w:rPr>
              <w:t>Dataset</w:t>
            </w:r>
          </w:p>
        </w:tc>
        <w:tc>
          <w:tcPr>
            <w:tcW w:type="dxa" w:w="8164"/>
          </w:tcPr>
          <w:p>
            <w:r>
              <w:rPr>
                <w:sz w:val="16"/>
              </w:rPr>
              <w:t>Irish bank lending and property data to 2008–09.</w:t>
            </w:r>
          </w:p>
        </w:tc>
      </w:tr>
      <w:tr>
        <w:tc>
          <w:tcPr>
            <w:tcW w:type="dxa" w:w="1701"/>
          </w:tcPr>
          <w:p>
            <w:r>
              <w:rPr>
                <w:b/>
                <w:sz w:val="16"/>
              </w:rPr>
              <w:t>Methodology</w:t>
            </w:r>
          </w:p>
        </w:tc>
        <w:tc>
          <w:tcPr>
            <w:tcW w:type="dxa" w:w="8164"/>
          </w:tcPr>
          <w:p>
            <w:r>
              <w:rPr>
                <w:sz w:val="16"/>
              </w:rPr>
              <w:t>Descriptive analysis and loss scenarios.</w:t>
            </w:r>
          </w:p>
        </w:tc>
      </w:tr>
      <w:tr>
        <w:tc>
          <w:tcPr>
            <w:tcW w:type="dxa" w:w="1701"/>
          </w:tcPr>
          <w:p>
            <w:r>
              <w:rPr>
                <w:b/>
                <w:sz w:val="16"/>
              </w:rPr>
              <w:t>Results</w:t>
            </w:r>
          </w:p>
        </w:tc>
        <w:tc>
          <w:tcPr>
            <w:tcW w:type="dxa" w:w="8164"/>
          </w:tcPr>
          <w:p>
            <w:r>
              <w:rPr>
                <w:sz w:val="16"/>
              </w:rPr>
              <w:t>• Mortgage lending ≈7× its 1997 value by 2008; developer lending ≈11×.</w:t>
            </w:r>
          </w:p>
        </w:tc>
      </w:tr>
      <w:tr>
        <w:tc>
          <w:tcPr>
            <w:tcW w:type="dxa" w:w="1701"/>
            <w:shd w:val="clear" w:color="auto" w:fill="EAF1FB"/>
          </w:tcPr>
          <w:p>
            <w:r>
              <w:rPr>
                <w:b/>
                <w:sz w:val="16"/>
              </w:rPr>
              <w:t>How it relates to MY study</w:t>
            </w:r>
          </w:p>
        </w:tc>
        <w:tc>
          <w:tcPr>
            <w:tcW w:type="dxa" w:w="8164"/>
            <w:shd w:val="clear" w:color="auto" w:fill="EAF1FB"/>
          </w:tcPr>
          <w:p>
            <w:r>
              <w:rPr>
                <w:sz w:val="16"/>
              </w:rPr>
              <w:t>Irish evidence of Minsky’s boom; supports a large domestic channel in the GFC (H2a).</w:t>
            </w:r>
          </w:p>
        </w:tc>
      </w:tr>
      <w:tr>
        <w:tc>
          <w:tcPr>
            <w:tcW w:type="dxa" w:w="1701"/>
            <w:shd w:val="clear" w:color="auto" w:fill="EAF1FB"/>
          </w:tcPr>
          <w:p>
            <w:r>
              <w:rPr>
                <w:b/>
                <w:sz w:val="16"/>
              </w:rPr>
              <w:t>Must read in the original</w:t>
            </w:r>
          </w:p>
        </w:tc>
        <w:tc>
          <w:tcPr>
            <w:tcW w:type="dxa" w:w="8164"/>
            <w:shd w:val="clear" w:color="auto" w:fill="EAF1FB"/>
          </w:tcPr>
          <w:p>
            <w:r>
              <w:rPr>
                <w:sz w:val="16"/>
              </w:rPr>
              <w:t>Whole paper (short working paper): lending figures and conclusions.</w:t>
            </w:r>
          </w:p>
        </w:tc>
      </w:tr>
      <w:tr>
        <w:tc>
          <w:tcPr>
            <w:tcW w:type="dxa" w:w="1701"/>
          </w:tcPr>
          <w:p>
            <w:r>
              <w:rPr>
                <w:b/>
                <w:sz w:val="16"/>
              </w:rPr>
              <w:t>Can skim / skip</w:t>
            </w:r>
          </w:p>
        </w:tc>
        <w:tc>
          <w:tcPr>
            <w:tcW w:type="dxa" w:w="8164"/>
          </w:tcPr>
          <w:p>
            <w:r>
              <w:rPr>
                <w:sz w:val="16"/>
              </w:rPr>
              <w:t>—</w:t>
            </w:r>
          </w:p>
        </w:tc>
      </w:tr>
      <w:tr>
        <w:tc>
          <w:tcPr>
            <w:tcW w:type="dxa" w:w="1701"/>
          </w:tcPr>
          <w:p>
            <w:r>
              <w:rPr>
                <w:b/>
                <w:sz w:val="16"/>
              </w:rPr>
              <w:t>Key terms</w:t>
            </w:r>
          </w:p>
        </w:tc>
        <w:tc>
          <w:tcPr>
            <w:tcW w:type="dxa" w:w="8164"/>
          </w:tcPr>
          <w:p>
            <w:r>
              <w:rPr>
                <w:sz w:val="16"/>
              </w:rPr>
              <w:t>credit bubble; developer lending</w:t>
            </w:r>
          </w:p>
        </w:tc>
      </w:tr>
      <w:tr>
        <w:tc>
          <w:tcPr>
            <w:tcW w:type="dxa" w:w="1701"/>
          </w:tcPr>
          <w:p>
            <w:r>
              <w:rPr>
                <w:b/>
                <w:sz w:val="16"/>
              </w:rPr>
              <w:t>Strengths</w:t>
            </w:r>
          </w:p>
        </w:tc>
        <w:tc>
          <w:tcPr>
            <w:tcW w:type="dxa" w:w="8164"/>
          </w:tcPr>
          <w:p>
            <w:r>
              <w:rPr>
                <w:sz w:val="16"/>
              </w:rPr>
              <w:t>Early, prescient.</w:t>
            </w:r>
          </w:p>
        </w:tc>
      </w:tr>
      <w:tr>
        <w:tc>
          <w:tcPr>
            <w:tcW w:type="dxa" w:w="1701"/>
          </w:tcPr>
          <w:p>
            <w:r>
              <w:rPr>
                <w:b/>
                <w:sz w:val="16"/>
              </w:rPr>
              <w:t>Weaknesses / critique</w:t>
            </w:r>
          </w:p>
        </w:tc>
        <w:tc>
          <w:tcPr>
            <w:tcW w:type="dxa" w:w="8164"/>
          </w:tcPr>
          <w:p>
            <w:r>
              <w:rPr>
                <w:sz w:val="16"/>
              </w:rPr>
              <w:t>Working paper.</w:t>
            </w:r>
          </w:p>
        </w:tc>
      </w:tr>
      <w:tr>
        <w:tc>
          <w:tcPr>
            <w:tcW w:type="dxa" w:w="1701"/>
            <w:shd w:val="clear" w:color="auto" w:fill="EAF1FB"/>
          </w:tcPr>
          <w:p>
            <w:r>
              <w:rPr>
                <w:b/>
                <w:sz w:val="16"/>
              </w:rPr>
              <w:t>Use it as · where</w:t>
            </w:r>
          </w:p>
        </w:tc>
        <w:tc>
          <w:tcPr>
            <w:tcW w:type="dxa" w:w="8164"/>
            <w:shd w:val="clear" w:color="auto" w:fill="EAF1FB"/>
          </w:tcPr>
          <w:p>
            <w:r>
              <w:rPr>
                <w:sz w:val="16"/>
              </w:rPr>
              <w:t>Support · 2.2–2.3.2; H2a; H3</w:t>
            </w:r>
          </w:p>
        </w:tc>
      </w:tr>
    </w:tbl>
    <w:p>
      <w:pPr>
        <w:spacing w:after="80"/>
      </w:pPr>
    </w:p>
    <w:tbl>
      <w:tblPr>
        <w:tblStyle w:val="TableGrid"/>
        <w:tblW w:type="auto" w:w="0"/>
        <w:jc w:val="center"/>
        <w:tblLook w:firstColumn="1" w:firstRow="1" w:lastColumn="0" w:lastRow="0" w:noHBand="0" w:noVBand="1" w:val="04A0"/>
      </w:tblPr>
      <w:tblGrid>
        <w:gridCol w:w="5100"/>
        <w:gridCol w:w="5100"/>
      </w:tblGrid>
      <w:tr>
        <w:tc>
          <w:tcPr>
            <w:tcW w:type="dxa" w:w="8164"/>
            <w:gridSpan w:val="2"/>
            <w:shd w:val="clear" w:color="auto" w:fill="1F4E79"/>
          </w:tcPr>
          <w:p>
            <w:r>
              <w:rPr>
                <w:b/>
                <w:color w:val="FFFFFF"/>
                <w:sz w:val="19"/>
              </w:rPr>
              <w:t>Cont, R. (2001) Empirical properties of asset returns. Quantitative Finance, 1(2), 223–236.</w:t>
            </w:r>
          </w:p>
        </w:tc>
      </w:tr>
      <w:tr>
        <w:tc>
          <w:tcPr>
            <w:tcW w:type="dxa" w:w="1701"/>
            <w:shd w:val="clear" w:color="auto" w:fill="EFEFEF"/>
          </w:tcPr>
          <w:p>
            <w:r>
              <w:rPr>
                <w:b/>
                <w:sz w:val="16"/>
              </w:rPr>
              <w:t>Source basis</w:t>
            </w:r>
          </w:p>
        </w:tc>
        <w:tc>
          <w:tcPr>
            <w:tcW w:type="dxa" w:w="8164"/>
            <w:shd w:val="clear" w:color="auto" w:fill="EFEFEF"/>
          </w:tcPr>
          <w:p>
            <w:r>
              <w:rPr>
                <w:sz w:val="16"/>
              </w:rPr>
              <w:t>STANDARD KNOWLEDGE, not re-read this session; confirm every detail and page before citing</w:t>
            </w:r>
          </w:p>
        </w:tc>
      </w:tr>
      <w:tr>
        <w:tc>
          <w:tcPr>
            <w:tcW w:type="dxa" w:w="1701"/>
          </w:tcPr>
          <w:p>
            <w:r>
              <w:rPr>
                <w:b/>
                <w:sz w:val="16"/>
              </w:rPr>
              <w:t>Summary</w:t>
            </w:r>
          </w:p>
        </w:tc>
        <w:tc>
          <w:tcPr>
            <w:tcW w:type="dxa" w:w="8164"/>
          </w:tcPr>
          <w:p>
            <w:r>
              <w:rPr>
                <w:sz w:val="16"/>
              </w:rPr>
              <w:t>Lists the statistical regularities common to financial returns.</w:t>
            </w:r>
          </w:p>
        </w:tc>
      </w:tr>
      <w:tr>
        <w:tc>
          <w:tcPr>
            <w:tcW w:type="dxa" w:w="1701"/>
          </w:tcPr>
          <w:p>
            <w:r>
              <w:rPr>
                <w:b/>
                <w:sz w:val="16"/>
              </w:rPr>
              <w:t>Dataset</w:t>
            </w:r>
          </w:p>
        </w:tc>
        <w:tc>
          <w:tcPr>
            <w:tcW w:type="dxa" w:w="8164"/>
          </w:tcPr>
          <w:p>
            <w:r>
              <w:rPr>
                <w:sz w:val="16"/>
              </w:rPr>
              <w:t>Many assets and markets.</w:t>
            </w:r>
          </w:p>
        </w:tc>
      </w:tr>
      <w:tr>
        <w:tc>
          <w:tcPr>
            <w:tcW w:type="dxa" w:w="1701"/>
          </w:tcPr>
          <w:p>
            <w:r>
              <w:rPr>
                <w:b/>
                <w:sz w:val="16"/>
              </w:rPr>
              <w:t>Methodology</w:t>
            </w:r>
          </w:p>
        </w:tc>
        <w:tc>
          <w:tcPr>
            <w:tcW w:type="dxa" w:w="8164"/>
          </w:tcPr>
          <w:p>
            <w:r>
              <w:rPr>
                <w:sz w:val="16"/>
              </w:rPr>
              <w:t>Survey.</w:t>
            </w:r>
          </w:p>
        </w:tc>
      </w:tr>
      <w:tr>
        <w:tc>
          <w:tcPr>
            <w:tcW w:type="dxa" w:w="1701"/>
          </w:tcPr>
          <w:p>
            <w:r>
              <w:rPr>
                <w:b/>
                <w:sz w:val="16"/>
              </w:rPr>
              <w:t>Results</w:t>
            </w:r>
          </w:p>
        </w:tc>
        <w:tc>
          <w:tcPr>
            <w:tcW w:type="dxa" w:w="8164"/>
          </w:tcPr>
          <w:p>
            <w:r>
              <w:rPr>
                <w:sz w:val="16"/>
              </w:rPr>
              <w:t>• Weak return autocorrelation; strong, slowly decaying autocorrelation of absolute/squared returns.</w:t>
            </w:r>
          </w:p>
          <w:p>
            <w:r>
              <w:rPr>
                <w:sz w:val="16"/>
              </w:rPr>
              <w:t>• Heavy tails; asymmetry; volatility clustering; leverage effect.</w:t>
            </w:r>
          </w:p>
        </w:tc>
      </w:tr>
      <w:tr>
        <w:tc>
          <w:tcPr>
            <w:tcW w:type="dxa" w:w="1701"/>
            <w:shd w:val="clear" w:color="auto" w:fill="EAF1FB"/>
          </w:tcPr>
          <w:p>
            <w:r>
              <w:rPr>
                <w:b/>
                <w:sz w:val="16"/>
              </w:rPr>
              <w:t>How it relates to MY study</w:t>
            </w:r>
          </w:p>
        </w:tc>
        <w:tc>
          <w:tcPr>
            <w:tcW w:type="dxa" w:w="8164"/>
            <w:shd w:val="clear" w:color="auto" w:fill="EAF1FB"/>
          </w:tcPr>
          <w:p>
            <w:r>
              <w:rPr>
                <w:sz w:val="16"/>
              </w:rPr>
              <w:t>Figure H5 shows these facts in your ISEQ data; justifies log-RV target and Student-t GARCH.</w:t>
            </w:r>
          </w:p>
        </w:tc>
      </w:tr>
      <w:tr>
        <w:tc>
          <w:tcPr>
            <w:tcW w:type="dxa" w:w="1701"/>
            <w:shd w:val="clear" w:color="auto" w:fill="EAF1FB"/>
          </w:tcPr>
          <w:p>
            <w:r>
              <w:rPr>
                <w:b/>
                <w:sz w:val="16"/>
              </w:rPr>
              <w:t>Must read in the original</w:t>
            </w:r>
          </w:p>
        </w:tc>
        <w:tc>
          <w:tcPr>
            <w:tcW w:type="dxa" w:w="8164"/>
            <w:shd w:val="clear" w:color="auto" w:fill="EAF1FB"/>
          </w:tcPr>
          <w:p>
            <w:r>
              <w:rPr>
                <w:sz w:val="16"/>
              </w:rPr>
              <w:t>Section listing the stylised facts.</w:t>
            </w:r>
          </w:p>
        </w:tc>
      </w:tr>
      <w:tr>
        <w:tc>
          <w:tcPr>
            <w:tcW w:type="dxa" w:w="1701"/>
          </w:tcPr>
          <w:p>
            <w:r>
              <w:rPr>
                <w:b/>
                <w:sz w:val="16"/>
              </w:rPr>
              <w:t>Can skim / skip</w:t>
            </w:r>
          </w:p>
        </w:tc>
        <w:tc>
          <w:tcPr>
            <w:tcW w:type="dxa" w:w="8164"/>
          </w:tcPr>
          <w:p>
            <w:r>
              <w:rPr>
                <w:sz w:val="16"/>
              </w:rPr>
              <w:t>Technical estimation sections.</w:t>
            </w:r>
          </w:p>
        </w:tc>
      </w:tr>
      <w:tr>
        <w:tc>
          <w:tcPr>
            <w:tcW w:type="dxa" w:w="1701"/>
          </w:tcPr>
          <w:p>
            <w:r>
              <w:rPr>
                <w:b/>
                <w:sz w:val="16"/>
              </w:rPr>
              <w:t>Key terms</w:t>
            </w:r>
          </w:p>
        </w:tc>
        <w:tc>
          <w:tcPr>
            <w:tcW w:type="dxa" w:w="8164"/>
          </w:tcPr>
          <w:p>
            <w:r>
              <w:rPr>
                <w:sz w:val="16"/>
              </w:rPr>
              <w:t>stylised facts; volatility clustering; long memory; leverage effect</w:t>
            </w:r>
          </w:p>
        </w:tc>
      </w:tr>
      <w:tr>
        <w:tc>
          <w:tcPr>
            <w:tcW w:type="dxa" w:w="1701"/>
          </w:tcPr>
          <w:p>
            <w:r>
              <w:rPr>
                <w:b/>
                <w:sz w:val="16"/>
              </w:rPr>
              <w:t>Strengths</w:t>
            </w:r>
          </w:p>
        </w:tc>
        <w:tc>
          <w:tcPr>
            <w:tcW w:type="dxa" w:w="8164"/>
          </w:tcPr>
          <w:p>
            <w:r>
              <w:rPr>
                <w:sz w:val="16"/>
              </w:rPr>
              <w:t>Clear reference list of facts.</w:t>
            </w:r>
          </w:p>
        </w:tc>
      </w:tr>
      <w:tr>
        <w:tc>
          <w:tcPr>
            <w:tcW w:type="dxa" w:w="1701"/>
          </w:tcPr>
          <w:p>
            <w:r>
              <w:rPr>
                <w:b/>
                <w:sz w:val="16"/>
              </w:rPr>
              <w:t>Weaknesses / critique</w:t>
            </w:r>
          </w:p>
        </w:tc>
        <w:tc>
          <w:tcPr>
            <w:tcW w:type="dxa" w:w="8164"/>
          </w:tcPr>
          <w:p>
            <w:r>
              <w:rPr>
                <w:sz w:val="16"/>
              </w:rPr>
              <w:t>Descriptive.</w:t>
            </w:r>
          </w:p>
        </w:tc>
      </w:tr>
      <w:tr>
        <w:tc>
          <w:tcPr>
            <w:tcW w:type="dxa" w:w="1701"/>
            <w:shd w:val="clear" w:color="auto" w:fill="EAF1FB"/>
          </w:tcPr>
          <w:p>
            <w:r>
              <w:rPr>
                <w:b/>
                <w:sz w:val="16"/>
              </w:rPr>
              <w:t>Use it as · where</w:t>
            </w:r>
          </w:p>
        </w:tc>
        <w:tc>
          <w:tcPr>
            <w:tcW w:type="dxa" w:w="8164"/>
            <w:shd w:val="clear" w:color="auto" w:fill="EAF1FB"/>
          </w:tcPr>
          <w:p>
            <w:r>
              <w:rPr>
                <w:sz w:val="16"/>
              </w:rPr>
              <w:t>Support · 2.5; Chapter 3</w:t>
            </w:r>
          </w:p>
        </w:tc>
      </w:tr>
    </w:tbl>
    <w:p>
      <w:pPr>
        <w:spacing w:after="80"/>
      </w:pPr>
    </w:p>
    <w:tbl>
      <w:tblPr>
        <w:tblStyle w:val="TableGrid"/>
        <w:tblW w:type="auto" w:w="0"/>
        <w:jc w:val="center"/>
        <w:tblLook w:firstColumn="1" w:firstRow="1" w:lastColumn="0" w:lastRow="0" w:noHBand="0" w:noVBand="1" w:val="04A0"/>
      </w:tblPr>
      <w:tblGrid>
        <w:gridCol w:w="5100"/>
        <w:gridCol w:w="5100"/>
      </w:tblGrid>
      <w:tr>
        <w:tc>
          <w:tcPr>
            <w:tcW w:type="dxa" w:w="8164"/>
            <w:gridSpan w:val="2"/>
            <w:shd w:val="clear" w:color="auto" w:fill="1F4E79"/>
          </w:tcPr>
          <w:p>
            <w:r>
              <w:rPr>
                <w:color w:val="FFFFFF"/>
                <w:sz w:val="19"/>
                <w:b/>
              </w:rPr>
              <w:t xml:space="preserve">Danielsson, J., Valenzuela, M. &amp; Zer, I. (2018) Learning from history: volatility and financial crises. RFS, 31(7), 2774–2805.</w:t>
            </w:r>
          </w:p>
        </w:tc>
      </w:tr>
      <w:tr>
        <w:tc>
          <w:tcPr>
            <w:tcW w:type="dxa" w:w="1701"/>
            <w:shd w:val="clear" w:color="auto" w:fill="D9EAD3"/>
          </w:tcPr>
          <w:p>
            <w:r>
              <w:rPr>
                <w:b/>
                <w:sz w:val="16"/>
              </w:rPr>
              <w:t>Source basis</w:t>
            </w:r>
          </w:p>
        </w:tc>
        <w:tc>
          <w:tcPr>
            <w:tcW w:type="dxa" w:w="8164"/>
            <w:shd w:val="clear" w:color="auto" w:fill="D9EAD3"/>
          </w:tcPr>
          <w:p>
            <w:r>
              <w:rPr>
                <w:sz w:val="16"/>
              </w:rPr>
              <w:t>FULL TEXT read in this session; page numbers refer to the open-access version in Part G</w:t>
            </w:r>
          </w:p>
        </w:tc>
      </w:tr>
      <w:tr>
        <w:tc>
          <w:tcPr>
            <w:tcW w:type="dxa" w:w="1701"/>
          </w:tcPr>
          <w:p>
            <w:r>
              <w:rPr>
                <w:b/>
                <w:sz w:val="16"/>
              </w:rPr>
              <w:t>Summary</w:t>
            </w:r>
          </w:p>
        </w:tc>
        <w:tc>
          <w:tcPr>
            <w:tcW w:type="dxa" w:w="8164"/>
          </w:tcPr>
          <w:p>
            <w:r>
              <w:rPr>
                <w:sz w:val="16"/>
                <w:b w:val="0"/>
              </w:rPr>
              <w:t xml:space="preserve">Builds a 211-year, 60-country volatility database and asks whether volatility predicts banking crises. The level does not; long spells of volatility below its trend do — calm encourages credit and leverage (‘stability is destabilising’).</w:t>
            </w:r>
          </w:p>
        </w:tc>
      </w:tr>
      <w:tr>
        <w:tc>
          <w:tcPr>
            <w:tcW w:type="dxa" w:w="1701"/>
          </w:tcPr>
          <w:p>
            <w:r>
              <w:rPr>
                <w:b/>
                <w:sz w:val="16"/>
              </w:rPr>
              <w:t>Dataset</w:t>
            </w:r>
          </w:p>
        </w:tc>
        <w:tc>
          <w:tcPr>
            <w:tcW w:type="dxa" w:w="8164"/>
          </w:tcPr>
          <w:p>
            <w:r>
              <w:rPr>
                <w:sz w:val="16"/>
                <w:b w:val="0"/>
              </w:rPr>
              <w:t xml:space="preserve">Monthly real stock-index returns, 60 countries, up to 211 years (3,700 country-years; 62 years per country on average); 259 banking crises (Reinhart &amp; Rogoff, 2009); BIS credit data (37 countries, from the 1960s); bank leverage (31 countries, from the 1980s).</w:t>
            </w:r>
          </w:p>
        </w:tc>
      </w:tr>
      <w:tr>
        <w:tc>
          <w:tcPr>
            <w:tcW w:type="dxa" w:w="1701"/>
          </w:tcPr>
          <w:p>
            <w:r>
              <w:rPr>
                <w:b/>
                <w:sz w:val="16"/>
              </w:rPr>
              <w:t>Methodology</w:t>
            </w:r>
          </w:p>
        </w:tc>
        <w:tc>
          <w:tcPr>
            <w:tcW w:type="dxa" w:w="8164"/>
          </w:tcPr>
          <w:p>
            <w:r>
              <w:rPr>
                <w:sz w:val="16"/>
                <w:b w:val="0"/>
              </w:rPr>
              <w:t xml:space="preserve">Annual volatility = standard deviation of 12 monthly returns (July–June); one-sided (recursive) Hodrick–Prescott trend, λ = 5,000; deviations split into high and low parts; 5-year backward averages; panel logit with decade and region fixed effects; signal-to-noise checks.</w:t>
            </w:r>
          </w:p>
        </w:tc>
      </w:tr>
      <w:tr>
        <w:tc>
          <w:tcPr>
            <w:tcW w:type="dxa" w:w="1701"/>
          </w:tcPr>
          <w:p>
            <w:r>
              <w:rPr>
                <w:b/>
                <w:sz w:val="16"/>
              </w:rPr>
              <w:t>Results</w:t>
            </w:r>
          </w:p>
        </w:tc>
        <w:tc>
          <w:tcPr>
            <w:tcW w:type="dxa" w:w="8164"/>
          </w:tcPr>
          <w:p>
            <w:r>
              <w:rPr>
                <w:sz w:val="16"/>
                <w:b w:val="0"/>
              </w:rPr>
              <w:t xml:space="preserve">• The level of volatility does not predict crises once controls are included.</w:t>
            </w:r>
          </w:p>
          <w:p>
            <w:r>
              <w:rPr>
                <w:sz w:val="16"/>
                <w:b w:val="0"/>
              </w:rPr>
              <w:t xml:space="preserve">• Prolonged low volatility does: 1% below trend for five years → about 1.01% higher crisis probability.</w:t>
            </w:r>
          </w:p>
          <w:p>
            <w:r>
              <w:rPr>
                <w:sz w:val="16"/>
                <w:b w:val="0"/>
              </w:rPr>
              <w:t xml:space="preserve">• High volatility: weak evidence only.</w:t>
            </w:r>
          </w:p>
          <w:p>
            <w:r>
              <w:rPr>
                <w:sz w:val="16"/>
                <w:b w:val="0"/>
              </w:rPr>
              <w:t xml:space="preserve">• Low volatility is followed by excess lending and higher bank leverage.</w:t>
            </w:r>
          </w:p>
          <w:p>
            <w:r>
              <w:rPr>
                <w:sz w:val="16"/>
                <w:b w:val="0"/>
              </w:rPr>
              <w:t xml:space="preserve">• Low volatility works as a crisis indicator with a good signal-to-noise ratio.</w:t>
            </w:r>
          </w:p>
        </w:tc>
      </w:tr>
      <w:tr>
        <w:tc>
          <w:tcPr>
            <w:tcW w:type="dxa" w:w="1701"/>
            <w:shd w:val="clear" w:color="auto" w:fill="EAF1FB"/>
          </w:tcPr>
          <w:p>
            <w:r>
              <w:rPr>
                <w:b/>
                <w:sz w:val="16"/>
              </w:rPr>
              <w:t>How it relates to MY study</w:t>
            </w:r>
          </w:p>
        </w:tc>
        <w:tc>
          <w:tcPr>
            <w:tcW w:type="dxa" w:w="8164"/>
            <w:shd w:val="clear" w:color="auto" w:fill="EAF1FB"/>
          </w:tcPr>
          <w:p>
            <w:r>
              <w:rPr>
                <w:sz w:val="16"/>
                <w:b w:val="0"/>
              </w:rPr>
              <w:t xml:space="preserve">Empirical anchor for your Minsky framing (RQ3) and the method of exploratory E2. In your data only Germany was unusually calm before the GFC (4th percentile); Ireland was calm but not unusually so (40th).</w:t>
            </w:r>
          </w:p>
        </w:tc>
      </w:tr>
      <w:tr>
        <w:tc>
          <w:tcPr>
            <w:tcW w:type="dxa" w:w="1701"/>
            <w:shd w:val="clear" w:color="auto" w:fill="EAF1FB"/>
          </w:tcPr>
          <w:p>
            <w:r>
              <w:rPr>
                <w:b/>
                <w:sz w:val="16"/>
              </w:rPr>
              <w:t>Must read in the original</w:t>
            </w:r>
          </w:p>
        </w:tc>
        <w:tc>
          <w:tcPr>
            <w:tcW w:type="dxa" w:w="8164"/>
            <w:shd w:val="clear" w:color="auto" w:fill="EAF1FB"/>
          </w:tcPr>
          <w:p>
            <w:r>
              <w:rPr>
                <w:sz w:val="16"/>
                <w:b w:val="0"/>
              </w:rPr>
              <w:t xml:space="preserve">Introduction pp.3–6 (findings in brief); Section 2.3 pp.13–14 (the decomposition — your E2 method); Sections 3.1–3.2 pp.19–22 (regression and main result); Conclusion p.32. Pages: LSE accepted version.</w:t>
            </w:r>
          </w:p>
        </w:tc>
      </w:tr>
      <w:tr>
        <w:tc>
          <w:tcPr>
            <w:tcW w:type="dxa" w:w="1701"/>
          </w:tcPr>
          <w:p>
            <w:r>
              <w:rPr>
                <w:b/>
                <w:sz w:val="16"/>
              </w:rPr>
              <w:t>Can skim / skip</w:t>
            </w:r>
          </w:p>
        </w:tc>
        <w:tc>
          <w:tcPr>
            <w:tcW w:type="dxa" w:w="8164"/>
          </w:tcPr>
          <w:p>
            <w:r>
              <w:rPr>
                <w:sz w:val="16"/>
                <w:b w:val="0"/>
              </w:rPr>
              <w:t xml:space="preserve">Control variables (2.5); later robustness tables. The Web Appendix has the same chart for other countries.</w:t>
            </w:r>
          </w:p>
        </w:tc>
      </w:tr>
      <w:tr>
        <w:tc>
          <w:tcPr>
            <w:tcW w:type="dxa" w:w="1701"/>
          </w:tcPr>
          <w:p>
            <w:r>
              <w:rPr>
                <w:b/>
                <w:sz w:val="16"/>
              </w:rPr>
              <w:t>Key terms</w:t>
            </w:r>
          </w:p>
        </w:tc>
        <w:tc>
          <w:tcPr>
            <w:tcW w:type="dxa" w:w="8164"/>
          </w:tcPr>
          <w:p>
            <w:r>
              <w:rPr>
                <w:sz w:val="16"/>
                <w:b w:val="0"/>
              </w:rPr>
              <w:t xml:space="preserve">volatility paradox; one-sided HP filter; high / low volatility; signal-to-noise ratio; excess credit</w:t>
            </w:r>
          </w:p>
        </w:tc>
      </w:tr>
      <w:tr>
        <w:tc>
          <w:tcPr>
            <w:tcW w:type="dxa" w:w="1701"/>
          </w:tcPr>
          <w:p>
            <w:r>
              <w:rPr>
                <w:b/>
                <w:sz w:val="16"/>
              </w:rPr>
              <w:t>Strengths</w:t>
            </w:r>
          </w:p>
        </w:tc>
        <w:tc>
          <w:tcPr>
            <w:tcW w:type="dxa" w:w="8164"/>
          </w:tcPr>
          <w:p>
            <w:r>
              <w:rPr>
                <w:sz w:val="16"/>
                <w:b w:val="0"/>
              </w:rPr>
              <w:t xml:space="preserve">Very long history; simple measure that uses only past data; links calm to credit and leverage.</w:t>
            </w:r>
          </w:p>
        </w:tc>
      </w:tr>
      <w:tr>
        <w:tc>
          <w:tcPr>
            <w:tcW w:type="dxa" w:w="1701"/>
          </w:tcPr>
          <w:p>
            <w:r>
              <w:rPr>
                <w:b/>
                <w:sz w:val="16"/>
              </w:rPr>
              <w:t>Weaknesses / critique</w:t>
            </w:r>
          </w:p>
        </w:tc>
        <w:tc>
          <w:tcPr>
            <w:tcW w:type="dxa" w:w="8164"/>
          </w:tcPr>
          <w:p>
            <w:r>
              <w:rPr>
                <w:sz w:val="16"/>
                <w:b w:val="0"/>
              </w:rPr>
              <w:t xml:space="preserve">Annual volatility from monthly data; banking crises only; the one-sided trend is unstable early in a series; a panel result, not a per-country test.</w:t>
            </w:r>
          </w:p>
        </w:tc>
      </w:tr>
      <w:tr>
        <w:tc>
          <w:tcPr>
            <w:tcW w:type="dxa" w:w="1701"/>
            <w:shd w:val="clear" w:color="auto" w:fill="EAF1FB"/>
          </w:tcPr>
          <w:p>
            <w:r>
              <w:rPr>
                <w:b/>
                <w:sz w:val="16"/>
              </w:rPr>
              <w:t>Use it as · where</w:t>
            </w:r>
          </w:p>
        </w:tc>
        <w:tc>
          <w:tcPr>
            <w:tcW w:type="dxa" w:w="8164"/>
            <w:shd w:val="clear" w:color="auto" w:fill="EAF1FB"/>
          </w:tcPr>
          <w:p>
            <w:r>
              <w:rPr>
                <w:sz w:val="16"/>
                <w:b w:val="0"/>
              </w:rPr>
              <w:t xml:space="preserve">Evidence + method · 2.2 (one or two sentences); Chapters 3–4 (E2); Discussion (Minsky)</w:t>
            </w:r>
          </w:p>
        </w:tc>
      </w:tr>
    </w:tbl>
    <w:p>
      <w:pPr>
        <w:spacing w:after="80"/>
      </w:pPr>
    </w:p>
    <w:p>
      <w:pPr>
        <w:pStyle w:val="Heading2"/>
      </w:pPr>
      <w:r>
        <w:rPr>
          <w:color w:val="1F4E79"/>
        </w:rPr>
        <w:t>D2. Section 2.3 — Three crises and Ireland</w:t>
      </w:r>
    </w:p>
    <w:tbl>
      <w:tblPr>
        <w:tblStyle w:val="TableGrid"/>
        <w:tblW w:type="auto" w:w="0"/>
        <w:jc w:val="center"/>
        <w:tblLook w:firstColumn="1" w:firstRow="1" w:lastColumn="0" w:lastRow="0" w:noHBand="0" w:noVBand="1" w:val="04A0"/>
      </w:tblPr>
      <w:tblGrid>
        <w:gridCol w:w="5100"/>
        <w:gridCol w:w="5100"/>
      </w:tblGrid>
      <w:tr>
        <w:tc>
          <w:tcPr>
            <w:tcW w:type="dxa" w:w="8164"/>
            <w:gridSpan w:val="2"/>
            <w:shd w:val="clear" w:color="auto" w:fill="1F4E79"/>
          </w:tcPr>
          <w:p>
            <w:r>
              <w:rPr>
                <w:b/>
                <w:color w:val="FFFFFF"/>
                <w:sz w:val="19"/>
              </w:rPr>
              <w:t>Brunnermeier, M. (2009) Deciphering the liquidity and credit crunch 2007–2008. JEP, 23(1), 77–100 (NBER WP 14612).</w:t>
            </w:r>
          </w:p>
        </w:tc>
      </w:tr>
      <w:tr>
        <w:tc>
          <w:tcPr>
            <w:tcW w:type="dxa" w:w="1701"/>
            <w:shd w:val="clear" w:color="auto" w:fill="D9EAD3"/>
          </w:tcPr>
          <w:p>
            <w:r>
              <w:rPr>
                <w:b/>
                <w:sz w:val="16"/>
              </w:rPr>
              <w:t>Source basis</w:t>
            </w:r>
          </w:p>
        </w:tc>
        <w:tc>
          <w:tcPr>
            <w:tcW w:type="dxa" w:w="8164"/>
            <w:shd w:val="clear" w:color="auto" w:fill="D9EAD3"/>
          </w:tcPr>
          <w:p>
            <w:r>
              <w:rPr>
                <w:sz w:val="16"/>
              </w:rPr>
              <w:t>FULL TEXT read in this session; page numbers refer to the open-access version in Part G</w:t>
            </w:r>
          </w:p>
        </w:tc>
      </w:tr>
      <w:tr>
        <w:tc>
          <w:tcPr>
            <w:tcW w:type="dxa" w:w="1701"/>
          </w:tcPr>
          <w:p>
            <w:r>
              <w:rPr>
                <w:b/>
                <w:sz w:val="16"/>
              </w:rPr>
              <w:t>Summary</w:t>
            </w:r>
          </w:p>
        </w:tc>
        <w:tc>
          <w:tcPr>
            <w:tcW w:type="dxa" w:w="8164"/>
          </w:tcPr>
          <w:p>
            <w:r>
              <w:rPr>
                <w:sz w:val="16"/>
              </w:rPr>
              <w:t>Explains how mortgage losses were amplified into a global crisis, with a day-by-day logbook and four amplification mechanisms.</w:t>
            </w:r>
          </w:p>
        </w:tc>
      </w:tr>
      <w:tr>
        <w:tc>
          <w:tcPr>
            <w:tcW w:type="dxa" w:w="1701"/>
          </w:tcPr>
          <w:p>
            <w:r>
              <w:rPr>
                <w:b/>
                <w:sz w:val="16"/>
              </w:rPr>
              <w:t>Dataset</w:t>
            </w:r>
          </w:p>
        </w:tc>
        <w:tc>
          <w:tcPr>
            <w:tcW w:type="dxa" w:w="8164"/>
          </w:tcPr>
          <w:p>
            <w:r>
              <w:rPr>
                <w:sz w:val="16"/>
              </w:rPr>
              <w:t>Market indicators 2007–08: ABX mortgage indices, commercial paper, interest-rate spreads, CDS spreads.</w:t>
            </w:r>
          </w:p>
        </w:tc>
      </w:tr>
      <w:tr>
        <w:tc>
          <w:tcPr>
            <w:tcW w:type="dxa" w:w="1701"/>
          </w:tcPr>
          <w:p>
            <w:r>
              <w:rPr>
                <w:b/>
                <w:sz w:val="16"/>
              </w:rPr>
              <w:t>Methodology</w:t>
            </w:r>
          </w:p>
        </w:tc>
        <w:tc>
          <w:tcPr>
            <w:tcW w:type="dxa" w:w="8164"/>
          </w:tcPr>
          <w:p>
            <w:r>
              <w:rPr>
                <w:sz w:val="16"/>
              </w:rPr>
              <w:t>Economic narrative plus a framework of amplification mechanisms.</w:t>
            </w:r>
          </w:p>
        </w:tc>
      </w:tr>
      <w:tr>
        <w:tc>
          <w:tcPr>
            <w:tcW w:type="dxa" w:w="1701"/>
          </w:tcPr>
          <w:p>
            <w:r>
              <w:rPr>
                <w:b/>
                <w:sz w:val="16"/>
              </w:rPr>
              <w:t>Results</w:t>
            </w:r>
          </w:p>
        </w:tc>
        <w:tc>
          <w:tcPr>
            <w:tcW w:type="dxa" w:w="8164"/>
          </w:tcPr>
          <w:p>
            <w:r>
              <w:rPr>
                <w:sz w:val="16"/>
              </w:rPr>
              <w:t>• 9 Aug 2007: BNP Paribas froze three funds, unable to value structured products.</w:t>
            </w:r>
          </w:p>
          <w:p>
            <w:r>
              <w:rPr>
                <w:sz w:val="16"/>
              </w:rPr>
              <w:t>• Northern Rock suffered the first UK bank run in over a century.</w:t>
            </w:r>
          </w:p>
          <w:p>
            <w:r>
              <w:rPr>
                <w:sz w:val="16"/>
              </w:rPr>
              <w:t>• Four mechanisms: balance-sheet loss and margin spirals; lending channel (banks hoard funds); runs on institutions (Bear Stearns, Lehman, Washington Mutual); network effects.</w:t>
            </w:r>
          </w:p>
          <w:p>
            <w:r>
              <w:rPr>
                <w:sz w:val="16"/>
              </w:rPr>
              <w:t>• US stock market wealth fell ≈$8 trillion between Oct 2007 and Oct 2008.</w:t>
            </w:r>
          </w:p>
        </w:tc>
      </w:tr>
      <w:tr>
        <w:tc>
          <w:tcPr>
            <w:tcW w:type="dxa" w:w="1701"/>
            <w:shd w:val="clear" w:color="auto" w:fill="EAF1FB"/>
          </w:tcPr>
          <w:p>
            <w:r>
              <w:rPr>
                <w:b/>
                <w:sz w:val="16"/>
              </w:rPr>
              <w:t>How it relates to MY study</w:t>
            </w:r>
          </w:p>
        </w:tc>
        <w:tc>
          <w:tcPr>
            <w:tcW w:type="dxa" w:w="8164"/>
            <w:shd w:val="clear" w:color="auto" w:fill="EAF1FB"/>
          </w:tcPr>
          <w:p>
            <w:r>
              <w:rPr>
                <w:sz w:val="16"/>
              </w:rPr>
              <w:t>Justifies your GFC start date (9 Aug 2007) and the US-origin expectation (H2a: US channel = S&amp;P 500).</w:t>
            </w:r>
          </w:p>
        </w:tc>
      </w:tr>
      <w:tr>
        <w:tc>
          <w:tcPr>
            <w:tcW w:type="dxa" w:w="1701"/>
            <w:shd w:val="clear" w:color="auto" w:fill="EAF1FB"/>
          </w:tcPr>
          <w:p>
            <w:r>
              <w:rPr>
                <w:b/>
                <w:sz w:val="16"/>
              </w:rPr>
              <w:t>Must read in the original</w:t>
            </w:r>
          </w:p>
        </w:tc>
        <w:tc>
          <w:tcPr>
            <w:tcW w:type="dxa" w:w="8164"/>
            <w:shd w:val="clear" w:color="auto" w:fill="EAF1FB"/>
          </w:tcPr>
          <w:p>
            <w:r>
              <w:rPr>
                <w:sz w:val="16"/>
              </w:rPr>
              <w:t>Banking trends (pp.4–8); event logbook (pp.9–21; Figures 1–4 on pp.10, 12, 14, 20); amplifying mechanisms (pp.22–29; spirals figure p.24); conclusion (p.30).</w:t>
            </w:r>
          </w:p>
        </w:tc>
      </w:tr>
      <w:tr>
        <w:tc>
          <w:tcPr>
            <w:tcW w:type="dxa" w:w="1701"/>
          </w:tcPr>
          <w:p>
            <w:r>
              <w:rPr>
                <w:b/>
                <w:sz w:val="16"/>
              </w:rPr>
              <w:t>Can skim / skip</w:t>
            </w:r>
          </w:p>
        </w:tc>
        <w:tc>
          <w:tcPr>
            <w:tcW w:type="dxa" w:w="8164"/>
          </w:tcPr>
          <w:p>
            <w:r>
              <w:rPr>
                <w:sz w:val="16"/>
              </w:rPr>
              <w:t>Detailed product descriptions if short of time.</w:t>
            </w:r>
          </w:p>
        </w:tc>
      </w:tr>
      <w:tr>
        <w:tc>
          <w:tcPr>
            <w:tcW w:type="dxa" w:w="1701"/>
          </w:tcPr>
          <w:p>
            <w:r>
              <w:rPr>
                <w:b/>
                <w:sz w:val="16"/>
              </w:rPr>
              <w:t>Key terms</w:t>
            </w:r>
          </w:p>
        </w:tc>
        <w:tc>
          <w:tcPr>
            <w:tcW w:type="dxa" w:w="8164"/>
          </w:tcPr>
          <w:p>
            <w:r>
              <w:rPr>
                <w:sz w:val="16"/>
              </w:rPr>
              <w:t>originate-and-distribute; loss spiral; margin spiral; liquidity hoarding; bank run</w:t>
            </w:r>
          </w:p>
        </w:tc>
      </w:tr>
      <w:tr>
        <w:tc>
          <w:tcPr>
            <w:tcW w:type="dxa" w:w="1701"/>
          </w:tcPr>
          <w:p>
            <w:r>
              <w:rPr>
                <w:b/>
                <w:sz w:val="16"/>
              </w:rPr>
              <w:t>Strengths</w:t>
            </w:r>
          </w:p>
        </w:tc>
        <w:tc>
          <w:tcPr>
            <w:tcW w:type="dxa" w:w="8164"/>
          </w:tcPr>
          <w:p>
            <w:r>
              <w:rPr>
                <w:sz w:val="16"/>
              </w:rPr>
              <w:t>Clear mechanism; primary-event chronology.</w:t>
            </w:r>
          </w:p>
        </w:tc>
      </w:tr>
      <w:tr>
        <w:tc>
          <w:tcPr>
            <w:tcW w:type="dxa" w:w="1701"/>
          </w:tcPr>
          <w:p>
            <w:r>
              <w:rPr>
                <w:b/>
                <w:sz w:val="16"/>
              </w:rPr>
              <w:t>Weaknesses / critique</w:t>
            </w:r>
          </w:p>
        </w:tc>
        <w:tc>
          <w:tcPr>
            <w:tcW w:type="dxa" w:w="8164"/>
          </w:tcPr>
          <w:p>
            <w:r>
              <w:rPr>
                <w:sz w:val="16"/>
              </w:rPr>
              <w:t>Written mid-crisis; US-centred.</w:t>
            </w:r>
          </w:p>
        </w:tc>
      </w:tr>
      <w:tr>
        <w:tc>
          <w:tcPr>
            <w:tcW w:type="dxa" w:w="1701"/>
            <w:shd w:val="clear" w:color="auto" w:fill="EAF1FB"/>
          </w:tcPr>
          <w:p>
            <w:r>
              <w:rPr>
                <w:b/>
                <w:sz w:val="16"/>
              </w:rPr>
              <w:t>Use it as · where</w:t>
            </w:r>
          </w:p>
        </w:tc>
        <w:tc>
          <w:tcPr>
            <w:tcW w:type="dxa" w:w="8164"/>
            <w:shd w:val="clear" w:color="auto" w:fill="EAF1FB"/>
          </w:tcPr>
          <w:p>
            <w:r>
              <w:rPr>
                <w:sz w:val="16"/>
              </w:rPr>
              <w:t>Context + support · 2.3.2; H2a</w:t>
            </w:r>
          </w:p>
        </w:tc>
      </w:tr>
    </w:tbl>
    <w:p>
      <w:pPr>
        <w:spacing w:after="80"/>
      </w:pPr>
    </w:p>
    <w:tbl>
      <w:tblPr>
        <w:tblStyle w:val="TableGrid"/>
        <w:tblW w:type="auto" w:w="0"/>
        <w:jc w:val="center"/>
        <w:tblLook w:firstColumn="1" w:firstRow="1" w:lastColumn="0" w:lastRow="0" w:noHBand="0" w:noVBand="1" w:val="04A0"/>
      </w:tblPr>
      <w:tblGrid>
        <w:gridCol w:w="5100"/>
        <w:gridCol w:w="5100"/>
      </w:tblGrid>
      <w:tr>
        <w:tc>
          <w:tcPr>
            <w:tcW w:type="dxa" w:w="8164"/>
            <w:gridSpan w:val="2"/>
            <w:shd w:val="clear" w:color="auto" w:fill="1F4E79"/>
          </w:tcPr>
          <w:p>
            <w:r>
              <w:rPr>
                <w:b/>
                <w:color w:val="FFFFFF"/>
                <w:sz w:val="19"/>
              </w:rPr>
              <w:t>Bekaert, G., Ehrmann, M., Fratzscher, M. &amp; Mehl, A. (2014) The global crisis and equity market contagion. JF, 69(6), 2597–2649 (ECB WP 1381).</w:t>
            </w:r>
          </w:p>
        </w:tc>
      </w:tr>
      <w:tr>
        <w:tc>
          <w:tcPr>
            <w:tcW w:type="dxa" w:w="1701"/>
            <w:shd w:val="clear" w:color="auto" w:fill="D9EAD3"/>
          </w:tcPr>
          <w:p>
            <w:r>
              <w:rPr>
                <w:b/>
                <w:sz w:val="16"/>
              </w:rPr>
              <w:t>Source basis</w:t>
            </w:r>
          </w:p>
        </w:tc>
        <w:tc>
          <w:tcPr>
            <w:tcW w:type="dxa" w:w="8164"/>
            <w:shd w:val="clear" w:color="auto" w:fill="D9EAD3"/>
          </w:tcPr>
          <w:p>
            <w:r>
              <w:rPr>
                <w:sz w:val="16"/>
              </w:rPr>
              <w:t>FULL TEXT read in this session; page numbers refer to the open-access version in Part G</w:t>
            </w:r>
          </w:p>
        </w:tc>
      </w:tr>
      <w:tr>
        <w:tc>
          <w:tcPr>
            <w:tcW w:type="dxa" w:w="1701"/>
          </w:tcPr>
          <w:p>
            <w:r>
              <w:rPr>
                <w:b/>
                <w:sz w:val="16"/>
              </w:rPr>
              <w:t>Summary</w:t>
            </w:r>
          </w:p>
        </w:tc>
        <w:tc>
          <w:tcPr>
            <w:tcW w:type="dxa" w:w="8164"/>
          </w:tcPr>
          <w:p>
            <w:r>
              <w:rPr>
                <w:sz w:val="16"/>
              </w:rPr>
              <w:t>Asks how the GFC spread across world equity markets; finds that domestic weaknesses mattered more than direct links to the US.</w:t>
            </w:r>
          </w:p>
        </w:tc>
      </w:tr>
      <w:tr>
        <w:tc>
          <w:tcPr>
            <w:tcW w:type="dxa" w:w="1701"/>
          </w:tcPr>
          <w:p>
            <w:r>
              <w:rPr>
                <w:b/>
                <w:sz w:val="16"/>
              </w:rPr>
              <w:t>Dataset</w:t>
            </w:r>
          </w:p>
        </w:tc>
        <w:tc>
          <w:tcPr>
            <w:tcW w:type="dxa" w:w="8164"/>
          </w:tcPr>
          <w:p>
            <w:r>
              <w:rPr>
                <w:sz w:val="16"/>
              </w:rPr>
              <w:t>415 country-sector equity portfolios in 55 markets; weekly data, ≈725 observations each.</w:t>
            </w:r>
          </w:p>
        </w:tc>
      </w:tr>
      <w:tr>
        <w:tc>
          <w:tcPr>
            <w:tcW w:type="dxa" w:w="1701"/>
          </w:tcPr>
          <w:p>
            <w:r>
              <w:rPr>
                <w:b/>
                <w:sz w:val="16"/>
              </w:rPr>
              <w:t>Methodology</w:t>
            </w:r>
          </w:p>
        </w:tc>
        <w:tc>
          <w:tcPr>
            <w:tcW w:type="dxa" w:w="8164"/>
          </w:tcPr>
          <w:p>
            <w:r>
              <w:rPr>
                <w:sz w:val="16"/>
              </w:rPr>
              <w:t>Factor asset-pricing model (US, global-financial and domestic factors); contagion = unexplained rise in factor loadings and residual correlations during the crisis.</w:t>
            </w:r>
          </w:p>
        </w:tc>
      </w:tr>
      <w:tr>
        <w:tc>
          <w:tcPr>
            <w:tcW w:type="dxa" w:w="1701"/>
          </w:tcPr>
          <w:p>
            <w:r>
              <w:rPr>
                <w:b/>
                <w:sz w:val="16"/>
              </w:rPr>
              <w:t>Results</w:t>
            </w:r>
          </w:p>
        </w:tc>
        <w:tc>
          <w:tcPr>
            <w:tcW w:type="dxa" w:w="8164"/>
          </w:tcPr>
          <w:p>
            <w:r>
              <w:rPr>
                <w:sz w:val="16"/>
              </w:rPr>
              <w:t>• Little systematic contagion from US markets despite the US origin.</w:t>
            </w:r>
          </w:p>
          <w:p>
            <w:r>
              <w:rPr>
                <w:sz w:val="16"/>
              </w:rPr>
              <w:t>• Systematic contagion from domestic markets to domestic portfolios.</w:t>
            </w:r>
          </w:p>
          <w:p>
            <w:r>
              <w:rPr>
                <w:sz w:val="16"/>
              </w:rPr>
              <w:t>• Weak fundamentals, poor policies and weak institutions → more contagion and larger falls.</w:t>
            </w:r>
          </w:p>
          <w:p>
            <w:r>
              <w:rPr>
                <w:sz w:val="16"/>
              </w:rPr>
              <w:t>• Debt and deposit guarantees partly shielded domestic equities (wake-up call hypothesis).</w:t>
            </w:r>
          </w:p>
        </w:tc>
      </w:tr>
      <w:tr>
        <w:tc>
          <w:tcPr>
            <w:tcW w:type="dxa" w:w="1701"/>
            <w:shd w:val="clear" w:color="auto" w:fill="EAF1FB"/>
          </w:tcPr>
          <w:p>
            <w:r>
              <w:rPr>
                <w:b/>
                <w:sz w:val="16"/>
              </w:rPr>
              <w:t>How it relates to MY study</w:t>
            </w:r>
          </w:p>
        </w:tc>
        <w:tc>
          <w:tcPr>
            <w:tcW w:type="dxa" w:w="8164"/>
            <w:shd w:val="clear" w:color="auto" w:fill="EAF1FB"/>
          </w:tcPr>
          <w:p>
            <w:r>
              <w:rPr>
                <w:sz w:val="16"/>
              </w:rPr>
              <w:t>Key basis for H2a: expect a large domestic channel for Ireland in the GFC, not only US channels. Matches the ISEQ’s +7.9% on guarantee day (Figure H1).</w:t>
            </w:r>
          </w:p>
        </w:tc>
      </w:tr>
      <w:tr>
        <w:tc>
          <w:tcPr>
            <w:tcW w:type="dxa" w:w="1701"/>
            <w:shd w:val="clear" w:color="auto" w:fill="EAF1FB"/>
          </w:tcPr>
          <w:p>
            <w:r>
              <w:rPr>
                <w:b/>
                <w:sz w:val="16"/>
              </w:rPr>
              <w:t>Must read in the original</w:t>
            </w:r>
          </w:p>
        </w:tc>
        <w:tc>
          <w:tcPr>
            <w:tcW w:type="dxa" w:w="8164"/>
            <w:shd w:val="clear" w:color="auto" w:fill="EAF1FB"/>
          </w:tcPr>
          <w:p>
            <w:r>
              <w:rPr>
                <w:sz w:val="16"/>
              </w:rPr>
              <w:t>Introduction (pp.8–10); 2.1.1 interdependence vs contagion (p.12); 3.2 contagion (pp.20–22); 3.3 channels (pp.23–24); conclusions (pp.25–26); Figure 3 (p.21).</w:t>
            </w:r>
          </w:p>
        </w:tc>
      </w:tr>
      <w:tr>
        <w:tc>
          <w:tcPr>
            <w:tcW w:type="dxa" w:w="1701"/>
          </w:tcPr>
          <w:p>
            <w:r>
              <w:rPr>
                <w:b/>
                <w:sz w:val="16"/>
              </w:rPr>
              <w:t>Can skim / skip</w:t>
            </w:r>
          </w:p>
        </w:tc>
        <w:tc>
          <w:tcPr>
            <w:tcW w:type="dxa" w:w="8164"/>
          </w:tcPr>
          <w:p>
            <w:r>
              <w:rPr>
                <w:sz w:val="16"/>
              </w:rPr>
              <w:t>Estimation diagnostics (pp.15–17) and appendix.</w:t>
            </w:r>
          </w:p>
        </w:tc>
      </w:tr>
      <w:tr>
        <w:tc>
          <w:tcPr>
            <w:tcW w:type="dxa" w:w="1701"/>
          </w:tcPr>
          <w:p>
            <w:r>
              <w:rPr>
                <w:b/>
                <w:sz w:val="16"/>
              </w:rPr>
              <w:t>Key terms</w:t>
            </w:r>
          </w:p>
        </w:tc>
        <w:tc>
          <w:tcPr>
            <w:tcW w:type="dxa" w:w="8164"/>
          </w:tcPr>
          <w:p>
            <w:r>
              <w:rPr>
                <w:sz w:val="16"/>
              </w:rPr>
              <w:t>interdependence; contagion; factor loadings; wake-up call hypothesis</w:t>
            </w:r>
          </w:p>
        </w:tc>
      </w:tr>
      <w:tr>
        <w:tc>
          <w:tcPr>
            <w:tcW w:type="dxa" w:w="1701"/>
          </w:tcPr>
          <w:p>
            <w:r>
              <w:rPr>
                <w:b/>
                <w:sz w:val="16"/>
              </w:rPr>
              <w:t>Strengths</w:t>
            </w:r>
          </w:p>
        </w:tc>
        <w:tc>
          <w:tcPr>
            <w:tcW w:type="dxa" w:w="8164"/>
          </w:tcPr>
          <w:p>
            <w:r>
              <w:rPr>
                <w:sz w:val="16"/>
              </w:rPr>
              <w:t>Very large cross-section; clear definition.</w:t>
            </w:r>
          </w:p>
        </w:tc>
      </w:tr>
      <w:tr>
        <w:tc>
          <w:tcPr>
            <w:tcW w:type="dxa" w:w="1701"/>
          </w:tcPr>
          <w:p>
            <w:r>
              <w:rPr>
                <w:b/>
                <w:sz w:val="16"/>
              </w:rPr>
              <w:t>Weaknesses / critique</w:t>
            </w:r>
          </w:p>
        </w:tc>
        <w:tc>
          <w:tcPr>
            <w:tcW w:type="dxa" w:w="8164"/>
          </w:tcPr>
          <w:p>
            <w:r>
              <w:rPr>
                <w:sz w:val="16"/>
              </w:rPr>
              <w:t>Result depends on the factor model; not a forecasting study.</w:t>
            </w:r>
          </w:p>
        </w:tc>
      </w:tr>
      <w:tr>
        <w:tc>
          <w:tcPr>
            <w:tcW w:type="dxa" w:w="1701"/>
            <w:shd w:val="clear" w:color="auto" w:fill="EAF1FB"/>
          </w:tcPr>
          <w:p>
            <w:r>
              <w:rPr>
                <w:b/>
                <w:sz w:val="16"/>
              </w:rPr>
              <w:t>Use it as · where</w:t>
            </w:r>
          </w:p>
        </w:tc>
        <w:tc>
          <w:tcPr>
            <w:tcW w:type="dxa" w:w="8164"/>
            <w:shd w:val="clear" w:color="auto" w:fill="EAF1FB"/>
          </w:tcPr>
          <w:p>
            <w:r>
              <w:rPr>
                <w:sz w:val="16"/>
              </w:rPr>
              <w:t>Central support · 2.3.2, 2.4; H2a</w:t>
            </w:r>
          </w:p>
        </w:tc>
      </w:tr>
    </w:tbl>
    <w:p>
      <w:pPr>
        <w:spacing w:after="80"/>
      </w:pPr>
    </w:p>
    <w:tbl>
      <w:tblPr>
        <w:tblStyle w:val="TableGrid"/>
        <w:tblW w:type="auto" w:w="0"/>
        <w:jc w:val="center"/>
        <w:tblLook w:firstColumn="1" w:firstRow="1" w:lastColumn="0" w:lastRow="0" w:noHBand="0" w:noVBand="1" w:val="04A0"/>
      </w:tblPr>
      <w:tblGrid>
        <w:gridCol w:w="5100"/>
        <w:gridCol w:w="5100"/>
      </w:tblGrid>
      <w:tr>
        <w:tc>
          <w:tcPr>
            <w:tcW w:type="dxa" w:w="8164"/>
            <w:gridSpan w:val="2"/>
            <w:shd w:val="clear" w:color="auto" w:fill="1F4E79"/>
          </w:tcPr>
          <w:p>
            <w:r>
              <w:rPr>
                <w:b/>
                <w:color w:val="FFFFFF"/>
                <w:sz w:val="19"/>
              </w:rPr>
              <w:t>Acharya, V., Drechsler, I. &amp; Schnabl, P. (2014) A Pyrrhic victory? JF, 69(6), 2689–2739.</w:t>
            </w:r>
          </w:p>
        </w:tc>
      </w:tr>
      <w:tr>
        <w:tc>
          <w:tcPr>
            <w:tcW w:type="dxa" w:w="1701"/>
            <w:shd w:val="clear" w:color="auto" w:fill="D9EAD3"/>
          </w:tcPr>
          <w:p>
            <w:r>
              <w:rPr>
                <w:b/>
                <w:sz w:val="16"/>
              </w:rPr>
              <w:t>Source basis</w:t>
            </w:r>
          </w:p>
        </w:tc>
        <w:tc>
          <w:tcPr>
            <w:tcW w:type="dxa" w:w="8164"/>
            <w:shd w:val="clear" w:color="auto" w:fill="D9EAD3"/>
          </w:tcPr>
          <w:p>
            <w:r>
              <w:rPr>
                <w:sz w:val="16"/>
              </w:rPr>
              <w:t>FULL TEXT read in this session; page numbers refer to the open-access version in Part G</w:t>
            </w:r>
          </w:p>
        </w:tc>
      </w:tr>
      <w:tr>
        <w:tc>
          <w:tcPr>
            <w:tcW w:type="dxa" w:w="1701"/>
          </w:tcPr>
          <w:p>
            <w:r>
              <w:rPr>
                <w:b/>
                <w:sz w:val="16"/>
              </w:rPr>
              <w:t>Summary</w:t>
            </w:r>
          </w:p>
        </w:tc>
        <w:tc>
          <w:tcPr>
            <w:tcW w:type="dxa" w:w="8164"/>
          </w:tcPr>
          <w:p>
            <w:r>
              <w:rPr>
                <w:sz w:val="16"/>
              </w:rPr>
              <w:t>Shows that bank bailouts transferred risk to governments, creating a two-way loop between bank and sovereign credit risk — with Ireland as the opening case.</w:t>
            </w:r>
          </w:p>
        </w:tc>
      </w:tr>
      <w:tr>
        <w:tc>
          <w:tcPr>
            <w:tcW w:type="dxa" w:w="1701"/>
          </w:tcPr>
          <w:p>
            <w:r>
              <w:rPr>
                <w:b/>
                <w:sz w:val="16"/>
              </w:rPr>
              <w:t>Dataset</w:t>
            </w:r>
          </w:p>
        </w:tc>
        <w:tc>
          <w:tcPr>
            <w:tcW w:type="dxa" w:w="8164"/>
          </w:tcPr>
          <w:p>
            <w:r>
              <w:rPr>
                <w:sz w:val="16"/>
              </w:rPr>
              <w:t>CDS spreads for European banks and sovereigns (2007 onwards); bond yields from Datastream.</w:t>
            </w:r>
          </w:p>
        </w:tc>
      </w:tr>
      <w:tr>
        <w:tc>
          <w:tcPr>
            <w:tcW w:type="dxa" w:w="1701"/>
          </w:tcPr>
          <w:p>
            <w:r>
              <w:rPr>
                <w:b/>
                <w:sz w:val="16"/>
              </w:rPr>
              <w:t>Methodology</w:t>
            </w:r>
          </w:p>
        </w:tc>
        <w:tc>
          <w:tcPr>
            <w:tcW w:type="dxa" w:w="8164"/>
          </w:tcPr>
          <w:p>
            <w:r>
              <w:rPr>
                <w:sz w:val="16"/>
              </w:rPr>
              <w:t>Theoretical model of the loop; event study around bailouts; panel regressions.</w:t>
            </w:r>
          </w:p>
        </w:tc>
      </w:tr>
      <w:tr>
        <w:tc>
          <w:tcPr>
            <w:tcW w:type="dxa" w:w="1701"/>
          </w:tcPr>
          <w:p>
            <w:r>
              <w:rPr>
                <w:b/>
                <w:sz w:val="16"/>
              </w:rPr>
              <w:t>Results</w:t>
            </w:r>
          </w:p>
        </w:tc>
        <w:tc>
          <w:tcPr>
            <w:tcW w:type="dxa" w:w="8164"/>
          </w:tcPr>
          <w:p>
            <w:r>
              <w:rPr>
                <w:sz w:val="16"/>
              </w:rPr>
              <w:t>• Ireland guaranteed six banks’ deposits on 30 Sep 2008.</w:t>
            </w:r>
          </w:p>
          <w:p>
            <w:r>
              <w:rPr>
                <w:sz w:val="16"/>
              </w:rPr>
              <w:t>• Irish bank CDS fell overnight from ≈400 to ≈150 bp while sovereign CDS rose sharply.</w:t>
            </w:r>
          </w:p>
          <w:p>
            <w:r>
              <w:rPr>
                <w:sz w:val="16"/>
              </w:rPr>
              <w:t>• By autumn 2010, the Irish–German spread widened and Ireland needed a bailout.</w:t>
            </w:r>
          </w:p>
          <w:p>
            <w:r>
              <w:rPr>
                <w:sz w:val="16"/>
              </w:rPr>
              <w:t>• Across Europe, bank/sovereign CDS: 63/14 → 148/48 → 184/112 bp (before/during/after bailouts).</w:t>
            </w:r>
          </w:p>
          <w:p>
            <w:r>
              <w:rPr>
                <w:sz w:val="16"/>
              </w:rPr>
              <w:t>• After bailouts, sovereign CDS changes help explain bank CDS changes.</w:t>
            </w:r>
          </w:p>
        </w:tc>
      </w:tr>
      <w:tr>
        <w:tc>
          <w:tcPr>
            <w:tcW w:type="dxa" w:w="1701"/>
            <w:shd w:val="clear" w:color="auto" w:fill="EAF1FB"/>
          </w:tcPr>
          <w:p>
            <w:r>
              <w:rPr>
                <w:b/>
                <w:sz w:val="16"/>
              </w:rPr>
              <w:t>How it relates to MY study</w:t>
            </w:r>
          </w:p>
        </w:tc>
        <w:tc>
          <w:tcPr>
            <w:tcW w:type="dxa" w:w="8164"/>
            <w:shd w:val="clear" w:color="auto" w:fill="EAF1FB"/>
          </w:tcPr>
          <w:p>
            <w:r>
              <w:rPr>
                <w:sz w:val="16"/>
              </w:rPr>
              <w:t>Explains how your GFC window led into your Irish debt-crisis window; basis for a strong domestic channel in 2010–12 (H2b).</w:t>
            </w:r>
          </w:p>
        </w:tc>
      </w:tr>
      <w:tr>
        <w:tc>
          <w:tcPr>
            <w:tcW w:type="dxa" w:w="1701"/>
            <w:shd w:val="clear" w:color="auto" w:fill="EAF1FB"/>
          </w:tcPr>
          <w:p>
            <w:r>
              <w:rPr>
                <w:b/>
                <w:sz w:val="16"/>
              </w:rPr>
              <w:t>Must read in the original</w:t>
            </w:r>
          </w:p>
        </w:tc>
        <w:tc>
          <w:tcPr>
            <w:tcW w:type="dxa" w:w="8164"/>
            <w:shd w:val="clear" w:color="auto" w:fill="EAF1FB"/>
          </w:tcPr>
          <w:p>
            <w:r>
              <w:rPr>
                <w:sz w:val="16"/>
              </w:rPr>
              <w:t>Introduction and Figure 1 (pp.2–4, the Irish case); empirical analysis: data (p.23), sovereign risk trigger (pp.24–27, Figures 8–9 p.25), feedback loop (pp.28–35, Table III p.30); conclusion (p.40).</w:t>
            </w:r>
          </w:p>
        </w:tc>
      </w:tr>
      <w:tr>
        <w:tc>
          <w:tcPr>
            <w:tcW w:type="dxa" w:w="1701"/>
          </w:tcPr>
          <w:p>
            <w:r>
              <w:rPr>
                <w:b/>
                <w:sz w:val="16"/>
              </w:rPr>
              <w:t>Can skim / skip</w:t>
            </w:r>
          </w:p>
        </w:tc>
        <w:tc>
          <w:tcPr>
            <w:tcW w:type="dxa" w:w="8164"/>
          </w:tcPr>
          <w:p>
            <w:r>
              <w:rPr>
                <w:sz w:val="16"/>
              </w:rPr>
              <w:t>Model sections (pp.8–22) unless interested in the theory.</w:t>
            </w:r>
          </w:p>
        </w:tc>
      </w:tr>
      <w:tr>
        <w:tc>
          <w:tcPr>
            <w:tcW w:type="dxa" w:w="1701"/>
          </w:tcPr>
          <w:p>
            <w:r>
              <w:rPr>
                <w:b/>
                <w:sz w:val="16"/>
              </w:rPr>
              <w:t>Key terms</w:t>
            </w:r>
          </w:p>
        </w:tc>
        <w:tc>
          <w:tcPr>
            <w:tcW w:type="dxa" w:w="8164"/>
          </w:tcPr>
          <w:p>
            <w:r>
              <w:rPr>
                <w:sz w:val="16"/>
              </w:rPr>
              <w:t>bank–sovereign loop; CDS; bailout; guarantee</w:t>
            </w:r>
          </w:p>
        </w:tc>
      </w:tr>
      <w:tr>
        <w:tc>
          <w:tcPr>
            <w:tcW w:type="dxa" w:w="1701"/>
          </w:tcPr>
          <w:p>
            <w:r>
              <w:rPr>
                <w:b/>
                <w:sz w:val="16"/>
              </w:rPr>
              <w:t>Strengths</w:t>
            </w:r>
          </w:p>
        </w:tc>
        <w:tc>
          <w:tcPr>
            <w:tcW w:type="dxa" w:w="8164"/>
          </w:tcPr>
          <w:p>
            <w:r>
              <w:rPr>
                <w:sz w:val="16"/>
              </w:rPr>
              <w:t>Clear mechanism; clean natural experiment.</w:t>
            </w:r>
          </w:p>
        </w:tc>
      </w:tr>
      <w:tr>
        <w:tc>
          <w:tcPr>
            <w:tcW w:type="dxa" w:w="1701"/>
          </w:tcPr>
          <w:p>
            <w:r>
              <w:rPr>
                <w:b/>
                <w:sz w:val="16"/>
              </w:rPr>
              <w:t>Weaknesses / critique</w:t>
            </w:r>
          </w:p>
        </w:tc>
        <w:tc>
          <w:tcPr>
            <w:tcW w:type="dxa" w:w="8164"/>
          </w:tcPr>
          <w:p>
            <w:r>
              <w:rPr>
                <w:sz w:val="16"/>
              </w:rPr>
              <w:t>Credit markets, not equity volatility.</w:t>
            </w:r>
          </w:p>
        </w:tc>
      </w:tr>
      <w:tr>
        <w:tc>
          <w:tcPr>
            <w:tcW w:type="dxa" w:w="1701"/>
            <w:shd w:val="clear" w:color="auto" w:fill="EAF1FB"/>
          </w:tcPr>
          <w:p>
            <w:r>
              <w:rPr>
                <w:b/>
                <w:sz w:val="16"/>
              </w:rPr>
              <w:t>Use it as · where</w:t>
            </w:r>
          </w:p>
        </w:tc>
        <w:tc>
          <w:tcPr>
            <w:tcW w:type="dxa" w:w="8164"/>
            <w:shd w:val="clear" w:color="auto" w:fill="EAF1FB"/>
          </w:tcPr>
          <w:p>
            <w:r>
              <w:rPr>
                <w:sz w:val="16"/>
              </w:rPr>
              <w:t>Support · 2.3.2–2.3.3; H2b</w:t>
            </w:r>
          </w:p>
        </w:tc>
      </w:tr>
    </w:tbl>
    <w:p>
      <w:pPr>
        <w:spacing w:after="80"/>
      </w:pPr>
    </w:p>
    <w:tbl>
      <w:tblPr>
        <w:tblStyle w:val="TableGrid"/>
        <w:tblW w:type="auto" w:w="0"/>
        <w:jc w:val="center"/>
        <w:tblLook w:firstColumn="1" w:firstRow="1" w:lastColumn="0" w:lastRow="0" w:noHBand="0" w:noVBand="1" w:val="04A0"/>
      </w:tblPr>
      <w:tblGrid>
        <w:gridCol w:w="5100"/>
        <w:gridCol w:w="5100"/>
      </w:tblGrid>
      <w:tr>
        <w:tc>
          <w:tcPr>
            <w:tcW w:type="dxa" w:w="8164"/>
            <w:gridSpan w:val="2"/>
            <w:shd w:val="clear" w:color="auto" w:fill="1F4E79"/>
          </w:tcPr>
          <w:p>
            <w:r>
              <w:rPr>
                <w:b/>
                <w:color w:val="FFFFFF"/>
                <w:sz w:val="19"/>
              </w:rPr>
              <w:t>Honohan (2010); Regling &amp; Watson (2010); Nyberg (2011) — official Irish reports.</w:t>
            </w:r>
          </w:p>
        </w:tc>
      </w:tr>
      <w:tr>
        <w:tc>
          <w:tcPr>
            <w:tcW w:type="dxa" w:w="1701"/>
            <w:shd w:val="clear" w:color="auto" w:fill="EFEFEF"/>
          </w:tcPr>
          <w:p>
            <w:r>
              <w:rPr>
                <w:b/>
                <w:sz w:val="16"/>
              </w:rPr>
              <w:t>Source basis</w:t>
            </w:r>
          </w:p>
        </w:tc>
        <w:tc>
          <w:tcPr>
            <w:tcW w:type="dxa" w:w="8164"/>
            <w:shd w:val="clear" w:color="auto" w:fill="EFEFEF"/>
          </w:tcPr>
          <w:p>
            <w:r>
              <w:rPr>
                <w:sz w:val="16"/>
              </w:rPr>
              <w:t>STANDARD KNOWLEDGE, not re-read this session; confirm every detail and page before citing</w:t>
            </w:r>
          </w:p>
        </w:tc>
      </w:tr>
      <w:tr>
        <w:tc>
          <w:tcPr>
            <w:tcW w:type="dxa" w:w="1701"/>
          </w:tcPr>
          <w:p>
            <w:r>
              <w:rPr>
                <w:b/>
                <w:sz w:val="16"/>
              </w:rPr>
              <w:t>Summary</w:t>
            </w:r>
          </w:p>
        </w:tc>
        <w:tc>
          <w:tcPr>
            <w:tcW w:type="dxa" w:w="8164"/>
          </w:tcPr>
          <w:p>
            <w:r>
              <w:rPr>
                <w:sz w:val="16"/>
              </w:rPr>
              <w:t>The three official investigations into why Irish banks failed.</w:t>
            </w:r>
          </w:p>
        </w:tc>
      </w:tr>
      <w:tr>
        <w:tc>
          <w:tcPr>
            <w:tcW w:type="dxa" w:w="1701"/>
          </w:tcPr>
          <w:p>
            <w:r>
              <w:rPr>
                <w:b/>
                <w:sz w:val="16"/>
              </w:rPr>
              <w:t>Dataset</w:t>
            </w:r>
          </w:p>
        </w:tc>
        <w:tc>
          <w:tcPr>
            <w:tcW w:type="dxa" w:w="8164"/>
          </w:tcPr>
          <w:p>
            <w:r>
              <w:rPr>
                <w:sz w:val="16"/>
              </w:rPr>
              <w:t>Bank, regulator and government documents; interviews.</w:t>
            </w:r>
          </w:p>
        </w:tc>
      </w:tr>
      <w:tr>
        <w:tc>
          <w:tcPr>
            <w:tcW w:type="dxa" w:w="1701"/>
          </w:tcPr>
          <w:p>
            <w:r>
              <w:rPr>
                <w:b/>
                <w:sz w:val="16"/>
              </w:rPr>
              <w:t>Methodology</w:t>
            </w:r>
          </w:p>
        </w:tc>
        <w:tc>
          <w:tcPr>
            <w:tcW w:type="dxa" w:w="8164"/>
          </w:tcPr>
          <w:p>
            <w:r>
              <w:rPr>
                <w:sz w:val="16"/>
              </w:rPr>
              <w:t>Official inquiries.</w:t>
            </w:r>
          </w:p>
        </w:tc>
      </w:tr>
      <w:tr>
        <w:tc>
          <w:tcPr>
            <w:tcW w:type="dxa" w:w="1701"/>
          </w:tcPr>
          <w:p>
            <w:r>
              <w:rPr>
                <w:b/>
                <w:sz w:val="16"/>
              </w:rPr>
              <w:t>Results</w:t>
            </w:r>
          </w:p>
        </w:tc>
        <w:tc>
          <w:tcPr>
            <w:tcW w:type="dxa" w:w="8164"/>
          </w:tcPr>
          <w:p>
            <w:r>
              <w:rPr>
                <w:sz w:val="16"/>
              </w:rPr>
              <w:t>• Property-lending concentration and foreign wholesale funding.</w:t>
            </w:r>
          </w:p>
          <w:p>
            <w:r>
              <w:rPr>
                <w:sz w:val="16"/>
              </w:rPr>
              <w:t>• Light-touch regulation; failed macro-prudential policy (Honohan).</w:t>
            </w:r>
          </w:p>
          <w:p>
            <w:r>
              <w:rPr>
                <w:sz w:val="16"/>
              </w:rPr>
              <w:t>• Largely home-grown crisis, triggered by the global crisis (Regling &amp; Watson).</w:t>
            </w:r>
          </w:p>
          <w:p>
            <w:r>
              <w:rPr>
                <w:sz w:val="16"/>
              </w:rPr>
              <w:t>• Herding by banks and authorities (Nyberg).</w:t>
            </w:r>
          </w:p>
        </w:tc>
      </w:tr>
      <w:tr>
        <w:tc>
          <w:tcPr>
            <w:tcW w:type="dxa" w:w="1701"/>
            <w:shd w:val="clear" w:color="auto" w:fill="EAF1FB"/>
          </w:tcPr>
          <w:p>
            <w:r>
              <w:rPr>
                <w:b/>
                <w:sz w:val="16"/>
              </w:rPr>
              <w:t>How it relates to MY study</w:t>
            </w:r>
          </w:p>
        </w:tc>
        <w:tc>
          <w:tcPr>
            <w:tcW w:type="dxa" w:w="8164"/>
            <w:shd w:val="clear" w:color="auto" w:fill="EAF1FB"/>
          </w:tcPr>
          <w:p>
            <w:r>
              <w:rPr>
                <w:sz w:val="16"/>
              </w:rPr>
              <w:t>Primary historical evidence for the domestic dimension of the GFC in Ireland (H2a).</w:t>
            </w:r>
          </w:p>
        </w:tc>
      </w:tr>
      <w:tr>
        <w:tc>
          <w:tcPr>
            <w:tcW w:type="dxa" w:w="1701"/>
            <w:shd w:val="clear" w:color="auto" w:fill="EAF1FB"/>
          </w:tcPr>
          <w:p>
            <w:r>
              <w:rPr>
                <w:b/>
                <w:sz w:val="16"/>
              </w:rPr>
              <w:t>Must read in the original</w:t>
            </w:r>
          </w:p>
        </w:tc>
        <w:tc>
          <w:tcPr>
            <w:tcW w:type="dxa" w:w="8164"/>
            <w:shd w:val="clear" w:color="auto" w:fill="EAF1FB"/>
          </w:tcPr>
          <w:p>
            <w:r>
              <w:rPr>
                <w:sz w:val="16"/>
              </w:rPr>
              <w:t>Executive summaries and conclusions of each report.</w:t>
            </w:r>
          </w:p>
        </w:tc>
      </w:tr>
      <w:tr>
        <w:tc>
          <w:tcPr>
            <w:tcW w:type="dxa" w:w="1701"/>
          </w:tcPr>
          <w:p>
            <w:r>
              <w:rPr>
                <w:b/>
                <w:sz w:val="16"/>
              </w:rPr>
              <w:t>Can skim / skip</w:t>
            </w:r>
          </w:p>
        </w:tc>
        <w:tc>
          <w:tcPr>
            <w:tcW w:type="dxa" w:w="8164"/>
          </w:tcPr>
          <w:p>
            <w:r>
              <w:rPr>
                <w:sz w:val="16"/>
              </w:rPr>
              <w:t>Detailed institutional chapters.</w:t>
            </w:r>
          </w:p>
        </w:tc>
      </w:tr>
      <w:tr>
        <w:tc>
          <w:tcPr>
            <w:tcW w:type="dxa" w:w="1701"/>
          </w:tcPr>
          <w:p>
            <w:r>
              <w:rPr>
                <w:b/>
                <w:sz w:val="16"/>
              </w:rPr>
              <w:t>Key terms</w:t>
            </w:r>
          </w:p>
        </w:tc>
        <w:tc>
          <w:tcPr>
            <w:tcW w:type="dxa" w:w="8164"/>
          </w:tcPr>
          <w:p>
            <w:r>
              <w:rPr>
                <w:sz w:val="16"/>
              </w:rPr>
              <w:t>macro-prudential policy; herding; wholesale funding</w:t>
            </w:r>
          </w:p>
        </w:tc>
      </w:tr>
      <w:tr>
        <w:tc>
          <w:tcPr>
            <w:tcW w:type="dxa" w:w="1701"/>
          </w:tcPr>
          <w:p>
            <w:r>
              <w:rPr>
                <w:b/>
                <w:sz w:val="16"/>
              </w:rPr>
              <w:t>Strengths</w:t>
            </w:r>
          </w:p>
        </w:tc>
        <w:tc>
          <w:tcPr>
            <w:tcW w:type="dxa" w:w="8164"/>
          </w:tcPr>
          <w:p>
            <w:r>
              <w:rPr>
                <w:sz w:val="16"/>
              </w:rPr>
              <w:t>Authoritative.</w:t>
            </w:r>
          </w:p>
        </w:tc>
      </w:tr>
      <w:tr>
        <w:tc>
          <w:tcPr>
            <w:tcW w:type="dxa" w:w="1701"/>
          </w:tcPr>
          <w:p>
            <w:r>
              <w:rPr>
                <w:b/>
                <w:sz w:val="16"/>
              </w:rPr>
              <w:t>Weaknesses / critique</w:t>
            </w:r>
          </w:p>
        </w:tc>
        <w:tc>
          <w:tcPr>
            <w:tcW w:type="dxa" w:w="8164"/>
          </w:tcPr>
          <w:p>
            <w:r>
              <w:rPr>
                <w:sz w:val="16"/>
              </w:rPr>
              <w:t>Not academic tests; confirm wording and pages.</w:t>
            </w:r>
          </w:p>
        </w:tc>
      </w:tr>
      <w:tr>
        <w:tc>
          <w:tcPr>
            <w:tcW w:type="dxa" w:w="1701"/>
            <w:shd w:val="clear" w:color="auto" w:fill="EAF1FB"/>
          </w:tcPr>
          <w:p>
            <w:r>
              <w:rPr>
                <w:b/>
                <w:sz w:val="16"/>
              </w:rPr>
              <w:t>Use it as · where</w:t>
            </w:r>
          </w:p>
        </w:tc>
        <w:tc>
          <w:tcPr>
            <w:tcW w:type="dxa" w:w="8164"/>
            <w:shd w:val="clear" w:color="auto" w:fill="EAF1FB"/>
          </w:tcPr>
          <w:p>
            <w:r>
              <w:rPr>
                <w:sz w:val="16"/>
              </w:rPr>
              <w:t>Context + support · 2.3.2; Discussion</w:t>
            </w:r>
          </w:p>
        </w:tc>
      </w:tr>
    </w:tbl>
    <w:p>
      <w:pPr>
        <w:spacing w:after="80"/>
      </w:pPr>
    </w:p>
    <w:tbl>
      <w:tblPr>
        <w:tblStyle w:val="TableGrid"/>
        <w:tblW w:type="auto" w:w="0"/>
        <w:jc w:val="center"/>
        <w:tblLook w:firstColumn="1" w:firstRow="1" w:lastColumn="0" w:lastRow="0" w:noHBand="0" w:noVBand="1" w:val="04A0"/>
      </w:tblPr>
      <w:tblGrid>
        <w:gridCol w:w="5100"/>
        <w:gridCol w:w="5100"/>
      </w:tblGrid>
      <w:tr>
        <w:tc>
          <w:tcPr>
            <w:tcW w:type="dxa" w:w="8164"/>
            <w:gridSpan w:val="2"/>
            <w:shd w:val="clear" w:color="auto" w:fill="1F4E79"/>
          </w:tcPr>
          <w:p>
            <w:r>
              <w:rPr>
                <w:b/>
                <w:color w:val="FFFFFF"/>
                <w:sz w:val="19"/>
              </w:rPr>
              <w:t>Lane, P. (2012) The European sovereign debt crisis. JEP, 26(3), 49–68.</w:t>
            </w:r>
          </w:p>
        </w:tc>
      </w:tr>
      <w:tr>
        <w:tc>
          <w:tcPr>
            <w:tcW w:type="dxa" w:w="1701"/>
            <w:shd w:val="clear" w:color="auto" w:fill="FFF2CC"/>
          </w:tcPr>
          <w:p>
            <w:r>
              <w:rPr>
                <w:b/>
                <w:sz w:val="16"/>
              </w:rPr>
              <w:t>Source basis</w:t>
            </w:r>
          </w:p>
        </w:tc>
        <w:tc>
          <w:tcPr>
            <w:tcW w:type="dxa" w:w="8164"/>
            <w:shd w:val="clear" w:color="auto" w:fill="FFF2CC"/>
          </w:tcPr>
          <w:p>
            <w:r>
              <w:rPr>
                <w:sz w:val="16"/>
              </w:rPr>
              <w:t>ABSTRACT / summary read in this session; read the full paper before relying on details</w:t>
            </w:r>
          </w:p>
        </w:tc>
      </w:tr>
      <w:tr>
        <w:tc>
          <w:tcPr>
            <w:tcW w:type="dxa" w:w="1701"/>
          </w:tcPr>
          <w:p>
            <w:r>
              <w:rPr>
                <w:b/>
                <w:sz w:val="16"/>
              </w:rPr>
              <w:t>Summary</w:t>
            </w:r>
          </w:p>
        </w:tc>
        <w:tc>
          <w:tcPr>
            <w:tcW w:type="dxa" w:w="8164"/>
          </w:tcPr>
          <w:p>
            <w:r>
              <w:rPr>
                <w:sz w:val="16"/>
              </w:rPr>
              <w:t>Explains the euro-area debt crisis as the result of a flawed monetary-union design.</w:t>
            </w:r>
          </w:p>
        </w:tc>
      </w:tr>
      <w:tr>
        <w:tc>
          <w:tcPr>
            <w:tcW w:type="dxa" w:w="1701"/>
          </w:tcPr>
          <w:p>
            <w:r>
              <w:rPr>
                <w:b/>
                <w:sz w:val="16"/>
              </w:rPr>
              <w:t>Dataset</w:t>
            </w:r>
          </w:p>
        </w:tc>
        <w:tc>
          <w:tcPr>
            <w:tcW w:type="dxa" w:w="8164"/>
          </w:tcPr>
          <w:p>
            <w:r>
              <w:rPr>
                <w:sz w:val="16"/>
              </w:rPr>
              <w:t>Euro-area macro and fiscal data.</w:t>
            </w:r>
          </w:p>
        </w:tc>
      </w:tr>
      <w:tr>
        <w:tc>
          <w:tcPr>
            <w:tcW w:type="dxa" w:w="1701"/>
          </w:tcPr>
          <w:p>
            <w:r>
              <w:rPr>
                <w:b/>
                <w:sz w:val="16"/>
              </w:rPr>
              <w:t>Methodology</w:t>
            </w:r>
          </w:p>
        </w:tc>
        <w:tc>
          <w:tcPr>
            <w:tcW w:type="dxa" w:w="8164"/>
          </w:tcPr>
          <w:p>
            <w:r>
              <w:rPr>
                <w:sz w:val="16"/>
              </w:rPr>
              <w:t>Economic analysis.</w:t>
            </w:r>
          </w:p>
        </w:tc>
      </w:tr>
      <w:tr>
        <w:tc>
          <w:tcPr>
            <w:tcW w:type="dxa" w:w="1701"/>
          </w:tcPr>
          <w:p>
            <w:r>
              <w:rPr>
                <w:b/>
                <w:sz w:val="16"/>
              </w:rPr>
              <w:t>Results</w:t>
            </w:r>
          </w:p>
        </w:tc>
        <w:tc>
          <w:tcPr>
            <w:tcW w:type="dxa" w:w="8164"/>
          </w:tcPr>
          <w:p>
            <w:r>
              <w:rPr>
                <w:sz w:val="16"/>
              </w:rPr>
              <w:t>• Flawed euro design; poor understanding of monetary-union fragility.</w:t>
            </w:r>
          </w:p>
          <w:p>
            <w:r>
              <w:rPr>
                <w:sz w:val="16"/>
              </w:rPr>
              <w:t>• No banking union or euro-level buffers; crisis-management errors.</w:t>
            </w:r>
          </w:p>
        </w:tc>
      </w:tr>
      <w:tr>
        <w:tc>
          <w:tcPr>
            <w:tcW w:type="dxa" w:w="1701"/>
            <w:shd w:val="clear" w:color="auto" w:fill="EAF1FB"/>
          </w:tcPr>
          <w:p>
            <w:r>
              <w:rPr>
                <w:b/>
                <w:sz w:val="16"/>
              </w:rPr>
              <w:t>How it relates to MY study</w:t>
            </w:r>
          </w:p>
        </w:tc>
        <w:tc>
          <w:tcPr>
            <w:tcW w:type="dxa" w:w="8164"/>
            <w:shd w:val="clear" w:color="auto" w:fill="EAF1FB"/>
          </w:tcPr>
          <w:p>
            <w:r>
              <w:rPr>
                <w:sz w:val="16"/>
              </w:rPr>
              <w:t>Euro-area origin of your 2010–12 window (H2b).</w:t>
            </w:r>
          </w:p>
        </w:tc>
      </w:tr>
      <w:tr>
        <w:tc>
          <w:tcPr>
            <w:tcW w:type="dxa" w:w="1701"/>
            <w:shd w:val="clear" w:color="auto" w:fill="EAF1FB"/>
          </w:tcPr>
          <w:p>
            <w:r>
              <w:rPr>
                <w:b/>
                <w:sz w:val="16"/>
              </w:rPr>
              <w:t>Must read in the original</w:t>
            </w:r>
          </w:p>
        </w:tc>
        <w:tc>
          <w:tcPr>
            <w:tcW w:type="dxa" w:w="8164"/>
            <w:shd w:val="clear" w:color="auto" w:fill="EAF1FB"/>
          </w:tcPr>
          <w:p>
            <w:r>
              <w:rPr>
                <w:sz w:val="16"/>
              </w:rPr>
              <w:t>Sections on origins, the Irish case and policy responses (free on aeaweb.org).</w:t>
            </w:r>
          </w:p>
        </w:tc>
      </w:tr>
      <w:tr>
        <w:tc>
          <w:tcPr>
            <w:tcW w:type="dxa" w:w="1701"/>
          </w:tcPr>
          <w:p>
            <w:r>
              <w:rPr>
                <w:b/>
                <w:sz w:val="16"/>
              </w:rPr>
              <w:t>Can skim / skip</w:t>
            </w:r>
          </w:p>
        </w:tc>
        <w:tc>
          <w:tcPr>
            <w:tcW w:type="dxa" w:w="8164"/>
          </w:tcPr>
          <w:p>
            <w:r>
              <w:rPr>
                <w:sz w:val="16"/>
              </w:rPr>
              <w:t>—</w:t>
            </w:r>
          </w:p>
        </w:tc>
      </w:tr>
      <w:tr>
        <w:tc>
          <w:tcPr>
            <w:tcW w:type="dxa" w:w="1701"/>
          </w:tcPr>
          <w:p>
            <w:r>
              <w:rPr>
                <w:b/>
                <w:sz w:val="16"/>
              </w:rPr>
              <w:t>Key terms</w:t>
            </w:r>
          </w:p>
        </w:tc>
        <w:tc>
          <w:tcPr>
            <w:tcW w:type="dxa" w:w="8164"/>
          </w:tcPr>
          <w:p>
            <w:r>
              <w:rPr>
                <w:sz w:val="16"/>
              </w:rPr>
              <w:t>monetary union; banking union; sovereign spreads</w:t>
            </w:r>
          </w:p>
        </w:tc>
      </w:tr>
      <w:tr>
        <w:tc>
          <w:tcPr>
            <w:tcW w:type="dxa" w:w="1701"/>
          </w:tcPr>
          <w:p>
            <w:r>
              <w:rPr>
                <w:b/>
                <w:sz w:val="16"/>
              </w:rPr>
              <w:t>Strengths</w:t>
            </w:r>
          </w:p>
        </w:tc>
        <w:tc>
          <w:tcPr>
            <w:tcW w:type="dxa" w:w="8164"/>
          </w:tcPr>
          <w:p>
            <w:r>
              <w:rPr>
                <w:sz w:val="16"/>
              </w:rPr>
              <w:t>Clear, by a later Central Bank of Ireland Governor.</w:t>
            </w:r>
          </w:p>
        </w:tc>
      </w:tr>
      <w:tr>
        <w:tc>
          <w:tcPr>
            <w:tcW w:type="dxa" w:w="1701"/>
          </w:tcPr>
          <w:p>
            <w:r>
              <w:rPr>
                <w:b/>
                <w:sz w:val="16"/>
              </w:rPr>
              <w:t>Weaknesses / critique</w:t>
            </w:r>
          </w:p>
        </w:tc>
        <w:tc>
          <w:tcPr>
            <w:tcW w:type="dxa" w:w="8164"/>
          </w:tcPr>
          <w:p>
            <w:r>
              <w:rPr>
                <w:sz w:val="16"/>
              </w:rPr>
              <w:t>Mid-crisis perspective.</w:t>
            </w:r>
          </w:p>
        </w:tc>
      </w:tr>
      <w:tr>
        <w:tc>
          <w:tcPr>
            <w:tcW w:type="dxa" w:w="1701"/>
            <w:shd w:val="clear" w:color="auto" w:fill="EAF1FB"/>
          </w:tcPr>
          <w:p>
            <w:r>
              <w:rPr>
                <w:b/>
                <w:sz w:val="16"/>
              </w:rPr>
              <w:t>Use it as · where</w:t>
            </w:r>
          </w:p>
        </w:tc>
        <w:tc>
          <w:tcPr>
            <w:tcW w:type="dxa" w:w="8164"/>
            <w:shd w:val="clear" w:color="auto" w:fill="EAF1FB"/>
          </w:tcPr>
          <w:p>
            <w:r>
              <w:rPr>
                <w:sz w:val="16"/>
              </w:rPr>
              <w:t>Context · 2.3.3; H2b</w:t>
            </w:r>
          </w:p>
        </w:tc>
      </w:tr>
    </w:tbl>
    <w:p>
      <w:pPr>
        <w:spacing w:after="80"/>
      </w:pPr>
    </w:p>
    <w:tbl>
      <w:tblPr>
        <w:tblStyle w:val="TableGrid"/>
        <w:tblW w:type="auto" w:w="0"/>
        <w:jc w:val="center"/>
        <w:tblLook w:firstColumn="1" w:firstRow="1" w:lastColumn="0" w:lastRow="0" w:noHBand="0" w:noVBand="1" w:val="04A0"/>
      </w:tblPr>
      <w:tblGrid>
        <w:gridCol w:w="5100"/>
        <w:gridCol w:w="5100"/>
      </w:tblGrid>
      <w:tr>
        <w:tc>
          <w:tcPr>
            <w:tcW w:type="dxa" w:w="8164"/>
            <w:gridSpan w:val="2"/>
            <w:shd w:val="clear" w:color="auto" w:fill="1F4E79"/>
          </w:tcPr>
          <w:p>
            <w:r>
              <w:rPr>
                <w:b/>
                <w:color w:val="FFFFFF"/>
                <w:sz w:val="19"/>
              </w:rPr>
              <w:t>Whelan, K. (2014) Ireland’s economic crisis. J. Macroeconomics, 39(B), 424–440.</w:t>
            </w:r>
          </w:p>
        </w:tc>
      </w:tr>
      <w:tr>
        <w:tc>
          <w:tcPr>
            <w:tcW w:type="dxa" w:w="1701"/>
            <w:shd w:val="clear" w:color="auto" w:fill="FFF2CC"/>
          </w:tcPr>
          <w:p>
            <w:r>
              <w:rPr>
                <w:b/>
                <w:sz w:val="16"/>
              </w:rPr>
              <w:t>Source basis</w:t>
            </w:r>
          </w:p>
        </w:tc>
        <w:tc>
          <w:tcPr>
            <w:tcW w:type="dxa" w:w="8164"/>
            <w:shd w:val="clear" w:color="auto" w:fill="FFF2CC"/>
          </w:tcPr>
          <w:p>
            <w:r>
              <w:rPr>
                <w:sz w:val="16"/>
              </w:rPr>
              <w:t>ABSTRACT / summary read in this session; read the full paper before relying on details</w:t>
            </w:r>
          </w:p>
        </w:tc>
      </w:tr>
      <w:tr>
        <w:tc>
          <w:tcPr>
            <w:tcW w:type="dxa" w:w="1701"/>
          </w:tcPr>
          <w:p>
            <w:r>
              <w:rPr>
                <w:b/>
                <w:sz w:val="16"/>
              </w:rPr>
              <w:t>Summary</w:t>
            </w:r>
          </w:p>
        </w:tc>
        <w:tc>
          <w:tcPr>
            <w:tcW w:type="dxa" w:w="8164"/>
          </w:tcPr>
          <w:p>
            <w:r>
              <w:rPr>
                <w:sz w:val="16"/>
              </w:rPr>
              <w:t>Reviews Ireland’s boom, crash and recovery.</w:t>
            </w:r>
          </w:p>
        </w:tc>
      </w:tr>
      <w:tr>
        <w:tc>
          <w:tcPr>
            <w:tcW w:type="dxa" w:w="1701"/>
          </w:tcPr>
          <w:p>
            <w:r>
              <w:rPr>
                <w:b/>
                <w:sz w:val="16"/>
              </w:rPr>
              <w:t>Dataset</w:t>
            </w:r>
          </w:p>
        </w:tc>
        <w:tc>
          <w:tcPr>
            <w:tcW w:type="dxa" w:w="8164"/>
          </w:tcPr>
          <w:p>
            <w:r>
              <w:rPr>
                <w:sz w:val="16"/>
              </w:rPr>
              <w:t>Irish macro data, 2000s–2013.</w:t>
            </w:r>
          </w:p>
        </w:tc>
      </w:tr>
      <w:tr>
        <w:tc>
          <w:tcPr>
            <w:tcW w:type="dxa" w:w="1701"/>
          </w:tcPr>
          <w:p>
            <w:r>
              <w:rPr>
                <w:b/>
                <w:sz w:val="16"/>
              </w:rPr>
              <w:t>Methodology</w:t>
            </w:r>
          </w:p>
        </w:tc>
        <w:tc>
          <w:tcPr>
            <w:tcW w:type="dxa" w:w="8164"/>
          </w:tcPr>
          <w:p>
            <w:r>
              <w:rPr>
                <w:sz w:val="16"/>
              </w:rPr>
              <w:t>Economic review.</w:t>
            </w:r>
          </w:p>
        </w:tc>
      </w:tr>
      <w:tr>
        <w:tc>
          <w:tcPr>
            <w:tcW w:type="dxa" w:w="1701"/>
          </w:tcPr>
          <w:p>
            <w:r>
              <w:rPr>
                <w:b/>
                <w:sz w:val="16"/>
              </w:rPr>
              <w:t>Results</w:t>
            </w:r>
          </w:p>
        </w:tc>
        <w:tc>
          <w:tcPr>
            <w:tcW w:type="dxa" w:w="8164"/>
          </w:tcPr>
          <w:p>
            <w:r>
              <w:rPr>
                <w:sz w:val="16"/>
              </w:rPr>
              <w:t>• Mid-2000s demand above potential due to a property bubble.</w:t>
            </w:r>
          </w:p>
          <w:p>
            <w:r>
              <w:rPr>
                <w:sz w:val="16"/>
              </w:rPr>
              <w:t>• Better fiscal policy or regulation could have prevented the crisis.</w:t>
            </w:r>
          </w:p>
          <w:p>
            <w:r>
              <w:rPr>
                <w:sz w:val="16"/>
              </w:rPr>
              <w:t>• Crisis management and the turnaround from 2012 were reasonably successful.</w:t>
            </w:r>
          </w:p>
        </w:tc>
      </w:tr>
      <w:tr>
        <w:tc>
          <w:tcPr>
            <w:tcW w:type="dxa" w:w="1701"/>
            <w:shd w:val="clear" w:color="auto" w:fill="EAF1FB"/>
          </w:tcPr>
          <w:p>
            <w:r>
              <w:rPr>
                <w:b/>
                <w:sz w:val="16"/>
              </w:rPr>
              <w:t>How it relates to MY study</w:t>
            </w:r>
          </w:p>
        </w:tc>
        <w:tc>
          <w:tcPr>
            <w:tcW w:type="dxa" w:w="8164"/>
            <w:shd w:val="clear" w:color="auto" w:fill="EAF1FB"/>
          </w:tcPr>
          <w:p>
            <w:r>
              <w:rPr>
                <w:sz w:val="16"/>
              </w:rPr>
              <w:t>Irish narrative; supports ending your window in 2012.</w:t>
            </w:r>
          </w:p>
        </w:tc>
      </w:tr>
      <w:tr>
        <w:tc>
          <w:tcPr>
            <w:tcW w:type="dxa" w:w="1701"/>
            <w:shd w:val="clear" w:color="auto" w:fill="EAF1FB"/>
          </w:tcPr>
          <w:p>
            <w:r>
              <w:rPr>
                <w:b/>
                <w:sz w:val="16"/>
              </w:rPr>
              <w:t>Must read in the original</w:t>
            </w:r>
          </w:p>
        </w:tc>
        <w:tc>
          <w:tcPr>
            <w:tcW w:type="dxa" w:w="8164"/>
            <w:shd w:val="clear" w:color="auto" w:fill="EAF1FB"/>
          </w:tcPr>
          <w:p>
            <w:r>
              <w:rPr>
                <w:sz w:val="16"/>
              </w:rPr>
              <w:t>Whole paper (UCD WP 13/06 version).</w:t>
            </w:r>
          </w:p>
        </w:tc>
      </w:tr>
      <w:tr>
        <w:tc>
          <w:tcPr>
            <w:tcW w:type="dxa" w:w="1701"/>
          </w:tcPr>
          <w:p>
            <w:r>
              <w:rPr>
                <w:b/>
                <w:sz w:val="16"/>
              </w:rPr>
              <w:t>Can skim / skip</w:t>
            </w:r>
          </w:p>
        </w:tc>
        <w:tc>
          <w:tcPr>
            <w:tcW w:type="dxa" w:w="8164"/>
          </w:tcPr>
          <w:p>
            <w:r>
              <w:rPr>
                <w:sz w:val="16"/>
              </w:rPr>
              <w:t>—</w:t>
            </w:r>
          </w:p>
        </w:tc>
      </w:tr>
      <w:tr>
        <w:tc>
          <w:tcPr>
            <w:tcW w:type="dxa" w:w="1701"/>
          </w:tcPr>
          <w:p>
            <w:r>
              <w:rPr>
                <w:b/>
                <w:sz w:val="16"/>
              </w:rPr>
              <w:t>Key terms</w:t>
            </w:r>
          </w:p>
        </w:tc>
        <w:tc>
          <w:tcPr>
            <w:tcW w:type="dxa" w:w="8164"/>
          </w:tcPr>
          <w:p>
            <w:r>
              <w:rPr>
                <w:sz w:val="16"/>
              </w:rPr>
              <w:t>output gap; fiscal consolidation</w:t>
            </w:r>
          </w:p>
        </w:tc>
      </w:tr>
      <w:tr>
        <w:tc>
          <w:tcPr>
            <w:tcW w:type="dxa" w:w="1701"/>
          </w:tcPr>
          <w:p>
            <w:r>
              <w:rPr>
                <w:b/>
                <w:sz w:val="16"/>
              </w:rPr>
              <w:t>Strengths</w:t>
            </w:r>
          </w:p>
        </w:tc>
        <w:tc>
          <w:tcPr>
            <w:tcW w:type="dxa" w:w="8164"/>
          </w:tcPr>
          <w:p>
            <w:r>
              <w:rPr>
                <w:sz w:val="16"/>
              </w:rPr>
              <w:t>Concise overview.</w:t>
            </w:r>
          </w:p>
        </w:tc>
      </w:tr>
      <w:tr>
        <w:tc>
          <w:tcPr>
            <w:tcW w:type="dxa" w:w="1701"/>
          </w:tcPr>
          <w:p>
            <w:r>
              <w:rPr>
                <w:b/>
                <w:sz w:val="16"/>
              </w:rPr>
              <w:t>Weaknesses / critique</w:t>
            </w:r>
          </w:p>
        </w:tc>
        <w:tc>
          <w:tcPr>
            <w:tcW w:type="dxa" w:w="8164"/>
          </w:tcPr>
          <w:p>
            <w:r>
              <w:rPr>
                <w:sz w:val="16"/>
              </w:rPr>
              <w:t>Little on markets.</w:t>
            </w:r>
          </w:p>
        </w:tc>
      </w:tr>
      <w:tr>
        <w:tc>
          <w:tcPr>
            <w:tcW w:type="dxa" w:w="1701"/>
            <w:shd w:val="clear" w:color="auto" w:fill="EAF1FB"/>
          </w:tcPr>
          <w:p>
            <w:r>
              <w:rPr>
                <w:b/>
                <w:sz w:val="16"/>
              </w:rPr>
              <w:t>Use it as · where</w:t>
            </w:r>
          </w:p>
        </w:tc>
        <w:tc>
          <w:tcPr>
            <w:tcW w:type="dxa" w:w="8164"/>
            <w:shd w:val="clear" w:color="auto" w:fill="EAF1FB"/>
          </w:tcPr>
          <w:p>
            <w:r>
              <w:rPr>
                <w:sz w:val="16"/>
              </w:rPr>
              <w:t>Context · 2.3.3</w:t>
            </w:r>
          </w:p>
        </w:tc>
      </w:tr>
    </w:tbl>
    <w:p>
      <w:pPr>
        <w:spacing w:after="80"/>
      </w:pPr>
    </w:p>
    <w:tbl>
      <w:tblPr>
        <w:tblStyle w:val="TableGrid"/>
        <w:tblW w:type="auto" w:w="0"/>
        <w:jc w:val="center"/>
        <w:tblLook w:firstColumn="1" w:firstRow="1" w:lastColumn="0" w:lastRow="0" w:noHBand="0" w:noVBand="1" w:val="04A0"/>
      </w:tblPr>
      <w:tblGrid>
        <w:gridCol w:w="5100"/>
        <w:gridCol w:w="5100"/>
      </w:tblGrid>
      <w:tr>
        <w:tc>
          <w:tcPr>
            <w:tcW w:type="dxa" w:w="8164"/>
            <w:gridSpan w:val="2"/>
            <w:shd w:val="clear" w:color="auto" w:fill="1F4E79"/>
          </w:tcPr>
          <w:p>
            <w:r>
              <w:rPr>
                <w:b/>
                <w:color w:val="FFFFFF"/>
                <w:sz w:val="19"/>
              </w:rPr>
              <w:t>Corbet, S. &amp; Twomey, C. (2015) European equity market contagion: Ireland’s sovereign debt crisis. EFAJ, 2015(3), 15–34.</w:t>
            </w:r>
          </w:p>
        </w:tc>
      </w:tr>
      <w:tr>
        <w:tc>
          <w:tcPr>
            <w:tcW w:type="dxa" w:w="1701"/>
            <w:shd w:val="clear" w:color="auto" w:fill="FFF2CC"/>
          </w:tcPr>
          <w:p>
            <w:r>
              <w:rPr>
                <w:b/>
                <w:sz w:val="16"/>
              </w:rPr>
              <w:t>Source basis</w:t>
            </w:r>
          </w:p>
        </w:tc>
        <w:tc>
          <w:tcPr>
            <w:tcW w:type="dxa" w:w="8164"/>
            <w:shd w:val="clear" w:color="auto" w:fill="FFF2CC"/>
          </w:tcPr>
          <w:p>
            <w:r>
              <w:rPr>
                <w:sz w:val="16"/>
              </w:rPr>
              <w:t>ABSTRACT / summary read in this session; read the full paper before relying on details</w:t>
            </w:r>
          </w:p>
        </w:tc>
      </w:tr>
      <w:tr>
        <w:tc>
          <w:tcPr>
            <w:tcW w:type="dxa" w:w="1701"/>
          </w:tcPr>
          <w:p>
            <w:r>
              <w:rPr>
                <w:b/>
                <w:sz w:val="16"/>
              </w:rPr>
              <w:t>Summary</w:t>
            </w:r>
          </w:p>
        </w:tc>
        <w:tc>
          <w:tcPr>
            <w:tcW w:type="dxa" w:w="8164"/>
          </w:tcPr>
          <w:p>
            <w:r>
              <w:rPr>
                <w:sz w:val="16"/>
              </w:rPr>
              <w:t>Tests whether the collapse of Irish equities spilled over to European markets.</w:t>
            </w:r>
          </w:p>
        </w:tc>
      </w:tr>
      <w:tr>
        <w:tc>
          <w:tcPr>
            <w:tcW w:type="dxa" w:w="1701"/>
          </w:tcPr>
          <w:p>
            <w:r>
              <w:rPr>
                <w:b/>
                <w:sz w:val="16"/>
              </w:rPr>
              <w:t>Dataset</w:t>
            </w:r>
          </w:p>
        </w:tc>
        <w:tc>
          <w:tcPr>
            <w:tcW w:type="dxa" w:w="8164"/>
          </w:tcPr>
          <w:p>
            <w:r>
              <w:rPr>
                <w:sz w:val="16"/>
              </w:rPr>
              <w:t>Daily European equity returns; 2007–10 crisis and post-troika period.</w:t>
            </w:r>
          </w:p>
        </w:tc>
      </w:tr>
      <w:tr>
        <w:tc>
          <w:tcPr>
            <w:tcW w:type="dxa" w:w="1701"/>
          </w:tcPr>
          <w:p>
            <w:r>
              <w:rPr>
                <w:b/>
                <w:sz w:val="16"/>
              </w:rPr>
              <w:t>Methodology</w:t>
            </w:r>
          </w:p>
        </w:tc>
        <w:tc>
          <w:tcPr>
            <w:tcW w:type="dxa" w:w="8164"/>
          </w:tcPr>
          <w:p>
            <w:r>
              <w:rPr>
                <w:sz w:val="16"/>
              </w:rPr>
              <w:t>DCC multivariate GARCH.</w:t>
            </w:r>
          </w:p>
        </w:tc>
      </w:tr>
      <w:tr>
        <w:tc>
          <w:tcPr>
            <w:tcW w:type="dxa" w:w="1701"/>
          </w:tcPr>
          <w:p>
            <w:r>
              <w:rPr>
                <w:b/>
                <w:sz w:val="16"/>
              </w:rPr>
              <w:t>Results</w:t>
            </w:r>
          </w:p>
        </w:tc>
        <w:tc>
          <w:tcPr>
            <w:tcW w:type="dxa" w:w="8164"/>
          </w:tcPr>
          <w:p>
            <w:r>
              <w:rPr>
                <w:sz w:val="16"/>
              </w:rPr>
              <w:t>• Strong Irish–European equity contagion 2007–10.</w:t>
            </w:r>
          </w:p>
          <w:p>
            <w:r>
              <w:rPr>
                <w:sz w:val="16"/>
              </w:rPr>
              <w:t>• Contagion eased dramatically after troika intervention.</w:t>
            </w:r>
          </w:p>
        </w:tc>
      </w:tr>
      <w:tr>
        <w:tc>
          <w:tcPr>
            <w:tcW w:type="dxa" w:w="1701"/>
            <w:shd w:val="clear" w:color="auto" w:fill="EAF1FB"/>
          </w:tcPr>
          <w:p>
            <w:r>
              <w:rPr>
                <w:b/>
                <w:sz w:val="16"/>
              </w:rPr>
              <w:t>How it relates to MY study</w:t>
            </w:r>
          </w:p>
        </w:tc>
        <w:tc>
          <w:tcPr>
            <w:tcW w:type="dxa" w:w="8164"/>
            <w:shd w:val="clear" w:color="auto" w:fill="EAF1FB"/>
          </w:tcPr>
          <w:p>
            <w:r>
              <w:rPr>
                <w:sz w:val="16"/>
              </w:rPr>
              <w:t>The Irish study closest to yours, by Dr Twomey. Test: does your euro (DAX) share fall after Nov 2010?</w:t>
            </w:r>
          </w:p>
        </w:tc>
      </w:tr>
      <w:tr>
        <w:tc>
          <w:tcPr>
            <w:tcW w:type="dxa" w:w="1701"/>
            <w:shd w:val="clear" w:color="auto" w:fill="EAF1FB"/>
          </w:tcPr>
          <w:p>
            <w:r>
              <w:rPr>
                <w:b/>
                <w:sz w:val="16"/>
              </w:rPr>
              <w:t>Must read in the original</w:t>
            </w:r>
          </w:p>
        </w:tc>
        <w:tc>
          <w:tcPr>
            <w:tcW w:type="dxa" w:w="8164"/>
            <w:shd w:val="clear" w:color="auto" w:fill="EAF1FB"/>
          </w:tcPr>
          <w:p>
            <w:r>
              <w:rPr>
                <w:sz w:val="16"/>
              </w:rPr>
              <w:t>Whole paper (≈20 pages) — essential before contacting Dr Twomey.</w:t>
            </w:r>
          </w:p>
        </w:tc>
      </w:tr>
      <w:tr>
        <w:tc>
          <w:tcPr>
            <w:tcW w:type="dxa" w:w="1701"/>
          </w:tcPr>
          <w:p>
            <w:r>
              <w:rPr>
                <w:b/>
                <w:sz w:val="16"/>
              </w:rPr>
              <w:t>Can skim / skip</w:t>
            </w:r>
          </w:p>
        </w:tc>
        <w:tc>
          <w:tcPr>
            <w:tcW w:type="dxa" w:w="8164"/>
          </w:tcPr>
          <w:p>
            <w:r>
              <w:rPr>
                <w:sz w:val="16"/>
              </w:rPr>
              <w:t>—</w:t>
            </w:r>
          </w:p>
        </w:tc>
      </w:tr>
      <w:tr>
        <w:tc>
          <w:tcPr>
            <w:tcW w:type="dxa" w:w="1701"/>
          </w:tcPr>
          <w:p>
            <w:r>
              <w:rPr>
                <w:b/>
                <w:sz w:val="16"/>
              </w:rPr>
              <w:t>Key terms</w:t>
            </w:r>
          </w:p>
        </w:tc>
        <w:tc>
          <w:tcPr>
            <w:tcW w:type="dxa" w:w="8164"/>
          </w:tcPr>
          <w:p>
            <w:r>
              <w:rPr>
                <w:sz w:val="16"/>
              </w:rPr>
              <w:t>DCC-GARCH; troika; contagion</w:t>
            </w:r>
          </w:p>
        </w:tc>
      </w:tr>
      <w:tr>
        <w:tc>
          <w:tcPr>
            <w:tcW w:type="dxa" w:w="1701"/>
          </w:tcPr>
          <w:p>
            <w:r>
              <w:rPr>
                <w:b/>
                <w:sz w:val="16"/>
              </w:rPr>
              <w:t>Strengths</w:t>
            </w:r>
          </w:p>
        </w:tc>
        <w:tc>
          <w:tcPr>
            <w:tcW w:type="dxa" w:w="8164"/>
          </w:tcPr>
          <w:p>
            <w:r>
              <w:rPr>
                <w:sz w:val="16"/>
              </w:rPr>
              <w:t>Irish focus; policy result.</w:t>
            </w:r>
          </w:p>
        </w:tc>
      </w:tr>
      <w:tr>
        <w:tc>
          <w:tcPr>
            <w:tcW w:type="dxa" w:w="1701"/>
          </w:tcPr>
          <w:p>
            <w:r>
              <w:rPr>
                <w:b/>
                <w:sz w:val="16"/>
              </w:rPr>
              <w:t>Weaknesses / critique</w:t>
            </w:r>
          </w:p>
        </w:tc>
        <w:tc>
          <w:tcPr>
            <w:tcW w:type="dxa" w:w="8164"/>
          </w:tcPr>
          <w:p>
            <w:r>
              <w:rPr>
                <w:sz w:val="16"/>
              </w:rPr>
              <w:t>Correlation-based; no channels by origin; no forecasting.</w:t>
            </w:r>
          </w:p>
        </w:tc>
      </w:tr>
      <w:tr>
        <w:tc>
          <w:tcPr>
            <w:tcW w:type="dxa" w:w="1701"/>
            <w:shd w:val="clear" w:color="auto" w:fill="EAF1FB"/>
          </w:tcPr>
          <w:p>
            <w:r>
              <w:rPr>
                <w:b/>
                <w:sz w:val="16"/>
              </w:rPr>
              <w:t>Use it as · where</w:t>
            </w:r>
          </w:p>
        </w:tc>
        <w:tc>
          <w:tcPr>
            <w:tcW w:type="dxa" w:w="8164"/>
            <w:shd w:val="clear" w:color="auto" w:fill="EAF1FB"/>
          </w:tcPr>
          <w:p>
            <w:r>
              <w:rPr>
                <w:sz w:val="16"/>
              </w:rPr>
              <w:t>Central support + contrast · 2.3.3, 2.4; H2b</w:t>
            </w:r>
          </w:p>
        </w:tc>
      </w:tr>
    </w:tbl>
    <w:p>
      <w:pPr>
        <w:spacing w:after="80"/>
      </w:pPr>
    </w:p>
    <w:tbl>
      <w:tblPr>
        <w:tblStyle w:val="TableGrid"/>
        <w:tblW w:type="auto" w:w="0"/>
        <w:jc w:val="center"/>
        <w:tblLook w:firstColumn="1" w:firstRow="1" w:lastColumn="0" w:lastRow="0" w:noHBand="0" w:noVBand="1" w:val="04A0"/>
      </w:tblPr>
      <w:tblGrid>
        <w:gridCol w:w="5100"/>
        <w:gridCol w:w="5100"/>
      </w:tblGrid>
      <w:tr>
        <w:tc>
          <w:tcPr>
            <w:tcW w:type="dxa" w:w="8164"/>
            <w:gridSpan w:val="2"/>
            <w:shd w:val="clear" w:color="auto" w:fill="1F4E79"/>
          </w:tcPr>
          <w:p>
            <w:r>
              <w:rPr>
                <w:b/>
                <w:color w:val="FFFFFF"/>
                <w:sz w:val="19"/>
              </w:rPr>
              <w:t>Baker, S. et al. (2020) The unprecedented stock market reaction to COVID-19. RAPS, 10(4), 742–758 (NBER WP 26945).</w:t>
            </w:r>
          </w:p>
        </w:tc>
      </w:tr>
      <w:tr>
        <w:tc>
          <w:tcPr>
            <w:tcW w:type="dxa" w:w="1701"/>
            <w:shd w:val="clear" w:color="auto" w:fill="D9EAD3"/>
          </w:tcPr>
          <w:p>
            <w:r>
              <w:rPr>
                <w:b/>
                <w:sz w:val="16"/>
              </w:rPr>
              <w:t>Source basis</w:t>
            </w:r>
          </w:p>
        </w:tc>
        <w:tc>
          <w:tcPr>
            <w:tcW w:type="dxa" w:w="8164"/>
            <w:shd w:val="clear" w:color="auto" w:fill="D9EAD3"/>
          </w:tcPr>
          <w:p>
            <w:r>
              <w:rPr>
                <w:sz w:val="16"/>
              </w:rPr>
              <w:t>FULL TEXT read in this session; page numbers refer to the open-access version in Part G</w:t>
            </w:r>
          </w:p>
        </w:tc>
      </w:tr>
      <w:tr>
        <w:tc>
          <w:tcPr>
            <w:tcW w:type="dxa" w:w="1701"/>
          </w:tcPr>
          <w:p>
            <w:r>
              <w:rPr>
                <w:b/>
                <w:sz w:val="16"/>
              </w:rPr>
              <w:t>Summary</w:t>
            </w:r>
          </w:p>
        </w:tc>
        <w:tc>
          <w:tcPr>
            <w:tcW w:type="dxa" w:w="8164"/>
          </w:tcPr>
          <w:p>
            <w:r>
              <w:rPr>
                <w:sz w:val="16"/>
              </w:rPr>
              <w:t>Shows that no earlier pandemic moved stock markets like COVID-19 and explains why.</w:t>
            </w:r>
          </w:p>
        </w:tc>
      </w:tr>
      <w:tr>
        <w:tc>
          <w:tcPr>
            <w:tcW w:type="dxa" w:w="1701"/>
          </w:tcPr>
          <w:p>
            <w:r>
              <w:rPr>
                <w:b/>
                <w:sz w:val="16"/>
              </w:rPr>
              <w:t>Dataset</w:t>
            </w:r>
          </w:p>
        </w:tc>
        <w:tc>
          <w:tcPr>
            <w:tcW w:type="dxa" w:w="8164"/>
          </w:tcPr>
          <w:p>
            <w:r>
              <w:rPr>
                <w:sz w:val="16"/>
              </w:rPr>
              <w:t>US daily market moves since 1900; volatility since 1985; next-day newspaper explanations.</w:t>
            </w:r>
          </w:p>
        </w:tc>
      </w:tr>
      <w:tr>
        <w:tc>
          <w:tcPr>
            <w:tcW w:type="dxa" w:w="1701"/>
          </w:tcPr>
          <w:p>
            <w:r>
              <w:rPr>
                <w:b/>
                <w:sz w:val="16"/>
              </w:rPr>
              <w:t>Methodology</w:t>
            </w:r>
          </w:p>
        </w:tc>
        <w:tc>
          <w:tcPr>
            <w:tcW w:type="dxa" w:w="8164"/>
          </w:tcPr>
          <w:p>
            <w:r>
              <w:rPr>
                <w:sz w:val="16"/>
              </w:rPr>
              <w:t>Text-based classification of the reported causes of large daily moves.</w:t>
            </w:r>
          </w:p>
        </w:tc>
      </w:tr>
      <w:tr>
        <w:tc>
          <w:tcPr>
            <w:tcW w:type="dxa" w:w="1701"/>
          </w:tcPr>
          <w:p>
            <w:r>
              <w:rPr>
                <w:b/>
                <w:sz w:val="16"/>
              </w:rPr>
              <w:t>Results</w:t>
            </w:r>
          </w:p>
        </w:tc>
        <w:tc>
          <w:tcPr>
            <w:tcW w:type="dxa" w:w="8164"/>
          </w:tcPr>
          <w:p>
            <w:r>
              <w:rPr>
                <w:sz w:val="16"/>
              </w:rPr>
              <w:t>• &gt;1,100 US daily moves &gt;2.5% (1900–2019); none attributed to pandemics.</w:t>
            </w:r>
          </w:p>
          <w:p>
            <w:r>
              <w:rPr>
                <w:sz w:val="16"/>
              </w:rPr>
              <w:t>• ≈ two dozen COVID-attributed jumps, 24 Feb – 20 Apr 2020.</w:t>
            </w:r>
          </w:p>
          <w:p>
            <w:r>
              <w:rPr>
                <w:sz w:val="16"/>
              </w:rPr>
              <w:t>• COVID excess mortality ≈1/25th of the Spanish Flu’s.</w:t>
            </w:r>
          </w:p>
          <w:p>
            <w:r>
              <w:rPr>
                <w:sz w:val="16"/>
              </w:rPr>
              <w:t>• Best explanation: restrictions and social distancing in a service economy.</w:t>
            </w:r>
          </w:p>
        </w:tc>
      </w:tr>
      <w:tr>
        <w:tc>
          <w:tcPr>
            <w:tcW w:type="dxa" w:w="1701"/>
            <w:shd w:val="clear" w:color="auto" w:fill="EAF1FB"/>
          </w:tcPr>
          <w:p>
            <w:r>
              <w:rPr>
                <w:b/>
                <w:sz w:val="16"/>
              </w:rPr>
              <w:t>How it relates to MY study</w:t>
            </w:r>
          </w:p>
        </w:tc>
        <w:tc>
          <w:tcPr>
            <w:tcW w:type="dxa" w:w="8164"/>
            <w:shd w:val="clear" w:color="auto" w:fill="EAF1FB"/>
          </w:tcPr>
          <w:p>
            <w:r>
              <w:rPr>
                <w:sz w:val="16"/>
              </w:rPr>
              <w:t>COVID was genuinely new → a model trained on past crises has never seen it (H3); broad simultaneous shock (H2c).</w:t>
            </w:r>
          </w:p>
        </w:tc>
      </w:tr>
      <w:tr>
        <w:tc>
          <w:tcPr>
            <w:tcW w:type="dxa" w:w="1701"/>
            <w:shd w:val="clear" w:color="auto" w:fill="EAF1FB"/>
          </w:tcPr>
          <w:p>
            <w:r>
              <w:rPr>
                <w:b/>
                <w:sz w:val="16"/>
              </w:rPr>
              <w:t>Must read in the original</w:t>
            </w:r>
          </w:p>
        </w:tc>
        <w:tc>
          <w:tcPr>
            <w:tcW w:type="dxa" w:w="8164"/>
            <w:shd w:val="clear" w:color="auto" w:fill="EAF1FB"/>
          </w:tcPr>
          <w:p>
            <w:r>
              <w:rPr>
                <w:sz w:val="16"/>
              </w:rPr>
              <w:t>Main text pp.3–15 (jump characterisation p.4; explanations p.8; conclusions p.13); Table 1 (p.20); Figures 1–3 (pp.19–22).</w:t>
            </w:r>
          </w:p>
        </w:tc>
      </w:tr>
      <w:tr>
        <w:tc>
          <w:tcPr>
            <w:tcW w:type="dxa" w:w="1701"/>
          </w:tcPr>
          <w:p>
            <w:r>
              <w:rPr>
                <w:b/>
                <w:sz w:val="16"/>
              </w:rPr>
              <w:t>Can skim / skip</w:t>
            </w:r>
          </w:p>
        </w:tc>
        <w:tc>
          <w:tcPr>
            <w:tcW w:type="dxa" w:w="8164"/>
          </w:tcPr>
          <w:p>
            <w:r>
              <w:rPr>
                <w:sz w:val="16"/>
              </w:rPr>
              <w:t>References.</w:t>
            </w:r>
          </w:p>
        </w:tc>
      </w:tr>
      <w:tr>
        <w:tc>
          <w:tcPr>
            <w:tcW w:type="dxa" w:w="1701"/>
          </w:tcPr>
          <w:p>
            <w:r>
              <w:rPr>
                <w:b/>
                <w:sz w:val="16"/>
              </w:rPr>
              <w:t>Key terms</w:t>
            </w:r>
          </w:p>
        </w:tc>
        <w:tc>
          <w:tcPr>
            <w:tcW w:type="dxa" w:w="8164"/>
          </w:tcPr>
          <w:p>
            <w:r>
              <w:rPr>
                <w:sz w:val="16"/>
              </w:rPr>
              <w:t>market jumps; equity market volatility tracker; non-pharmaceutical interventions</w:t>
            </w:r>
          </w:p>
        </w:tc>
      </w:tr>
      <w:tr>
        <w:tc>
          <w:tcPr>
            <w:tcW w:type="dxa" w:w="1701"/>
          </w:tcPr>
          <w:p>
            <w:r>
              <w:rPr>
                <w:b/>
                <w:sz w:val="16"/>
              </w:rPr>
              <w:t>Strengths</w:t>
            </w:r>
          </w:p>
        </w:tc>
        <w:tc>
          <w:tcPr>
            <w:tcW w:type="dxa" w:w="8164"/>
          </w:tcPr>
          <w:p>
            <w:r>
              <w:rPr>
                <w:sz w:val="16"/>
              </w:rPr>
              <w:t>Long history; transparent method.</w:t>
            </w:r>
          </w:p>
        </w:tc>
      </w:tr>
      <w:tr>
        <w:tc>
          <w:tcPr>
            <w:tcW w:type="dxa" w:w="1701"/>
          </w:tcPr>
          <w:p>
            <w:r>
              <w:rPr>
                <w:b/>
                <w:sz w:val="16"/>
              </w:rPr>
              <w:t>Weaknesses / critique</w:t>
            </w:r>
          </w:p>
        </w:tc>
        <w:tc>
          <w:tcPr>
            <w:tcW w:type="dxa" w:w="8164"/>
          </w:tcPr>
          <w:p>
            <w:r>
              <w:rPr>
                <w:sz w:val="16"/>
              </w:rPr>
              <w:t>US only; early 2020.</w:t>
            </w:r>
          </w:p>
        </w:tc>
      </w:tr>
      <w:tr>
        <w:tc>
          <w:tcPr>
            <w:tcW w:type="dxa" w:w="1701"/>
            <w:shd w:val="clear" w:color="auto" w:fill="EAF1FB"/>
          </w:tcPr>
          <w:p>
            <w:r>
              <w:rPr>
                <w:b/>
                <w:sz w:val="16"/>
              </w:rPr>
              <w:t>Use it as · where</w:t>
            </w:r>
          </w:p>
        </w:tc>
        <w:tc>
          <w:tcPr>
            <w:tcW w:type="dxa" w:w="8164"/>
            <w:shd w:val="clear" w:color="auto" w:fill="EAF1FB"/>
          </w:tcPr>
          <w:p>
            <w:r>
              <w:rPr>
                <w:sz w:val="16"/>
              </w:rPr>
              <w:t>Support · 2.3.4; H2c; H3; Discussion</w:t>
            </w:r>
          </w:p>
        </w:tc>
      </w:tr>
    </w:tbl>
    <w:p>
      <w:pPr>
        <w:spacing w:after="80"/>
      </w:pPr>
    </w:p>
    <w:tbl>
      <w:tblPr>
        <w:tblStyle w:val="TableGrid"/>
        <w:tblW w:type="auto" w:w="0"/>
        <w:jc w:val="center"/>
        <w:tblLook w:firstColumn="1" w:firstRow="1" w:lastColumn="0" w:lastRow="0" w:noHBand="0" w:noVBand="1" w:val="04A0"/>
      </w:tblPr>
      <w:tblGrid>
        <w:gridCol w:w="5100"/>
        <w:gridCol w:w="5100"/>
      </w:tblGrid>
      <w:tr>
        <w:tc>
          <w:tcPr>
            <w:tcW w:type="dxa" w:w="8164"/>
            <w:gridSpan w:val="2"/>
            <w:shd w:val="clear" w:color="auto" w:fill="1F4E79"/>
          </w:tcPr>
          <w:p>
            <w:r>
              <w:rPr>
                <w:b/>
                <w:color w:val="FFFFFF"/>
                <w:sz w:val="19"/>
              </w:rPr>
              <w:t>Akhtaruzzaman, M., Boubaker, S. &amp; Sensoy, A. (2021) Financial contagion during COVID-19 crisis. FRL, 38, 101604.</w:t>
            </w:r>
          </w:p>
        </w:tc>
      </w:tr>
      <w:tr>
        <w:tc>
          <w:tcPr>
            <w:tcW w:type="dxa" w:w="1701"/>
            <w:shd w:val="clear" w:color="auto" w:fill="D9EAD3"/>
          </w:tcPr>
          <w:p>
            <w:r>
              <w:rPr>
                <w:b/>
                <w:sz w:val="16"/>
              </w:rPr>
              <w:t>Source basis</w:t>
            </w:r>
          </w:p>
        </w:tc>
        <w:tc>
          <w:tcPr>
            <w:tcW w:type="dxa" w:w="8164"/>
            <w:shd w:val="clear" w:color="auto" w:fill="D9EAD3"/>
          </w:tcPr>
          <w:p>
            <w:r>
              <w:rPr>
                <w:sz w:val="16"/>
              </w:rPr>
              <w:t>FULL TEXT read in this session; page numbers refer to the open-access version in Part G</w:t>
            </w:r>
          </w:p>
        </w:tc>
      </w:tr>
      <w:tr>
        <w:tc>
          <w:tcPr>
            <w:tcW w:type="dxa" w:w="1701"/>
          </w:tcPr>
          <w:p>
            <w:r>
              <w:rPr>
                <w:b/>
                <w:sz w:val="16"/>
              </w:rPr>
              <w:t>Summary</w:t>
            </w:r>
          </w:p>
        </w:tc>
        <w:tc>
          <w:tcPr>
            <w:tcW w:type="dxa" w:w="8164"/>
          </w:tcPr>
          <w:p>
            <w:r>
              <w:rPr>
                <w:sz w:val="16"/>
              </w:rPr>
              <w:t>Measures how COVID contagion spread between China and G7 markets through financial and non-financial firms.</w:t>
            </w:r>
          </w:p>
        </w:tc>
      </w:tr>
      <w:tr>
        <w:tc>
          <w:tcPr>
            <w:tcW w:type="dxa" w:w="1701"/>
          </w:tcPr>
          <w:p>
            <w:r>
              <w:rPr>
                <w:b/>
                <w:sz w:val="16"/>
              </w:rPr>
              <w:t>Dataset</w:t>
            </w:r>
          </w:p>
        </w:tc>
        <w:tc>
          <w:tcPr>
            <w:tcW w:type="dxa" w:w="8164"/>
          </w:tcPr>
          <w:p>
            <w:r>
              <w:rPr>
                <w:sz w:val="16"/>
              </w:rPr>
              <w:t>Daily stock returns of financial and non-financial firms, China and G7; pre-COVID 1 Jan 2013 – 30 Dec 2019; COVID 31 Dec 2019 – 20 Mar 2020.</w:t>
            </w:r>
          </w:p>
        </w:tc>
      </w:tr>
      <w:tr>
        <w:tc>
          <w:tcPr>
            <w:tcW w:type="dxa" w:w="1701"/>
          </w:tcPr>
          <w:p>
            <w:r>
              <w:rPr>
                <w:b/>
                <w:sz w:val="16"/>
              </w:rPr>
              <w:t>Methodology</w:t>
            </w:r>
          </w:p>
        </w:tc>
        <w:tc>
          <w:tcPr>
            <w:tcW w:type="dxa" w:w="8164"/>
          </w:tcPr>
          <w:p>
            <w:r>
              <w:rPr>
                <w:sz w:val="16"/>
              </w:rPr>
              <w:t>VARMA(1,1)-DCC-GARCH correlations; optimal hedge ratios; directional spillover index.</w:t>
            </w:r>
          </w:p>
        </w:tc>
      </w:tr>
      <w:tr>
        <w:tc>
          <w:tcPr>
            <w:tcW w:type="dxa" w:w="1701"/>
          </w:tcPr>
          <w:p>
            <w:r>
              <w:rPr>
                <w:b/>
                <w:sz w:val="16"/>
              </w:rPr>
              <w:t>Results</w:t>
            </w:r>
          </w:p>
        </w:tc>
        <w:tc>
          <w:tcPr>
            <w:tcW w:type="dxa" w:w="8164"/>
          </w:tcPr>
          <w:p>
            <w:r>
              <w:rPr>
                <w:sz w:val="16"/>
              </w:rPr>
              <w:t>• Correlations rose significantly for all firm types, much more for financial firms.</w:t>
            </w:r>
          </w:p>
          <w:p>
            <w:r>
              <w:rPr>
                <w:sz w:val="16"/>
              </w:rPr>
              <w:t>• China and Japan were net transmitters; hedging costs rose.</w:t>
            </w:r>
          </w:p>
        </w:tc>
      </w:tr>
      <w:tr>
        <w:tc>
          <w:tcPr>
            <w:tcW w:type="dxa" w:w="1701"/>
            <w:shd w:val="clear" w:color="auto" w:fill="EAF1FB"/>
          </w:tcPr>
          <w:p>
            <w:r>
              <w:rPr>
                <w:b/>
                <w:sz w:val="16"/>
              </w:rPr>
              <w:t>How it relates to MY study</w:t>
            </w:r>
          </w:p>
        </w:tc>
        <w:tc>
          <w:tcPr>
            <w:tcW w:type="dxa" w:w="8164"/>
            <w:shd w:val="clear" w:color="auto" w:fill="EAF1FB"/>
          </w:tcPr>
          <w:p>
            <w:r>
              <w:rPr>
                <w:sz w:val="16"/>
              </w:rPr>
              <w:t>Supports H2c (broad, simultaneous rise) and financial firms as transmitters.</w:t>
            </w:r>
          </w:p>
        </w:tc>
      </w:tr>
      <w:tr>
        <w:tc>
          <w:tcPr>
            <w:tcW w:type="dxa" w:w="1701"/>
            <w:shd w:val="clear" w:color="auto" w:fill="EAF1FB"/>
          </w:tcPr>
          <w:p>
            <w:r>
              <w:rPr>
                <w:b/>
                <w:sz w:val="16"/>
              </w:rPr>
              <w:t>Must read in the original</w:t>
            </w:r>
          </w:p>
        </w:tc>
        <w:tc>
          <w:tcPr>
            <w:tcW w:type="dxa" w:w="8164"/>
            <w:shd w:val="clear" w:color="auto" w:fill="EAF1FB"/>
          </w:tcPr>
          <w:p>
            <w:r>
              <w:rPr>
                <w:sz w:val="16"/>
              </w:rPr>
              <w:t>3.1 Data (p.4); 4.1 DCCs (p.10, Figure 3 p.7); 4.3 spillovers (pp.13–16, Figures 6–7); conclusion (p.16).</w:t>
            </w:r>
          </w:p>
        </w:tc>
      </w:tr>
      <w:tr>
        <w:tc>
          <w:tcPr>
            <w:tcW w:type="dxa" w:w="1701"/>
          </w:tcPr>
          <w:p>
            <w:r>
              <w:rPr>
                <w:b/>
                <w:sz w:val="16"/>
              </w:rPr>
              <w:t>Can skim / skip</w:t>
            </w:r>
          </w:p>
        </w:tc>
        <w:tc>
          <w:tcPr>
            <w:tcW w:type="dxa" w:w="8164"/>
          </w:tcPr>
          <w:p>
            <w:r>
              <w:rPr>
                <w:sz w:val="16"/>
              </w:rPr>
              <w:t>Portfolio weights section (4.2) if short of time.</w:t>
            </w:r>
          </w:p>
        </w:tc>
      </w:tr>
      <w:tr>
        <w:tc>
          <w:tcPr>
            <w:tcW w:type="dxa" w:w="1701"/>
          </w:tcPr>
          <w:p>
            <w:r>
              <w:rPr>
                <w:b/>
                <w:sz w:val="16"/>
              </w:rPr>
              <w:t>Key terms</w:t>
            </w:r>
          </w:p>
        </w:tc>
        <w:tc>
          <w:tcPr>
            <w:tcW w:type="dxa" w:w="8164"/>
          </w:tcPr>
          <w:p>
            <w:r>
              <w:rPr>
                <w:sz w:val="16"/>
              </w:rPr>
              <w:t>DCC; net transmitter; hedge ratio</w:t>
            </w:r>
          </w:p>
        </w:tc>
      </w:tr>
      <w:tr>
        <w:tc>
          <w:tcPr>
            <w:tcW w:type="dxa" w:w="1701"/>
          </w:tcPr>
          <w:p>
            <w:r>
              <w:rPr>
                <w:b/>
                <w:sz w:val="16"/>
              </w:rPr>
              <w:t>Strengths</w:t>
            </w:r>
          </w:p>
        </w:tc>
        <w:tc>
          <w:tcPr>
            <w:tcW w:type="dxa" w:w="8164"/>
          </w:tcPr>
          <w:p>
            <w:r>
              <w:rPr>
                <w:sz w:val="16"/>
              </w:rPr>
              <w:t>Firm-level detail.</w:t>
            </w:r>
          </w:p>
        </w:tc>
      </w:tr>
      <w:tr>
        <w:tc>
          <w:tcPr>
            <w:tcW w:type="dxa" w:w="1701"/>
          </w:tcPr>
          <w:p>
            <w:r>
              <w:rPr>
                <w:b/>
                <w:sz w:val="16"/>
              </w:rPr>
              <w:t>Weaknesses / critique</w:t>
            </w:r>
          </w:p>
        </w:tc>
        <w:tc>
          <w:tcPr>
            <w:tcW w:type="dxa" w:w="8164"/>
          </w:tcPr>
          <w:p>
            <w:r>
              <w:rPr>
                <w:sz w:val="16"/>
              </w:rPr>
              <w:t>Only ≈2.5 months of COVID data; no Ireland.</w:t>
            </w:r>
          </w:p>
        </w:tc>
      </w:tr>
      <w:tr>
        <w:tc>
          <w:tcPr>
            <w:tcW w:type="dxa" w:w="1701"/>
            <w:shd w:val="clear" w:color="auto" w:fill="EAF1FB"/>
          </w:tcPr>
          <w:p>
            <w:r>
              <w:rPr>
                <w:b/>
                <w:sz w:val="16"/>
              </w:rPr>
              <w:t>Use it as · where</w:t>
            </w:r>
          </w:p>
        </w:tc>
        <w:tc>
          <w:tcPr>
            <w:tcW w:type="dxa" w:w="8164"/>
            <w:shd w:val="clear" w:color="auto" w:fill="EAF1FB"/>
          </w:tcPr>
          <w:p>
            <w:r>
              <w:rPr>
                <w:sz w:val="16"/>
              </w:rPr>
              <w:t>Support · 2.3.4; H2c</w:t>
            </w:r>
          </w:p>
        </w:tc>
      </w:tr>
    </w:tbl>
    <w:p>
      <w:pPr>
        <w:spacing w:after="80"/>
      </w:pPr>
    </w:p>
    <w:tbl>
      <w:tblPr>
        <w:tblStyle w:val="TableGrid"/>
        <w:tblW w:type="auto" w:w="0"/>
        <w:jc w:val="center"/>
        <w:tblLook w:firstColumn="1" w:firstRow="1" w:lastColumn="0" w:lastRow="0" w:noHBand="0" w:noVBand="1" w:val="04A0"/>
      </w:tblPr>
      <w:tblGrid>
        <w:gridCol w:w="5100"/>
        <w:gridCol w:w="5100"/>
      </w:tblGrid>
      <w:tr>
        <w:tc>
          <w:tcPr>
            <w:tcW w:type="dxa" w:w="8164"/>
            <w:gridSpan w:val="2"/>
            <w:shd w:val="clear" w:color="auto" w:fill="1F4E79"/>
          </w:tcPr>
          <w:p>
            <w:r>
              <w:rPr>
                <w:b/>
                <w:color w:val="FFFFFF"/>
                <w:sz w:val="19"/>
              </w:rPr>
              <w:t>Li, H., Ahmed, S. &amp; Chevapatrakul, T. (2016) Volatility spillovers around the Brexit referendum. Nottingham CFCM WP 16/06.</w:t>
            </w:r>
          </w:p>
        </w:tc>
      </w:tr>
      <w:tr>
        <w:tc>
          <w:tcPr>
            <w:tcW w:type="dxa" w:w="1701"/>
            <w:shd w:val="clear" w:color="auto" w:fill="D9EAD3"/>
          </w:tcPr>
          <w:p>
            <w:r>
              <w:rPr>
                <w:b/>
                <w:sz w:val="16"/>
              </w:rPr>
              <w:t>Source basis</w:t>
            </w:r>
          </w:p>
        </w:tc>
        <w:tc>
          <w:tcPr>
            <w:tcW w:type="dxa" w:w="8164"/>
            <w:shd w:val="clear" w:color="auto" w:fill="D9EAD3"/>
          </w:tcPr>
          <w:p>
            <w:r>
              <w:rPr>
                <w:sz w:val="16"/>
              </w:rPr>
              <w:t>FULL TEXT read in this session; page numbers refer to the open-access version in Part G</w:t>
            </w:r>
          </w:p>
        </w:tc>
      </w:tr>
      <w:tr>
        <w:tc>
          <w:tcPr>
            <w:tcW w:type="dxa" w:w="1701"/>
          </w:tcPr>
          <w:p>
            <w:r>
              <w:rPr>
                <w:b/>
                <w:sz w:val="16"/>
              </w:rPr>
              <w:t>Summary</w:t>
            </w:r>
          </w:p>
        </w:tc>
        <w:tc>
          <w:tcPr>
            <w:tcW w:type="dxa" w:w="8164"/>
          </w:tcPr>
          <w:p>
            <w:r>
              <w:rPr>
                <w:sz w:val="16"/>
              </w:rPr>
              <w:t>Measures intraday volatility spillovers among four big European markets around the Brexit vote.</w:t>
            </w:r>
          </w:p>
        </w:tc>
      </w:tr>
      <w:tr>
        <w:tc>
          <w:tcPr>
            <w:tcW w:type="dxa" w:w="1701"/>
          </w:tcPr>
          <w:p>
            <w:r>
              <w:rPr>
                <w:b/>
                <w:sz w:val="16"/>
              </w:rPr>
              <w:t>Dataset</w:t>
            </w:r>
          </w:p>
        </w:tc>
        <w:tc>
          <w:tcPr>
            <w:tcW w:type="dxa" w:w="8164"/>
          </w:tcPr>
          <w:p>
            <w:r>
              <w:rPr>
                <w:sz w:val="16"/>
              </w:rPr>
              <w:t>15-minute intraday data; France, Germany, Switzerland, UK; 4 Jan – 30 Sep 2016.</w:t>
            </w:r>
          </w:p>
        </w:tc>
      </w:tr>
      <w:tr>
        <w:tc>
          <w:tcPr>
            <w:tcW w:type="dxa" w:w="1701"/>
          </w:tcPr>
          <w:p>
            <w:r>
              <w:rPr>
                <w:b/>
                <w:sz w:val="16"/>
              </w:rPr>
              <w:t>Methodology</w:t>
            </w:r>
          </w:p>
        </w:tc>
        <w:tc>
          <w:tcPr>
            <w:tcW w:type="dxa" w:w="8164"/>
          </w:tcPr>
          <w:p>
            <w:r>
              <w:rPr>
                <w:sz w:val="16"/>
              </w:rPr>
              <w:t>Diebold–Yilmaz total, directional, net and pairwise spillovers; full and rolling samples.</w:t>
            </w:r>
          </w:p>
        </w:tc>
      </w:tr>
      <w:tr>
        <w:tc>
          <w:tcPr>
            <w:tcW w:type="dxa" w:w="1701"/>
          </w:tcPr>
          <w:p>
            <w:r>
              <w:rPr>
                <w:b/>
                <w:sz w:val="16"/>
              </w:rPr>
              <w:t>Results</w:t>
            </w:r>
          </w:p>
        </w:tc>
        <w:tc>
          <w:tcPr>
            <w:tcW w:type="dxa" w:w="8164"/>
          </w:tcPr>
          <w:p>
            <w:r>
              <w:rPr>
                <w:sz w:val="16"/>
              </w:rPr>
              <w:t>• Strong interdependence among the four markets (full-sample spillover table: Table 3, p.13).</w:t>
            </w:r>
          </w:p>
          <w:p>
            <w:r>
              <w:rPr>
                <w:sz w:val="16"/>
              </w:rPr>
              <w:t>• Overall: France and Germany net transmitters; UK and Switzerland net receivers.</w:t>
            </w:r>
          </w:p>
          <w:p>
            <w:r>
              <w:rPr>
                <w:sz w:val="16"/>
              </w:rPr>
              <w:t>• Around referendum day: France and the UK net transmitters.</w:t>
            </w:r>
          </w:p>
        </w:tc>
      </w:tr>
      <w:tr>
        <w:tc>
          <w:tcPr>
            <w:tcW w:type="dxa" w:w="1701"/>
            <w:shd w:val="clear" w:color="auto" w:fill="EAF1FB"/>
          </w:tcPr>
          <w:p>
            <w:r>
              <w:rPr>
                <w:b/>
                <w:sz w:val="16"/>
              </w:rPr>
              <w:t>How it relates to MY study</w:t>
            </w:r>
          </w:p>
        </w:tc>
        <w:tc>
          <w:tcPr>
            <w:tcW w:type="dxa" w:w="8164"/>
            <w:shd w:val="clear" w:color="auto" w:fill="EAF1FB"/>
          </w:tcPr>
          <w:p>
            <w:r>
              <w:rPr>
                <w:sz w:val="16"/>
              </w:rPr>
              <w:t>Competing evidence for H2d (tested in your FTSE-for-DAX robustness run) — the UK was a transmitter only around the vote. Compare with the euro share in Brexit check too.</w:t>
            </w:r>
          </w:p>
        </w:tc>
      </w:tr>
      <w:tr>
        <w:tc>
          <w:tcPr>
            <w:tcW w:type="dxa" w:w="1701"/>
            <w:shd w:val="clear" w:color="auto" w:fill="EAF1FB"/>
          </w:tcPr>
          <w:p>
            <w:r>
              <w:rPr>
                <w:b/>
                <w:sz w:val="16"/>
              </w:rPr>
              <w:t>Must read in the original</w:t>
            </w:r>
          </w:p>
        </w:tc>
        <w:tc>
          <w:tcPr>
            <w:tcW w:type="dxa" w:w="8164"/>
            <w:shd w:val="clear" w:color="auto" w:fill="EAF1FB"/>
          </w:tcPr>
          <w:p>
            <w:r>
              <w:rPr>
                <w:sz w:val="16"/>
              </w:rPr>
              <w:t>Introduction (pp.3–5); 3.1 data (p.9); 3.2 full sample (pp.12–13); 3.3.3–3.3.4 net spillovers (pp.16–20); conclusion (p.21).</w:t>
            </w:r>
          </w:p>
        </w:tc>
      </w:tr>
      <w:tr>
        <w:tc>
          <w:tcPr>
            <w:tcW w:type="dxa" w:w="1701"/>
          </w:tcPr>
          <w:p>
            <w:r>
              <w:rPr>
                <w:b/>
                <w:sz w:val="16"/>
              </w:rPr>
              <w:t>Can skim / skip</w:t>
            </w:r>
          </w:p>
        </w:tc>
        <w:tc>
          <w:tcPr>
            <w:tcW w:type="dxa" w:w="8164"/>
          </w:tcPr>
          <w:p>
            <w:r>
              <w:rPr>
                <w:sz w:val="16"/>
              </w:rPr>
              <w:t>Econometric framework details (pp.6–8).</w:t>
            </w:r>
          </w:p>
        </w:tc>
      </w:tr>
      <w:tr>
        <w:tc>
          <w:tcPr>
            <w:tcW w:type="dxa" w:w="1701"/>
          </w:tcPr>
          <w:p>
            <w:r>
              <w:rPr>
                <w:b/>
                <w:sz w:val="16"/>
              </w:rPr>
              <w:t>Key terms</w:t>
            </w:r>
          </w:p>
        </w:tc>
        <w:tc>
          <w:tcPr>
            <w:tcW w:type="dxa" w:w="8164"/>
          </w:tcPr>
          <w:p>
            <w:r>
              <w:rPr>
                <w:sz w:val="16"/>
              </w:rPr>
              <w:t>net transmitter / receiver; pairwise spillover</w:t>
            </w:r>
          </w:p>
        </w:tc>
      </w:tr>
      <w:tr>
        <w:tc>
          <w:tcPr>
            <w:tcW w:type="dxa" w:w="1701"/>
          </w:tcPr>
          <w:p>
            <w:r>
              <w:rPr>
                <w:b/>
                <w:sz w:val="16"/>
              </w:rPr>
              <w:t>Strengths</w:t>
            </w:r>
          </w:p>
        </w:tc>
        <w:tc>
          <w:tcPr>
            <w:tcW w:type="dxa" w:w="8164"/>
          </w:tcPr>
          <w:p>
            <w:r>
              <w:rPr>
                <w:sz w:val="16"/>
              </w:rPr>
              <w:t>High-frequency data.</w:t>
            </w:r>
          </w:p>
        </w:tc>
      </w:tr>
      <w:tr>
        <w:tc>
          <w:tcPr>
            <w:tcW w:type="dxa" w:w="1701"/>
          </w:tcPr>
          <w:p>
            <w:r>
              <w:rPr>
                <w:b/>
                <w:sz w:val="16"/>
              </w:rPr>
              <w:t>Weaknesses / critique</w:t>
            </w:r>
          </w:p>
        </w:tc>
        <w:tc>
          <w:tcPr>
            <w:tcW w:type="dxa" w:w="8164"/>
          </w:tcPr>
          <w:p>
            <w:r>
              <w:rPr>
                <w:sz w:val="16"/>
              </w:rPr>
              <w:t>Four large markets; no Ireland.</w:t>
            </w:r>
          </w:p>
        </w:tc>
      </w:tr>
      <w:tr>
        <w:tc>
          <w:tcPr>
            <w:tcW w:type="dxa" w:w="1701"/>
            <w:shd w:val="clear" w:color="auto" w:fill="EAF1FB"/>
          </w:tcPr>
          <w:p>
            <w:r>
              <w:rPr>
                <w:b/>
                <w:sz w:val="16"/>
              </w:rPr>
              <w:t>Use it as · where</w:t>
            </w:r>
          </w:p>
        </w:tc>
        <w:tc>
          <w:tcPr>
            <w:tcW w:type="dxa" w:w="8164"/>
            <w:shd w:val="clear" w:color="auto" w:fill="EAF1FB"/>
          </w:tcPr>
          <w:p>
            <w:r>
              <w:rPr>
                <w:sz w:val="16"/>
              </w:rPr>
              <w:t>Contrast · 2.3.5; H2d</w:t>
            </w:r>
          </w:p>
        </w:tc>
      </w:tr>
    </w:tbl>
    <w:p>
      <w:pPr>
        <w:spacing w:after="80"/>
      </w:pPr>
    </w:p>
    <w:tbl>
      <w:tblPr>
        <w:tblStyle w:val="TableGrid"/>
        <w:tblW w:type="auto" w:w="0"/>
        <w:jc w:val="center"/>
        <w:tblLook w:firstColumn="1" w:firstRow="1" w:lastColumn="0" w:lastRow="0" w:noHBand="0" w:noVBand="1" w:val="04A0"/>
      </w:tblPr>
      <w:tblGrid>
        <w:gridCol w:w="5100"/>
        <w:gridCol w:w="5100"/>
      </w:tblGrid>
      <w:tr>
        <w:tc>
          <w:tcPr>
            <w:tcW w:type="dxa" w:w="8164"/>
            <w:gridSpan w:val="2"/>
            <w:shd w:val="clear" w:color="auto" w:fill="1F4E79"/>
          </w:tcPr>
          <w:p>
            <w:r>
              <w:rPr>
                <w:b/>
                <w:color w:val="FFFFFF"/>
                <w:sz w:val="19"/>
              </w:rPr>
              <w:t>Li, H. (2020) Volatility spillovers under the uncertainty of Brexit. Economic Modelling, 84, 1–12.</w:t>
            </w:r>
          </w:p>
        </w:tc>
      </w:tr>
      <w:tr>
        <w:tc>
          <w:tcPr>
            <w:tcW w:type="dxa" w:w="1701"/>
            <w:shd w:val="clear" w:color="auto" w:fill="FFF2CC"/>
          </w:tcPr>
          <w:p>
            <w:r>
              <w:rPr>
                <w:b/>
                <w:sz w:val="16"/>
              </w:rPr>
              <w:t>Source basis</w:t>
            </w:r>
          </w:p>
        </w:tc>
        <w:tc>
          <w:tcPr>
            <w:tcW w:type="dxa" w:w="8164"/>
            <w:shd w:val="clear" w:color="auto" w:fill="FFF2CC"/>
          </w:tcPr>
          <w:p>
            <w:r>
              <w:rPr>
                <w:sz w:val="16"/>
              </w:rPr>
              <w:t>ABSTRACT / summary read in this session; read the full paper before relying on details</w:t>
            </w:r>
          </w:p>
        </w:tc>
      </w:tr>
      <w:tr>
        <w:tc>
          <w:tcPr>
            <w:tcW w:type="dxa" w:w="1701"/>
          </w:tcPr>
          <w:p>
            <w:r>
              <w:rPr>
                <w:b/>
                <w:sz w:val="16"/>
              </w:rPr>
              <w:t>Summary</w:t>
            </w:r>
          </w:p>
        </w:tc>
        <w:tc>
          <w:tcPr>
            <w:tcW w:type="dxa" w:w="8164"/>
          </w:tcPr>
          <w:p>
            <w:r>
              <w:rPr>
                <w:sz w:val="16"/>
              </w:rPr>
              <w:t>Journal follow-up on Brexit volatility spillovers in Europe.</w:t>
            </w:r>
          </w:p>
        </w:tc>
      </w:tr>
      <w:tr>
        <w:tc>
          <w:tcPr>
            <w:tcW w:type="dxa" w:w="1701"/>
          </w:tcPr>
          <w:p>
            <w:r>
              <w:rPr>
                <w:b/>
                <w:sz w:val="16"/>
              </w:rPr>
              <w:t>Dataset</w:t>
            </w:r>
          </w:p>
        </w:tc>
        <w:tc>
          <w:tcPr>
            <w:tcW w:type="dxa" w:w="8164"/>
          </w:tcPr>
          <w:p>
            <w:r>
              <w:rPr>
                <w:sz w:val="16"/>
              </w:rPr>
              <w:t>European stock markets, 2016 onwards (list to confirm).</w:t>
            </w:r>
          </w:p>
        </w:tc>
      </w:tr>
      <w:tr>
        <w:tc>
          <w:tcPr>
            <w:tcW w:type="dxa" w:w="1701"/>
          </w:tcPr>
          <w:p>
            <w:r>
              <w:rPr>
                <w:b/>
                <w:sz w:val="16"/>
              </w:rPr>
              <w:t>Methodology</w:t>
            </w:r>
          </w:p>
        </w:tc>
        <w:tc>
          <w:tcPr>
            <w:tcW w:type="dxa" w:w="8164"/>
          </w:tcPr>
          <w:p>
            <w:r>
              <w:rPr>
                <w:sz w:val="16"/>
              </w:rPr>
              <w:t>Time-varying multivariate GARCH; variance decomposition; volatility impulse responses.</w:t>
            </w:r>
          </w:p>
        </w:tc>
      </w:tr>
      <w:tr>
        <w:tc>
          <w:tcPr>
            <w:tcW w:type="dxa" w:w="1701"/>
          </w:tcPr>
          <w:p>
            <w:r>
              <w:rPr>
                <w:b/>
                <w:sz w:val="16"/>
              </w:rPr>
              <w:t>Results</w:t>
            </w:r>
          </w:p>
        </w:tc>
        <w:tc>
          <w:tcPr>
            <w:tcW w:type="dxa" w:w="8164"/>
          </w:tcPr>
          <w:p>
            <w:r>
              <w:rPr>
                <w:sz w:val="16"/>
              </w:rPr>
              <w:t>• UK influence decreased from the start of the campaign.</w:t>
            </w:r>
          </w:p>
          <w:p>
            <w:r>
              <w:rPr>
                <w:sz w:val="16"/>
              </w:rPr>
              <w:t>• The vote raised volatility; its effect on co-volatility persisted.</w:t>
            </w:r>
          </w:p>
        </w:tc>
      </w:tr>
      <w:tr>
        <w:tc>
          <w:tcPr>
            <w:tcW w:type="dxa" w:w="1701"/>
            <w:shd w:val="clear" w:color="auto" w:fill="EAF1FB"/>
          </w:tcPr>
          <w:p>
            <w:r>
              <w:rPr>
                <w:b/>
                <w:sz w:val="16"/>
              </w:rPr>
              <w:t>How it relates to MY study</w:t>
            </w:r>
          </w:p>
        </w:tc>
        <w:tc>
          <w:tcPr>
            <w:tcW w:type="dxa" w:w="8164"/>
            <w:shd w:val="clear" w:color="auto" w:fill="EAF1FB"/>
          </w:tcPr>
          <w:p>
            <w:r>
              <w:rPr>
                <w:sz w:val="16"/>
              </w:rPr>
              <w:t>Second competing source on H2d.</w:t>
            </w:r>
          </w:p>
        </w:tc>
      </w:tr>
      <w:tr>
        <w:tc>
          <w:tcPr>
            <w:tcW w:type="dxa" w:w="1701"/>
            <w:shd w:val="clear" w:color="auto" w:fill="EAF1FB"/>
          </w:tcPr>
          <w:p>
            <w:r>
              <w:rPr>
                <w:b/>
                <w:sz w:val="16"/>
              </w:rPr>
              <w:t>Must read in the original</w:t>
            </w:r>
          </w:p>
        </w:tc>
        <w:tc>
          <w:tcPr>
            <w:tcW w:type="dxa" w:w="8164"/>
            <w:shd w:val="clear" w:color="auto" w:fill="EAF1FB"/>
          </w:tcPr>
          <w:p>
            <w:r>
              <w:rPr>
                <w:sz w:val="16"/>
              </w:rPr>
              <w:t>Abstract, data section, conclusion.</w:t>
            </w:r>
          </w:p>
        </w:tc>
      </w:tr>
      <w:tr>
        <w:tc>
          <w:tcPr>
            <w:tcW w:type="dxa" w:w="1701"/>
          </w:tcPr>
          <w:p>
            <w:r>
              <w:rPr>
                <w:b/>
                <w:sz w:val="16"/>
              </w:rPr>
              <w:t>Can skim / skip</w:t>
            </w:r>
          </w:p>
        </w:tc>
        <w:tc>
          <w:tcPr>
            <w:tcW w:type="dxa" w:w="8164"/>
          </w:tcPr>
          <w:p>
            <w:r>
              <w:rPr>
                <w:sz w:val="16"/>
              </w:rPr>
              <w:t>—</w:t>
            </w:r>
          </w:p>
        </w:tc>
      </w:tr>
      <w:tr>
        <w:tc>
          <w:tcPr>
            <w:tcW w:type="dxa" w:w="1701"/>
          </w:tcPr>
          <w:p>
            <w:r>
              <w:rPr>
                <w:b/>
                <w:sz w:val="16"/>
              </w:rPr>
              <w:t>Key terms</w:t>
            </w:r>
          </w:p>
        </w:tc>
        <w:tc>
          <w:tcPr>
            <w:tcW w:type="dxa" w:w="8164"/>
          </w:tcPr>
          <w:p>
            <w:r>
              <w:rPr>
                <w:sz w:val="16"/>
              </w:rPr>
              <w:t>volatility impulse response</w:t>
            </w:r>
          </w:p>
        </w:tc>
      </w:tr>
      <w:tr>
        <w:tc>
          <w:tcPr>
            <w:tcW w:type="dxa" w:w="1701"/>
          </w:tcPr>
          <w:p>
            <w:r>
              <w:rPr>
                <w:b/>
                <w:sz w:val="16"/>
              </w:rPr>
              <w:t>Strengths</w:t>
            </w:r>
          </w:p>
        </w:tc>
        <w:tc>
          <w:tcPr>
            <w:tcW w:type="dxa" w:w="8164"/>
          </w:tcPr>
          <w:p>
            <w:r>
              <w:rPr>
                <w:sz w:val="16"/>
              </w:rPr>
              <w:t>Peer-reviewed.</w:t>
            </w:r>
          </w:p>
        </w:tc>
      </w:tr>
      <w:tr>
        <w:tc>
          <w:tcPr>
            <w:tcW w:type="dxa" w:w="1701"/>
          </w:tcPr>
          <w:p>
            <w:r>
              <w:rPr>
                <w:b/>
                <w:sz w:val="16"/>
              </w:rPr>
              <w:t>Weaknesses / critique</w:t>
            </w:r>
          </w:p>
        </w:tc>
        <w:tc>
          <w:tcPr>
            <w:tcW w:type="dxa" w:w="8164"/>
          </w:tcPr>
          <w:p>
            <w:r>
              <w:rPr>
                <w:sz w:val="16"/>
              </w:rPr>
              <w:t>Check whether Ireland is included.</w:t>
            </w:r>
          </w:p>
        </w:tc>
      </w:tr>
      <w:tr>
        <w:tc>
          <w:tcPr>
            <w:tcW w:type="dxa" w:w="1701"/>
            <w:shd w:val="clear" w:color="auto" w:fill="EAF1FB"/>
          </w:tcPr>
          <w:p>
            <w:r>
              <w:rPr>
                <w:b/>
                <w:sz w:val="16"/>
              </w:rPr>
              <w:t>Use it as · where</w:t>
            </w:r>
          </w:p>
        </w:tc>
        <w:tc>
          <w:tcPr>
            <w:tcW w:type="dxa" w:w="8164"/>
            <w:shd w:val="clear" w:color="auto" w:fill="EAF1FB"/>
          </w:tcPr>
          <w:p>
            <w:r>
              <w:rPr>
                <w:sz w:val="16"/>
              </w:rPr>
              <w:t>Contrast · 2.3.5; H2d</w:t>
            </w:r>
          </w:p>
        </w:tc>
      </w:tr>
    </w:tbl>
    <w:p>
      <w:pPr>
        <w:spacing w:after="80"/>
      </w:pPr>
    </w:p>
    <w:tbl>
      <w:tblPr>
        <w:tblStyle w:val="TableGrid"/>
        <w:tblW w:type="auto" w:w="0"/>
        <w:jc w:val="center"/>
        <w:tblLook w:firstColumn="1" w:firstRow="1" w:lastColumn="0" w:lastRow="0" w:noHBand="0" w:noVBand="1" w:val="04A0"/>
      </w:tblPr>
      <w:tblGrid>
        <w:gridCol w:w="5100"/>
        <w:gridCol w:w="5100"/>
      </w:tblGrid>
      <w:tr>
        <w:tc>
          <w:tcPr>
            <w:tcW w:type="dxa" w:w="8164"/>
            <w:gridSpan w:val="2"/>
            <w:shd w:val="clear" w:color="auto" w:fill="1F4E79"/>
          </w:tcPr>
          <w:p>
            <w:r>
              <w:rPr>
                <w:b/>
                <w:color w:val="FFFFFF"/>
                <w:sz w:val="19"/>
              </w:rPr>
              <w:t>Boungou, W. &amp; Yatié, A. (2022) The impact of the Ukraine–Russia war on world stock market returns. Economics Letters, 215, 110516.</w:t>
            </w:r>
          </w:p>
        </w:tc>
      </w:tr>
      <w:tr>
        <w:tc>
          <w:tcPr>
            <w:tcW w:type="dxa" w:w="1701"/>
            <w:shd w:val="clear" w:color="auto" w:fill="FFF2CC"/>
          </w:tcPr>
          <w:p>
            <w:r>
              <w:rPr>
                <w:b/>
                <w:sz w:val="16"/>
              </w:rPr>
              <w:t>Source basis</w:t>
            </w:r>
          </w:p>
        </w:tc>
        <w:tc>
          <w:tcPr>
            <w:tcW w:type="dxa" w:w="8164"/>
            <w:shd w:val="clear" w:color="auto" w:fill="FFF2CC"/>
          </w:tcPr>
          <w:p>
            <w:r>
              <w:rPr>
                <w:sz w:val="16"/>
              </w:rPr>
              <w:t>ABSTRACT / summary read in this session; read the full paper before relying on details</w:t>
            </w:r>
          </w:p>
        </w:tc>
      </w:tr>
      <w:tr>
        <w:tc>
          <w:tcPr>
            <w:tcW w:type="dxa" w:w="1701"/>
          </w:tcPr>
          <w:p>
            <w:r>
              <w:rPr>
                <w:b/>
                <w:sz w:val="16"/>
              </w:rPr>
              <w:t>Summary</w:t>
            </w:r>
          </w:p>
        </w:tc>
        <w:tc>
          <w:tcPr>
            <w:tcW w:type="dxa" w:w="8164"/>
          </w:tcPr>
          <w:p>
            <w:r>
              <w:rPr>
                <w:sz w:val="16"/>
              </w:rPr>
              <w:t>Short paper measuring the war’s impact on world stock returns.</w:t>
            </w:r>
          </w:p>
        </w:tc>
      </w:tr>
      <w:tr>
        <w:tc>
          <w:tcPr>
            <w:tcW w:type="dxa" w:w="1701"/>
          </w:tcPr>
          <w:p>
            <w:r>
              <w:rPr>
                <w:b/>
                <w:sz w:val="16"/>
              </w:rPr>
              <w:t>Dataset</w:t>
            </w:r>
          </w:p>
        </w:tc>
        <w:tc>
          <w:tcPr>
            <w:tcW w:type="dxa" w:w="8164"/>
          </w:tcPr>
          <w:p>
            <w:r>
              <w:rPr>
                <w:sz w:val="16"/>
              </w:rPr>
              <w:t>Daily returns, 94 countries, 22 Jan – 24 Mar 2022.</w:t>
            </w:r>
          </w:p>
        </w:tc>
      </w:tr>
      <w:tr>
        <w:tc>
          <w:tcPr>
            <w:tcW w:type="dxa" w:w="1701"/>
          </w:tcPr>
          <w:p>
            <w:r>
              <w:rPr>
                <w:b/>
                <w:sz w:val="16"/>
              </w:rPr>
              <w:t>Methodology</w:t>
            </w:r>
          </w:p>
        </w:tc>
        <w:tc>
          <w:tcPr>
            <w:tcW w:type="dxa" w:w="8164"/>
          </w:tcPr>
          <w:p>
            <w:r>
              <w:rPr>
                <w:sz w:val="16"/>
              </w:rPr>
              <w:t>Panel regressions around the invasion.</w:t>
            </w:r>
          </w:p>
        </w:tc>
      </w:tr>
      <w:tr>
        <w:tc>
          <w:tcPr>
            <w:tcW w:type="dxa" w:w="1701"/>
          </w:tcPr>
          <w:p>
            <w:r>
              <w:rPr>
                <w:b/>
                <w:sz w:val="16"/>
              </w:rPr>
              <w:t>Results</w:t>
            </w:r>
          </w:p>
        </w:tc>
        <w:tc>
          <w:tcPr>
            <w:tcW w:type="dxa" w:w="8164"/>
          </w:tcPr>
          <w:p>
            <w:r>
              <w:rPr>
                <w:sz w:val="16"/>
              </w:rPr>
              <w:t>• Negative effect on returns, strongest in the first two weeks after 24 Feb.</w:t>
            </w:r>
          </w:p>
        </w:tc>
      </w:tr>
      <w:tr>
        <w:tc>
          <w:tcPr>
            <w:tcW w:type="dxa" w:w="1701"/>
            <w:shd w:val="clear" w:color="auto" w:fill="EAF1FB"/>
          </w:tcPr>
          <w:p>
            <w:r>
              <w:rPr>
                <w:b/>
                <w:sz w:val="16"/>
              </w:rPr>
              <w:t>How it relates to MY study</w:t>
            </w:r>
          </w:p>
        </w:tc>
        <w:tc>
          <w:tcPr>
            <w:tcW w:type="dxa" w:w="8164"/>
            <w:shd w:val="clear" w:color="auto" w:fill="EAF1FB"/>
          </w:tcPr>
          <w:p>
            <w:r>
              <w:rPr>
                <w:sz w:val="16"/>
              </w:rPr>
              <w:t>Background for the 2022 validation event (H2e: euro channel).</w:t>
            </w:r>
          </w:p>
        </w:tc>
      </w:tr>
      <w:tr>
        <w:tc>
          <w:tcPr>
            <w:tcW w:type="dxa" w:w="1701"/>
            <w:shd w:val="clear" w:color="auto" w:fill="EAF1FB"/>
          </w:tcPr>
          <w:p>
            <w:r>
              <w:rPr>
                <w:b/>
                <w:sz w:val="16"/>
              </w:rPr>
              <w:t>Must read in the original</w:t>
            </w:r>
          </w:p>
        </w:tc>
        <w:tc>
          <w:tcPr>
            <w:tcW w:type="dxa" w:w="8164"/>
            <w:shd w:val="clear" w:color="auto" w:fill="EAF1FB"/>
          </w:tcPr>
          <w:p>
            <w:r>
              <w:rPr>
                <w:sz w:val="16"/>
              </w:rPr>
              <w:t>Whole paper (a short letter).</w:t>
            </w:r>
          </w:p>
        </w:tc>
      </w:tr>
      <w:tr>
        <w:tc>
          <w:tcPr>
            <w:tcW w:type="dxa" w:w="1701"/>
          </w:tcPr>
          <w:p>
            <w:r>
              <w:rPr>
                <w:b/>
                <w:sz w:val="16"/>
              </w:rPr>
              <w:t>Can skim / skip</w:t>
            </w:r>
          </w:p>
        </w:tc>
        <w:tc>
          <w:tcPr>
            <w:tcW w:type="dxa" w:w="8164"/>
          </w:tcPr>
          <w:p>
            <w:r>
              <w:rPr>
                <w:sz w:val="16"/>
              </w:rPr>
              <w:t>—</w:t>
            </w:r>
          </w:p>
        </w:tc>
      </w:tr>
      <w:tr>
        <w:tc>
          <w:tcPr>
            <w:tcW w:type="dxa" w:w="1701"/>
          </w:tcPr>
          <w:p>
            <w:r>
              <w:rPr>
                <w:b/>
                <w:sz w:val="16"/>
              </w:rPr>
              <w:t>Key terms</w:t>
            </w:r>
          </w:p>
        </w:tc>
        <w:tc>
          <w:tcPr>
            <w:tcW w:type="dxa" w:w="8164"/>
          </w:tcPr>
          <w:p>
            <w:r>
              <w:rPr>
                <w:sz w:val="16"/>
              </w:rPr>
              <w:t>event window</w:t>
            </w:r>
          </w:p>
        </w:tc>
      </w:tr>
      <w:tr>
        <w:tc>
          <w:tcPr>
            <w:tcW w:type="dxa" w:w="1701"/>
          </w:tcPr>
          <w:p>
            <w:r>
              <w:rPr>
                <w:b/>
                <w:sz w:val="16"/>
              </w:rPr>
              <w:t>Strengths</w:t>
            </w:r>
          </w:p>
        </w:tc>
        <w:tc>
          <w:tcPr>
            <w:tcW w:type="dxa" w:w="8164"/>
          </w:tcPr>
          <w:p>
            <w:r>
              <w:rPr>
                <w:sz w:val="16"/>
              </w:rPr>
              <w:t>Wide coverage.</w:t>
            </w:r>
          </w:p>
        </w:tc>
      </w:tr>
      <w:tr>
        <w:tc>
          <w:tcPr>
            <w:tcW w:type="dxa" w:w="1701"/>
          </w:tcPr>
          <w:p>
            <w:r>
              <w:rPr>
                <w:b/>
                <w:sz w:val="16"/>
              </w:rPr>
              <w:t>Weaknesses / critique</w:t>
            </w:r>
          </w:p>
        </w:tc>
        <w:tc>
          <w:tcPr>
            <w:tcW w:type="dxa" w:w="8164"/>
          </w:tcPr>
          <w:p>
            <w:r>
              <w:rPr>
                <w:sz w:val="16"/>
              </w:rPr>
              <w:t>Returns only; short window.</w:t>
            </w:r>
          </w:p>
        </w:tc>
      </w:tr>
      <w:tr>
        <w:tc>
          <w:tcPr>
            <w:tcW w:type="dxa" w:w="1701"/>
            <w:shd w:val="clear" w:color="auto" w:fill="EAF1FB"/>
          </w:tcPr>
          <w:p>
            <w:r>
              <w:rPr>
                <w:b/>
                <w:sz w:val="16"/>
              </w:rPr>
              <w:t>Use it as · where</w:t>
            </w:r>
          </w:p>
        </w:tc>
        <w:tc>
          <w:tcPr>
            <w:tcW w:type="dxa" w:w="8164"/>
            <w:shd w:val="clear" w:color="auto" w:fill="EAF1FB"/>
          </w:tcPr>
          <w:p>
            <w:r>
              <w:rPr>
                <w:sz w:val="16"/>
              </w:rPr>
              <w:t>Context · 2.3.5; H2e</w:t>
            </w:r>
          </w:p>
        </w:tc>
      </w:tr>
    </w:tbl>
    <w:p>
      <w:pPr>
        <w:spacing w:after="80"/>
      </w:pPr>
    </w:p>
    <w:tbl>
      <w:tblPr>
        <w:tblStyle w:val="TableGrid"/>
        <w:tblW w:type="auto" w:w="0"/>
        <w:jc w:val="center"/>
        <w:tblLook w:firstColumn="1" w:firstRow="1" w:lastColumn="0" w:lastRow="0" w:noHBand="0" w:noVBand="1" w:val="04A0"/>
      </w:tblPr>
      <w:tblGrid>
        <w:gridCol w:w="5100"/>
        <w:gridCol w:w="5100"/>
      </w:tblGrid>
      <w:tr>
        <w:tc>
          <w:tcPr>
            <w:tcW w:type="dxa" w:w="8164"/>
            <w:gridSpan w:val="2"/>
            <w:shd w:val="clear" w:color="auto" w:fill="1F4E79"/>
          </w:tcPr>
          <w:p>
            <w:r>
              <w:rPr>
                <w:b/>
                <w:color w:val="FFFFFF"/>
                <w:sz w:val="19"/>
              </w:rPr>
              <w:t>Kearney, C. (1998) Causes of volatility in a small, internationally integrated stock market: Ireland, 1975–1994. J. Financial Research, 21(1).</w:t>
            </w:r>
          </w:p>
        </w:tc>
      </w:tr>
      <w:tr>
        <w:tc>
          <w:tcPr>
            <w:tcW w:type="dxa" w:w="1701"/>
            <w:shd w:val="clear" w:color="auto" w:fill="FFF2CC"/>
          </w:tcPr>
          <w:p>
            <w:r>
              <w:rPr>
                <w:b/>
                <w:sz w:val="16"/>
              </w:rPr>
              <w:t>Source basis</w:t>
            </w:r>
          </w:p>
        </w:tc>
        <w:tc>
          <w:tcPr>
            <w:tcW w:type="dxa" w:w="8164"/>
            <w:shd w:val="clear" w:color="auto" w:fill="FFF2CC"/>
          </w:tcPr>
          <w:p>
            <w:r>
              <w:rPr>
                <w:sz w:val="16"/>
              </w:rPr>
              <w:t>ABSTRACT / summary read in this session; read the full paper before relying on details</w:t>
            </w:r>
          </w:p>
        </w:tc>
      </w:tr>
      <w:tr>
        <w:tc>
          <w:tcPr>
            <w:tcW w:type="dxa" w:w="1701"/>
          </w:tcPr>
          <w:p>
            <w:r>
              <w:rPr>
                <w:b/>
                <w:sz w:val="16"/>
              </w:rPr>
              <w:t>Summary</w:t>
            </w:r>
          </w:p>
        </w:tc>
        <w:tc>
          <w:tcPr>
            <w:tcW w:type="dxa" w:w="8164"/>
          </w:tcPr>
          <w:p>
            <w:r>
              <w:rPr>
                <w:sz w:val="16"/>
              </w:rPr>
              <w:t>Early study of what drives Irish stock market volatility.</w:t>
            </w:r>
          </w:p>
        </w:tc>
      </w:tr>
      <w:tr>
        <w:tc>
          <w:tcPr>
            <w:tcW w:type="dxa" w:w="1701"/>
          </w:tcPr>
          <w:p>
            <w:r>
              <w:rPr>
                <w:b/>
                <w:sz w:val="16"/>
              </w:rPr>
              <w:t>Dataset</w:t>
            </w:r>
          </w:p>
        </w:tc>
        <w:tc>
          <w:tcPr>
            <w:tcW w:type="dxa" w:w="8164"/>
          </w:tcPr>
          <w:p>
            <w:r>
              <w:rPr>
                <w:sz w:val="16"/>
              </w:rPr>
              <w:t>Irish market, 1975–1994.</w:t>
            </w:r>
          </w:p>
        </w:tc>
      </w:tr>
      <w:tr>
        <w:tc>
          <w:tcPr>
            <w:tcW w:type="dxa" w:w="1701"/>
          </w:tcPr>
          <w:p>
            <w:r>
              <w:rPr>
                <w:b/>
                <w:sz w:val="16"/>
              </w:rPr>
              <w:t>Methodology</w:t>
            </w:r>
          </w:p>
        </w:tc>
        <w:tc>
          <w:tcPr>
            <w:tcW w:type="dxa" w:w="8164"/>
          </w:tcPr>
          <w:p>
            <w:r>
              <w:rPr>
                <w:sz w:val="16"/>
              </w:rPr>
              <w:t>Read the paper.</w:t>
            </w:r>
          </w:p>
        </w:tc>
      </w:tr>
      <w:tr>
        <w:tc>
          <w:tcPr>
            <w:tcW w:type="dxa" w:w="1701"/>
          </w:tcPr>
          <w:p>
            <w:r>
              <w:rPr>
                <w:b/>
                <w:sz w:val="16"/>
              </w:rPr>
              <w:t>Results</w:t>
            </w:r>
          </w:p>
        </w:tc>
        <w:tc>
          <w:tcPr>
            <w:tcW w:type="dxa" w:w="8164"/>
          </w:tcPr>
          <w:p>
            <w:r>
              <w:rPr>
                <w:sz w:val="16"/>
              </w:rPr>
              <w:t>• Treats Ireland as small and internationally integrated — read for findings.</w:t>
            </w:r>
          </w:p>
        </w:tc>
      </w:tr>
      <w:tr>
        <w:tc>
          <w:tcPr>
            <w:tcW w:type="dxa" w:w="1701"/>
            <w:shd w:val="clear" w:color="auto" w:fill="EAF1FB"/>
          </w:tcPr>
          <w:p>
            <w:r>
              <w:rPr>
                <w:b/>
                <w:sz w:val="16"/>
              </w:rPr>
              <w:t>How it relates to MY study</w:t>
            </w:r>
          </w:p>
        </w:tc>
        <w:tc>
          <w:tcPr>
            <w:tcW w:type="dxa" w:w="8164"/>
            <w:shd w:val="clear" w:color="auto" w:fill="EAF1FB"/>
          </w:tcPr>
          <w:p>
            <w:r>
              <w:rPr>
                <w:sz w:val="16"/>
              </w:rPr>
              <w:t>Historical precedent that foreign factors matter for Irish volatility.</w:t>
            </w:r>
          </w:p>
        </w:tc>
      </w:tr>
      <w:tr>
        <w:tc>
          <w:tcPr>
            <w:tcW w:type="dxa" w:w="1701"/>
            <w:shd w:val="clear" w:color="auto" w:fill="EAF1FB"/>
          </w:tcPr>
          <w:p>
            <w:r>
              <w:rPr>
                <w:b/>
                <w:sz w:val="16"/>
              </w:rPr>
              <w:t>Must read in the original</w:t>
            </w:r>
          </w:p>
        </w:tc>
        <w:tc>
          <w:tcPr>
            <w:tcW w:type="dxa" w:w="8164"/>
            <w:shd w:val="clear" w:color="auto" w:fill="EAF1FB"/>
          </w:tcPr>
          <w:p>
            <w:r>
              <w:rPr>
                <w:sz w:val="16"/>
              </w:rPr>
              <w:t>Introduction, results and conclusion.</w:t>
            </w:r>
          </w:p>
        </w:tc>
      </w:tr>
      <w:tr>
        <w:tc>
          <w:tcPr>
            <w:tcW w:type="dxa" w:w="1701"/>
          </w:tcPr>
          <w:p>
            <w:r>
              <w:rPr>
                <w:b/>
                <w:sz w:val="16"/>
              </w:rPr>
              <w:t>Can skim / skip</w:t>
            </w:r>
          </w:p>
        </w:tc>
        <w:tc>
          <w:tcPr>
            <w:tcW w:type="dxa" w:w="8164"/>
          </w:tcPr>
          <w:p>
            <w:r>
              <w:rPr>
                <w:sz w:val="16"/>
              </w:rPr>
              <w:t>—</w:t>
            </w:r>
          </w:p>
        </w:tc>
      </w:tr>
      <w:tr>
        <w:tc>
          <w:tcPr>
            <w:tcW w:type="dxa" w:w="1701"/>
          </w:tcPr>
          <w:p>
            <w:r>
              <w:rPr>
                <w:b/>
                <w:sz w:val="16"/>
              </w:rPr>
              <w:t>Key terms</w:t>
            </w:r>
          </w:p>
        </w:tc>
        <w:tc>
          <w:tcPr>
            <w:tcW w:type="dxa" w:w="8164"/>
          </w:tcPr>
          <w:p>
            <w:r>
              <w:rPr>
                <w:sz w:val="16"/>
              </w:rPr>
              <w:t>small open economy</w:t>
            </w:r>
          </w:p>
        </w:tc>
      </w:tr>
      <w:tr>
        <w:tc>
          <w:tcPr>
            <w:tcW w:type="dxa" w:w="1701"/>
          </w:tcPr>
          <w:p>
            <w:r>
              <w:rPr>
                <w:b/>
                <w:sz w:val="16"/>
              </w:rPr>
              <w:t>Strengths</w:t>
            </w:r>
          </w:p>
        </w:tc>
        <w:tc>
          <w:tcPr>
            <w:tcW w:type="dxa" w:w="8164"/>
          </w:tcPr>
          <w:p>
            <w:r>
              <w:rPr>
                <w:sz w:val="16"/>
              </w:rPr>
              <w:t>Irish-specific.</w:t>
            </w:r>
          </w:p>
        </w:tc>
      </w:tr>
      <w:tr>
        <w:tc>
          <w:tcPr>
            <w:tcW w:type="dxa" w:w="1701"/>
          </w:tcPr>
          <w:p>
            <w:r>
              <w:rPr>
                <w:b/>
                <w:sz w:val="16"/>
              </w:rPr>
              <w:t>Weaknesses / critique</w:t>
            </w:r>
          </w:p>
        </w:tc>
        <w:tc>
          <w:tcPr>
            <w:tcW w:type="dxa" w:w="8164"/>
          </w:tcPr>
          <w:p>
            <w:r>
              <w:rPr>
                <w:sz w:val="16"/>
              </w:rPr>
              <w:t>Old, pre-euro sample.</w:t>
            </w:r>
          </w:p>
        </w:tc>
      </w:tr>
      <w:tr>
        <w:tc>
          <w:tcPr>
            <w:tcW w:type="dxa" w:w="1701"/>
            <w:shd w:val="clear" w:color="auto" w:fill="EAF1FB"/>
          </w:tcPr>
          <w:p>
            <w:r>
              <w:rPr>
                <w:b/>
                <w:sz w:val="16"/>
              </w:rPr>
              <w:t>Use it as · where</w:t>
            </w:r>
          </w:p>
        </w:tc>
        <w:tc>
          <w:tcPr>
            <w:tcW w:type="dxa" w:w="8164"/>
            <w:shd w:val="clear" w:color="auto" w:fill="EAF1FB"/>
          </w:tcPr>
          <w:p>
            <w:r>
              <w:rPr>
                <w:sz w:val="16"/>
              </w:rPr>
              <w:t>Context · 2.3.1; H2d</w:t>
            </w:r>
          </w:p>
        </w:tc>
      </w:tr>
    </w:tbl>
    <w:p>
      <w:pPr>
        <w:spacing w:after="80"/>
      </w:pPr>
    </w:p>
    <w:tbl>
      <w:tblPr>
        <w:tblStyle w:val="TableGrid"/>
        <w:tblW w:type="auto" w:w="0"/>
        <w:jc w:val="center"/>
        <w:tblLook w:firstColumn="1" w:firstRow="1" w:lastColumn="0" w:lastRow="0" w:noHBand="0" w:noVBand="1" w:val="04A0"/>
      </w:tblPr>
      <w:tblGrid>
        <w:gridCol w:w="5100"/>
        <w:gridCol w:w="5100"/>
      </w:tblGrid>
      <w:tr>
        <w:tc>
          <w:tcPr>
            <w:tcW w:type="dxa" w:w="8164"/>
            <w:gridSpan w:val="2"/>
            <w:shd w:val="clear" w:color="auto" w:fill="1F4E79"/>
          </w:tcPr>
          <w:p>
            <w:r>
              <w:rPr>
                <w:color w:val="FFFFFF"/>
                <w:sz w:val="19"/>
                <w:b/>
              </w:rPr>
              <w:t xml:space="preserve">Gallagher, L. &amp; Twomey, C. (1998) Identifying the source of mean and volatility spillovers in Irish equities: a multivariate GARCH analysis. The Economic and Social Review, 29(4), 341–356.</w:t>
            </w:r>
          </w:p>
        </w:tc>
      </w:tr>
      <w:tr>
        <w:tc>
          <w:tcPr>
            <w:tcW w:type="dxa" w:w="1701"/>
            <w:shd w:val="clear" w:color="auto" w:fill="FFF2CC"/>
          </w:tcPr>
          <w:p>
            <w:r>
              <w:rPr>
                <w:b/>
                <w:sz w:val="16"/>
              </w:rPr>
              <w:t>Source basis</w:t>
            </w:r>
          </w:p>
        </w:tc>
        <w:tc>
          <w:tcPr>
            <w:tcW w:type="dxa" w:w="8164"/>
            <w:shd w:val="clear" w:color="auto" w:fill="FFF2CC"/>
          </w:tcPr>
          <w:p>
            <w:r>
              <w:rPr>
                <w:sz w:val="16"/>
              </w:rPr>
              <w:t>ABSTRACT / summary read in this session; read the full paper before relying on details</w:t>
            </w:r>
          </w:p>
        </w:tc>
      </w:tr>
      <w:tr>
        <w:tc>
          <w:tcPr>
            <w:tcW w:type="dxa" w:w="1701"/>
          </w:tcPr>
          <w:p>
            <w:r>
              <w:rPr>
                <w:b/>
                <w:sz w:val="16"/>
              </w:rPr>
              <w:t>Summary</w:t>
            </w:r>
          </w:p>
        </w:tc>
        <w:tc>
          <w:tcPr>
            <w:tcW w:type="dxa" w:w="8164"/>
          </w:tcPr>
          <w:p>
            <w:r>
              <w:rPr>
                <w:sz w:val="16"/>
              </w:rPr>
              <w:t>Finds UK spillovers into individual Irish stocks.</w:t>
            </w:r>
          </w:p>
        </w:tc>
      </w:tr>
      <w:tr>
        <w:tc>
          <w:tcPr>
            <w:tcW w:type="dxa" w:w="1701"/>
          </w:tcPr>
          <w:p>
            <w:r>
              <w:rPr>
                <w:b/>
                <w:sz w:val="16"/>
              </w:rPr>
              <w:t>Dataset</w:t>
            </w:r>
          </w:p>
        </w:tc>
        <w:tc>
          <w:tcPr>
            <w:tcW w:type="dxa" w:w="8164"/>
          </w:tcPr>
          <w:p>
            <w:r>
              <w:rPr>
                <w:sz w:val="16"/>
              </w:rPr>
              <w:t>Ten largest Irish stocks; Irish and UK markets.</w:t>
            </w:r>
          </w:p>
        </w:tc>
      </w:tr>
      <w:tr>
        <w:tc>
          <w:tcPr>
            <w:tcW w:type="dxa" w:w="1701"/>
          </w:tcPr>
          <w:p>
            <w:r>
              <w:rPr>
                <w:b/>
                <w:sz w:val="16"/>
              </w:rPr>
              <w:t>Methodology</w:t>
            </w:r>
          </w:p>
        </w:tc>
        <w:tc>
          <w:tcPr>
            <w:tcW w:type="dxa" w:w="8164"/>
          </w:tcPr>
          <w:p>
            <w:r>
              <w:rPr>
                <w:sz w:val="16"/>
              </w:rPr>
              <w:t>Multivariate VAR-GARCH.</w:t>
            </w:r>
          </w:p>
        </w:tc>
      </w:tr>
      <w:tr>
        <w:tc>
          <w:tcPr>
            <w:tcW w:type="dxa" w:w="1701"/>
          </w:tcPr>
          <w:p>
            <w:r>
              <w:rPr>
                <w:b/>
                <w:sz w:val="16"/>
              </w:rPr>
              <w:t>Results</w:t>
            </w:r>
          </w:p>
        </w:tc>
        <w:tc>
          <w:tcPr>
            <w:tcW w:type="dxa" w:w="8164"/>
          </w:tcPr>
          <w:p>
            <w:r>
              <w:rPr>
                <w:sz w:val="16"/>
              </w:rPr>
              <w:t>• Significant mean and volatility spillovers from the UK to Irish stocks.</w:t>
            </w:r>
          </w:p>
        </w:tc>
      </w:tr>
      <w:tr>
        <w:tc>
          <w:tcPr>
            <w:tcW w:type="dxa" w:w="1701"/>
            <w:shd w:val="clear" w:color="auto" w:fill="EAF1FB"/>
          </w:tcPr>
          <w:p>
            <w:r>
              <w:rPr>
                <w:b/>
                <w:sz w:val="16"/>
              </w:rPr>
              <w:t>How it relates to MY study</w:t>
            </w:r>
          </w:p>
        </w:tc>
        <w:tc>
          <w:tcPr>
            <w:tcW w:type="dxa" w:w="8164"/>
            <w:shd w:val="clear" w:color="auto" w:fill="EAF1FB"/>
          </w:tcPr>
          <w:p>
            <w:r>
              <w:rPr>
                <w:sz w:val="16"/>
              </w:rPr>
              <w:t>Why the FTSE robustness run matters (H2d).</w:t>
            </w:r>
          </w:p>
        </w:tc>
      </w:tr>
      <w:tr>
        <w:tc>
          <w:tcPr>
            <w:tcW w:type="dxa" w:w="1701"/>
            <w:shd w:val="clear" w:color="auto" w:fill="EAF1FB"/>
          </w:tcPr>
          <w:p>
            <w:r>
              <w:rPr>
                <w:b/>
                <w:sz w:val="16"/>
              </w:rPr>
              <w:t>Must read in the original</w:t>
            </w:r>
          </w:p>
        </w:tc>
        <w:tc>
          <w:tcPr>
            <w:tcW w:type="dxa" w:w="8164"/>
            <w:shd w:val="clear" w:color="auto" w:fill="EAF1FB"/>
          </w:tcPr>
          <w:p>
            <w:r>
              <w:rPr>
                <w:sz w:val="16"/>
              </w:rPr>
              <w:t>Whole paper.</w:t>
            </w:r>
          </w:p>
        </w:tc>
      </w:tr>
      <w:tr>
        <w:tc>
          <w:tcPr>
            <w:tcW w:type="dxa" w:w="1701"/>
          </w:tcPr>
          <w:p>
            <w:r>
              <w:rPr>
                <w:b/>
                <w:sz w:val="16"/>
              </w:rPr>
              <w:t>Can skim / skip</w:t>
            </w:r>
          </w:p>
        </w:tc>
        <w:tc>
          <w:tcPr>
            <w:tcW w:type="dxa" w:w="8164"/>
          </w:tcPr>
          <w:p>
            <w:r>
              <w:rPr>
                <w:sz w:val="16"/>
              </w:rPr>
              <w:t>—</w:t>
            </w:r>
          </w:p>
        </w:tc>
      </w:tr>
      <w:tr>
        <w:tc>
          <w:tcPr>
            <w:tcW w:type="dxa" w:w="1701"/>
          </w:tcPr>
          <w:p>
            <w:r>
              <w:rPr>
                <w:b/>
                <w:sz w:val="16"/>
              </w:rPr>
              <w:t>Key terms</w:t>
            </w:r>
          </w:p>
        </w:tc>
        <w:tc>
          <w:tcPr>
            <w:tcW w:type="dxa" w:w="8164"/>
          </w:tcPr>
          <w:p>
            <w:r>
              <w:rPr>
                <w:sz w:val="16"/>
              </w:rPr>
              <w:t>mean spillover; volatility spillover</w:t>
            </w:r>
          </w:p>
        </w:tc>
      </w:tr>
      <w:tr>
        <w:tc>
          <w:tcPr>
            <w:tcW w:type="dxa" w:w="1701"/>
          </w:tcPr>
          <w:p>
            <w:r>
              <w:rPr>
                <w:b/>
                <w:sz w:val="16"/>
              </w:rPr>
              <w:t>Strengths</w:t>
            </w:r>
          </w:p>
        </w:tc>
        <w:tc>
          <w:tcPr>
            <w:tcW w:type="dxa" w:w="8164"/>
          </w:tcPr>
          <w:p>
            <w:r>
              <w:rPr>
                <w:sz w:val="16"/>
              </w:rPr>
              <w:t>Irish; multivariate GARCH.</w:t>
            </w:r>
          </w:p>
        </w:tc>
      </w:tr>
      <w:tr>
        <w:tc>
          <w:tcPr>
            <w:tcW w:type="dxa" w:w="1701"/>
          </w:tcPr>
          <w:p>
            <w:r>
              <w:rPr>
                <w:b/>
                <w:sz w:val="16"/>
              </w:rPr>
              <w:t>Weaknesses / critique</w:t>
            </w:r>
          </w:p>
        </w:tc>
        <w:tc>
          <w:tcPr>
            <w:tcW w:type="dxa" w:w="8164"/>
          </w:tcPr>
          <w:p>
            <w:r>
              <w:rPr>
                <w:sz w:val="16"/>
              </w:rPr>
              <w:t>1990s, pre-euro.</w:t>
            </w:r>
          </w:p>
        </w:tc>
      </w:tr>
      <w:tr>
        <w:tc>
          <w:tcPr>
            <w:tcW w:type="dxa" w:w="1701"/>
            <w:shd w:val="clear" w:color="auto" w:fill="EAF1FB"/>
          </w:tcPr>
          <w:p>
            <w:r>
              <w:rPr>
                <w:b/>
                <w:sz w:val="16"/>
              </w:rPr>
              <w:t>Use it as · where</w:t>
            </w:r>
          </w:p>
        </w:tc>
        <w:tc>
          <w:tcPr>
            <w:tcW w:type="dxa" w:w="8164"/>
            <w:shd w:val="clear" w:color="auto" w:fill="EAF1FB"/>
          </w:tcPr>
          <w:p>
            <w:r>
              <w:rPr>
                <w:sz w:val="16"/>
              </w:rPr>
              <w:t>Support · 2.3.1; H2d</w:t>
            </w:r>
          </w:p>
        </w:tc>
      </w:tr>
    </w:tbl>
    <w:p>
      <w:pPr>
        <w:spacing w:after="80"/>
      </w:pPr>
    </w:p>
    <w:p>
      <w:pPr>
        <w:pStyle w:val="Heading2"/>
      </w:pPr>
      <w:r>
        <w:rPr>
          <w:color w:val="1F4E79"/>
        </w:rPr>
        <w:t>D3. Section 2.4 — How shocks travel</w:t>
      </w:r>
    </w:p>
    <w:tbl>
      <w:tblPr>
        <w:tblStyle w:val="TableGrid"/>
        <w:tblW w:type="auto" w:w="0"/>
        <w:jc w:val="center"/>
        <w:tblLook w:firstColumn="1" w:firstRow="1" w:lastColumn="0" w:lastRow="0" w:noHBand="0" w:noVBand="1" w:val="04A0"/>
      </w:tblPr>
      <w:tblGrid>
        <w:gridCol w:w="5100"/>
        <w:gridCol w:w="5100"/>
      </w:tblGrid>
      <w:tr>
        <w:tc>
          <w:tcPr>
            <w:tcW w:type="dxa" w:w="8164"/>
            <w:gridSpan w:val="2"/>
            <w:shd w:val="clear" w:color="auto" w:fill="1F4E79"/>
          </w:tcPr>
          <w:p>
            <w:r>
              <w:rPr>
                <w:b/>
                <w:color w:val="FFFFFF"/>
                <w:sz w:val="19"/>
              </w:rPr>
              <w:t>Forbes, K. &amp; Rigobon, R. (2002) No contagion, only interdependence. JF, 57(5), 2223–2261 (NBER WP 7267).</w:t>
            </w:r>
          </w:p>
        </w:tc>
      </w:tr>
      <w:tr>
        <w:tc>
          <w:tcPr>
            <w:tcW w:type="dxa" w:w="1701"/>
            <w:shd w:val="clear" w:color="auto" w:fill="D9EAD3"/>
          </w:tcPr>
          <w:p>
            <w:r>
              <w:rPr>
                <w:b/>
                <w:sz w:val="16"/>
              </w:rPr>
              <w:t>Source basis</w:t>
            </w:r>
          </w:p>
        </w:tc>
        <w:tc>
          <w:tcPr>
            <w:tcW w:type="dxa" w:w="8164"/>
            <w:shd w:val="clear" w:color="auto" w:fill="D9EAD3"/>
          </w:tcPr>
          <w:p>
            <w:r>
              <w:rPr>
                <w:sz w:val="16"/>
              </w:rPr>
              <w:t>FULL TEXT read in this session; page numbers refer to the open-access version in Part G</w:t>
            </w:r>
          </w:p>
        </w:tc>
      </w:tr>
      <w:tr>
        <w:tc>
          <w:tcPr>
            <w:tcW w:type="dxa" w:w="1701"/>
          </w:tcPr>
          <w:p>
            <w:r>
              <w:rPr>
                <w:b/>
                <w:sz w:val="16"/>
              </w:rPr>
              <w:t>Summary</w:t>
            </w:r>
          </w:p>
        </w:tc>
        <w:tc>
          <w:tcPr>
            <w:tcW w:type="dxa" w:w="8164"/>
          </w:tcPr>
          <w:p>
            <w:r>
              <w:rPr>
                <w:sz w:val="16"/>
              </w:rPr>
              <w:t>Shows that the standard test for contagion is biased because correlations rise automatically with volatility; after correcting, famous ‘contagions’ disappear.</w:t>
            </w:r>
          </w:p>
        </w:tc>
      </w:tr>
      <w:tr>
        <w:tc>
          <w:tcPr>
            <w:tcW w:type="dxa" w:w="1701"/>
          </w:tcPr>
          <w:p>
            <w:r>
              <w:rPr>
                <w:b/>
                <w:sz w:val="16"/>
              </w:rPr>
              <w:t>Dataset</w:t>
            </w:r>
          </w:p>
        </w:tc>
        <w:tc>
          <w:tcPr>
            <w:tcW w:type="dxa" w:w="8164"/>
          </w:tcPr>
          <w:p>
            <w:r>
              <w:rPr>
                <w:sz w:val="16"/>
              </w:rPr>
              <w:t>Stock markets in the 1997 East Asian crisis, 1994 Mexican crisis and 1987 US crash.</w:t>
            </w:r>
          </w:p>
        </w:tc>
      </w:tr>
      <w:tr>
        <w:tc>
          <w:tcPr>
            <w:tcW w:type="dxa" w:w="1701"/>
          </w:tcPr>
          <w:p>
            <w:r>
              <w:rPr>
                <w:b/>
                <w:sz w:val="16"/>
              </w:rPr>
              <w:t>Methodology</w:t>
            </w:r>
          </w:p>
        </w:tc>
        <w:tc>
          <w:tcPr>
            <w:tcW w:type="dxa" w:w="8164"/>
          </w:tcPr>
          <w:p>
            <w:r>
              <w:rPr>
                <w:sz w:val="16"/>
              </w:rPr>
              <w:t>Correlation tests with and without a volatility adjustment; two-day rolling-average returns to handle different opening hours; interest-rate controls.</w:t>
            </w:r>
          </w:p>
        </w:tc>
      </w:tr>
      <w:tr>
        <w:tc>
          <w:tcPr>
            <w:tcW w:type="dxa" w:w="1701"/>
          </w:tcPr>
          <w:p>
            <w:r>
              <w:rPr>
                <w:b/>
                <w:sz w:val="16"/>
              </w:rPr>
              <w:t>Results</w:t>
            </w:r>
          </w:p>
        </w:tc>
        <w:tc>
          <w:tcPr>
            <w:tcW w:type="dxa" w:w="8164"/>
          </w:tcPr>
          <w:p>
            <w:r>
              <w:rPr>
                <w:sz w:val="16"/>
              </w:rPr>
              <w:t>• Unadjusted correlation is biased upward in turmoil.</w:t>
            </w:r>
          </w:p>
          <w:p>
            <w:r>
              <w:rPr>
                <w:sz w:val="16"/>
              </w:rPr>
              <w:t>• Unadjusted tests find contagion in several countries; adjusted tests find virtually none.</w:t>
            </w:r>
          </w:p>
          <w:p>
            <w:r>
              <w:rPr>
                <w:sz w:val="16"/>
              </w:rPr>
              <w:t>• Crisis co-movement reflects strong existing links (interdependence).</w:t>
            </w:r>
          </w:p>
          <w:p>
            <w:r>
              <w:rPr>
                <w:sz w:val="16"/>
              </w:rPr>
              <w:t>• The adjusted measure can still be biased by endogeneity or common shocks.</w:t>
            </w:r>
          </w:p>
        </w:tc>
      </w:tr>
      <w:tr>
        <w:tc>
          <w:tcPr>
            <w:tcW w:type="dxa" w:w="1701"/>
            <w:shd w:val="clear" w:color="auto" w:fill="EAF1FB"/>
          </w:tcPr>
          <w:p>
            <w:r>
              <w:rPr>
                <w:b/>
                <w:sz w:val="16"/>
              </w:rPr>
              <w:t>How it relates to MY study</w:t>
            </w:r>
          </w:p>
        </w:tc>
        <w:tc>
          <w:tcPr>
            <w:tcW w:type="dxa" w:w="8164"/>
            <w:shd w:val="clear" w:color="auto" w:fill="EAF1FB"/>
          </w:tcPr>
          <w:p>
            <w:r>
              <w:rPr>
                <w:sz w:val="16"/>
              </w:rPr>
              <w:t>Your key caution: a rising SHAP share in a crisis may reflect volatility, not a new channel (Figure H3). Their two-day averaging is an alternative to your time alignment.</w:t>
            </w:r>
          </w:p>
        </w:tc>
      </w:tr>
      <w:tr>
        <w:tc>
          <w:tcPr>
            <w:tcW w:type="dxa" w:w="1701"/>
            <w:shd w:val="clear" w:color="auto" w:fill="EAF1FB"/>
          </w:tcPr>
          <w:p>
            <w:r>
              <w:rPr>
                <w:b/>
                <w:sz w:val="16"/>
              </w:rPr>
              <w:t>Must read in the original</w:t>
            </w:r>
          </w:p>
        </w:tc>
        <w:tc>
          <w:tcPr>
            <w:tcW w:type="dxa" w:w="8164"/>
            <w:shd w:val="clear" w:color="auto" w:fill="EAF1FB"/>
          </w:tcPr>
          <w:p>
            <w:r>
              <w:rPr>
                <w:sz w:val="16"/>
              </w:rPr>
              <w:t>Introduction (pp.3–4); 2.2 framework (pp.10–11); 3.1 bias in the correlation coefficient (pp.13–16) — the core; Tables 2–3 (pp.22–24); conclusions (pp.36–37).</w:t>
            </w:r>
          </w:p>
        </w:tc>
      </w:tr>
      <w:tr>
        <w:tc>
          <w:tcPr>
            <w:tcW w:type="dxa" w:w="1701"/>
          </w:tcPr>
          <w:p>
            <w:r>
              <w:rPr>
                <w:b/>
                <w:sz w:val="16"/>
              </w:rPr>
              <w:t>Can skim / skip</w:t>
            </w:r>
          </w:p>
        </w:tc>
        <w:tc>
          <w:tcPr>
            <w:tcW w:type="dxa" w:w="8164"/>
          </w:tcPr>
          <w:p>
            <w:r>
              <w:rPr>
                <w:sz w:val="16"/>
              </w:rPr>
              <w:t>Robustness tests 4.1 (pp.25–30).</w:t>
            </w:r>
          </w:p>
        </w:tc>
      </w:tr>
      <w:tr>
        <w:tc>
          <w:tcPr>
            <w:tcW w:type="dxa" w:w="1701"/>
          </w:tcPr>
          <w:p>
            <w:r>
              <w:rPr>
                <w:b/>
                <w:sz w:val="16"/>
              </w:rPr>
              <w:t>Key terms</w:t>
            </w:r>
          </w:p>
        </w:tc>
        <w:tc>
          <w:tcPr>
            <w:tcW w:type="dxa" w:w="8164"/>
          </w:tcPr>
          <w:p>
            <w:r>
              <w:rPr>
                <w:sz w:val="16"/>
              </w:rPr>
              <w:t>interdependence; contagion; conditional correlation; heteroskedasticity bias</w:t>
            </w:r>
          </w:p>
        </w:tc>
      </w:tr>
      <w:tr>
        <w:tc>
          <w:tcPr>
            <w:tcW w:type="dxa" w:w="1701"/>
          </w:tcPr>
          <w:p>
            <w:r>
              <w:rPr>
                <w:b/>
                <w:sz w:val="16"/>
              </w:rPr>
              <w:t>Strengths</w:t>
            </w:r>
          </w:p>
        </w:tc>
        <w:tc>
          <w:tcPr>
            <w:tcW w:type="dxa" w:w="8164"/>
          </w:tcPr>
          <w:p>
            <w:r>
              <w:rPr>
                <w:sz w:val="16"/>
              </w:rPr>
              <w:t>Simple, powerful critique.</w:t>
            </w:r>
          </w:p>
        </w:tc>
      </w:tr>
      <w:tr>
        <w:tc>
          <w:tcPr>
            <w:tcW w:type="dxa" w:w="1701"/>
          </w:tcPr>
          <w:p>
            <w:r>
              <w:rPr>
                <w:b/>
                <w:sz w:val="16"/>
              </w:rPr>
              <w:t>Weaknesses / critique</w:t>
            </w:r>
          </w:p>
        </w:tc>
        <w:tc>
          <w:tcPr>
            <w:tcW w:type="dxa" w:w="8164"/>
          </w:tcPr>
          <w:p>
            <w:r>
              <w:rPr>
                <w:sz w:val="16"/>
              </w:rPr>
              <w:t>Assumes no endogeneity/common shocks.</w:t>
            </w:r>
          </w:p>
        </w:tc>
      </w:tr>
      <w:tr>
        <w:tc>
          <w:tcPr>
            <w:tcW w:type="dxa" w:w="1701"/>
            <w:shd w:val="clear" w:color="auto" w:fill="EAF1FB"/>
          </w:tcPr>
          <w:p>
            <w:r>
              <w:rPr>
                <w:b/>
                <w:sz w:val="16"/>
              </w:rPr>
              <w:t>Use it as · where</w:t>
            </w:r>
          </w:p>
        </w:tc>
        <w:tc>
          <w:tcPr>
            <w:tcW w:type="dxa" w:w="8164"/>
            <w:shd w:val="clear" w:color="auto" w:fill="EAF1FB"/>
          </w:tcPr>
          <w:p>
            <w:r>
              <w:rPr>
                <w:sz w:val="16"/>
              </w:rPr>
              <w:t>Method + caution · 2.4; Limitations</w:t>
            </w:r>
          </w:p>
        </w:tc>
      </w:tr>
    </w:tbl>
    <w:p>
      <w:pPr>
        <w:spacing w:after="80"/>
      </w:pPr>
    </w:p>
    <w:tbl>
      <w:tblPr>
        <w:tblStyle w:val="TableGrid"/>
        <w:tblW w:type="auto" w:w="0"/>
        <w:jc w:val="center"/>
        <w:tblLook w:firstColumn="1" w:firstRow="1" w:lastColumn="0" w:lastRow="0" w:noHBand="0" w:noVBand="1" w:val="04A0"/>
      </w:tblPr>
      <w:tblGrid>
        <w:gridCol w:w="5100"/>
        <w:gridCol w:w="5100"/>
      </w:tblGrid>
      <w:tr>
        <w:tc>
          <w:tcPr>
            <w:tcW w:type="dxa" w:w="8164"/>
            <w:gridSpan w:val="2"/>
            <w:shd w:val="clear" w:color="auto" w:fill="1F4E79"/>
          </w:tcPr>
          <w:p>
            <w:r>
              <w:rPr>
                <w:b/>
                <w:color w:val="FFFFFF"/>
                <w:sz w:val="19"/>
              </w:rPr>
              <w:t>Engle, R., Ito, T. &amp; Lin, W.-L. (1990) Meteor showers or heat waves? Econometrica, 58(3), 525–542 (NBER WP 2609).</w:t>
            </w:r>
          </w:p>
        </w:tc>
      </w:tr>
      <w:tr>
        <w:tc>
          <w:tcPr>
            <w:tcW w:type="dxa" w:w="1701"/>
            <w:shd w:val="clear" w:color="auto" w:fill="D9EAD3"/>
          </w:tcPr>
          <w:p>
            <w:r>
              <w:rPr>
                <w:b/>
                <w:sz w:val="16"/>
              </w:rPr>
              <w:t>Source basis</w:t>
            </w:r>
          </w:p>
        </w:tc>
        <w:tc>
          <w:tcPr>
            <w:tcW w:type="dxa" w:w="8164"/>
            <w:shd w:val="clear" w:color="auto" w:fill="D9EAD3"/>
          </w:tcPr>
          <w:p>
            <w:r>
              <w:rPr>
                <w:sz w:val="16"/>
              </w:rPr>
              <w:t>FULL TEXT read in this session; page numbers refer to the open-access version in Part G</w:t>
            </w:r>
          </w:p>
        </w:tc>
      </w:tr>
      <w:tr>
        <w:tc>
          <w:tcPr>
            <w:tcW w:type="dxa" w:w="1701"/>
          </w:tcPr>
          <w:p>
            <w:r>
              <w:rPr>
                <w:b/>
                <w:sz w:val="16"/>
              </w:rPr>
              <w:t>Summary</w:t>
            </w:r>
          </w:p>
        </w:tc>
        <w:tc>
          <w:tcPr>
            <w:tcW w:type="dxa" w:w="8164"/>
          </w:tcPr>
          <w:p>
            <w:r>
              <w:rPr>
                <w:sz w:val="16"/>
              </w:rPr>
              <w:t>Tests whether volatility stays local (heat wave) or travels between markets (meteor shower).</w:t>
            </w:r>
          </w:p>
        </w:tc>
      </w:tr>
      <w:tr>
        <w:tc>
          <w:tcPr>
            <w:tcW w:type="dxa" w:w="1701"/>
          </w:tcPr>
          <w:p>
            <w:r>
              <w:rPr>
                <w:b/>
                <w:sz w:val="16"/>
              </w:rPr>
              <w:t>Dataset</w:t>
            </w:r>
          </w:p>
        </w:tc>
        <w:tc>
          <w:tcPr>
            <w:tcW w:type="dxa" w:w="8164"/>
          </w:tcPr>
          <w:p>
            <w:r>
              <w:rPr>
                <w:sz w:val="16"/>
              </w:rPr>
              <w:t>Yen/dollar exchange rate across Tokyo, European and New York segments.</w:t>
            </w:r>
          </w:p>
        </w:tc>
      </w:tr>
      <w:tr>
        <w:tc>
          <w:tcPr>
            <w:tcW w:type="dxa" w:w="1701"/>
          </w:tcPr>
          <w:p>
            <w:r>
              <w:rPr>
                <w:b/>
                <w:sz w:val="16"/>
              </w:rPr>
              <w:t>Methodology</w:t>
            </w:r>
          </w:p>
        </w:tc>
        <w:tc>
          <w:tcPr>
            <w:tcW w:type="dxa" w:w="8164"/>
          </w:tcPr>
          <w:p>
            <w:r>
              <w:rPr>
                <w:sz w:val="16"/>
              </w:rPr>
              <w:t>ARCH models across intra-daily segments; volatility VAR.</w:t>
            </w:r>
          </w:p>
        </w:tc>
      </w:tr>
      <w:tr>
        <w:tc>
          <w:tcPr>
            <w:tcW w:type="dxa" w:w="1701"/>
          </w:tcPr>
          <w:p>
            <w:r>
              <w:rPr>
                <w:b/>
                <w:sz w:val="16"/>
              </w:rPr>
              <w:t>Results</w:t>
            </w:r>
          </w:p>
        </w:tc>
        <w:tc>
          <w:tcPr>
            <w:tcW w:type="dxa" w:w="8164"/>
          </w:tcPr>
          <w:p>
            <w:r>
              <w:rPr>
                <w:sz w:val="16"/>
              </w:rPr>
              <w:t>• The heat-wave hypothesis is rejected: volatility spills over between markets.</w:t>
            </w:r>
          </w:p>
          <w:p>
            <w:r>
              <w:rPr>
                <w:sz w:val="16"/>
              </w:rPr>
              <w:t>• News in one market affects volatility in the next.</w:t>
            </w:r>
          </w:p>
        </w:tc>
      </w:tr>
      <w:tr>
        <w:tc>
          <w:tcPr>
            <w:tcW w:type="dxa" w:w="1701"/>
            <w:shd w:val="clear" w:color="auto" w:fill="EAF1FB"/>
          </w:tcPr>
          <w:p>
            <w:r>
              <w:rPr>
                <w:b/>
                <w:sz w:val="16"/>
              </w:rPr>
              <w:t>How it relates to MY study</w:t>
            </w:r>
          </w:p>
        </w:tc>
        <w:tc>
          <w:tcPr>
            <w:tcW w:type="dxa" w:w="8164"/>
            <w:shd w:val="clear" w:color="auto" w:fill="EAF1FB"/>
          </w:tcPr>
          <w:p>
            <w:r>
              <w:rPr>
                <w:sz w:val="16"/>
              </w:rPr>
              <w:t>Ready-made framing for your domestic vs foreign channels.</w:t>
            </w:r>
          </w:p>
        </w:tc>
      </w:tr>
      <w:tr>
        <w:tc>
          <w:tcPr>
            <w:tcW w:type="dxa" w:w="1701"/>
            <w:shd w:val="clear" w:color="auto" w:fill="EAF1FB"/>
          </w:tcPr>
          <w:p>
            <w:r>
              <w:rPr>
                <w:b/>
                <w:sz w:val="16"/>
              </w:rPr>
              <w:t>Must read in the original</w:t>
            </w:r>
          </w:p>
        </w:tc>
        <w:tc>
          <w:tcPr>
            <w:tcW w:type="dxa" w:w="8164"/>
            <w:shd w:val="clear" w:color="auto" w:fill="EAF1FB"/>
          </w:tcPr>
          <w:p>
            <w:r>
              <w:rPr>
                <w:sz w:val="16"/>
              </w:rPr>
              <w:t>Abstract and introduction; heat-wave section 4.1 (p.11); tables of tests (pp.19–20).</w:t>
            </w:r>
          </w:p>
        </w:tc>
      </w:tr>
      <w:tr>
        <w:tc>
          <w:tcPr>
            <w:tcW w:type="dxa" w:w="1701"/>
          </w:tcPr>
          <w:p>
            <w:r>
              <w:rPr>
                <w:b/>
                <w:sz w:val="16"/>
              </w:rPr>
              <w:t>Can skim / skip</w:t>
            </w:r>
          </w:p>
        </w:tc>
        <w:tc>
          <w:tcPr>
            <w:tcW w:type="dxa" w:w="8164"/>
          </w:tcPr>
          <w:p>
            <w:r>
              <w:rPr>
                <w:sz w:val="16"/>
              </w:rPr>
              <w:t>Estimation details.</w:t>
            </w:r>
          </w:p>
        </w:tc>
      </w:tr>
      <w:tr>
        <w:tc>
          <w:tcPr>
            <w:tcW w:type="dxa" w:w="1701"/>
          </w:tcPr>
          <w:p>
            <w:r>
              <w:rPr>
                <w:b/>
                <w:sz w:val="16"/>
              </w:rPr>
              <w:t>Key terms</w:t>
            </w:r>
          </w:p>
        </w:tc>
        <w:tc>
          <w:tcPr>
            <w:tcW w:type="dxa" w:w="8164"/>
          </w:tcPr>
          <w:p>
            <w:r>
              <w:rPr>
                <w:sz w:val="16"/>
              </w:rPr>
              <w:t>heat wave; meteor shower; market dexterity</w:t>
            </w:r>
          </w:p>
        </w:tc>
      </w:tr>
      <w:tr>
        <w:tc>
          <w:tcPr>
            <w:tcW w:type="dxa" w:w="1701"/>
          </w:tcPr>
          <w:p>
            <w:r>
              <w:rPr>
                <w:b/>
                <w:sz w:val="16"/>
              </w:rPr>
              <w:t>Strengths</w:t>
            </w:r>
          </w:p>
        </w:tc>
        <w:tc>
          <w:tcPr>
            <w:tcW w:type="dxa" w:w="8164"/>
          </w:tcPr>
          <w:p>
            <w:r>
              <w:rPr>
                <w:sz w:val="16"/>
              </w:rPr>
              <w:t>Elegant hypothesis.</w:t>
            </w:r>
          </w:p>
        </w:tc>
      </w:tr>
      <w:tr>
        <w:tc>
          <w:tcPr>
            <w:tcW w:type="dxa" w:w="1701"/>
          </w:tcPr>
          <w:p>
            <w:r>
              <w:rPr>
                <w:b/>
                <w:sz w:val="16"/>
              </w:rPr>
              <w:t>Weaknesses / critique</w:t>
            </w:r>
          </w:p>
        </w:tc>
        <w:tc>
          <w:tcPr>
            <w:tcW w:type="dxa" w:w="8164"/>
          </w:tcPr>
          <w:p>
            <w:r>
              <w:rPr>
                <w:sz w:val="16"/>
              </w:rPr>
              <w:t>FX, 1980s; scanned PDF is hard to read — use JSTOR version.</w:t>
            </w:r>
          </w:p>
        </w:tc>
      </w:tr>
      <w:tr>
        <w:tc>
          <w:tcPr>
            <w:tcW w:type="dxa" w:w="1701"/>
            <w:shd w:val="clear" w:color="auto" w:fill="EAF1FB"/>
          </w:tcPr>
          <w:p>
            <w:r>
              <w:rPr>
                <w:b/>
                <w:sz w:val="16"/>
              </w:rPr>
              <w:t>Use it as · where</w:t>
            </w:r>
          </w:p>
        </w:tc>
        <w:tc>
          <w:tcPr>
            <w:tcW w:type="dxa" w:w="8164"/>
            <w:shd w:val="clear" w:color="auto" w:fill="EAF1FB"/>
          </w:tcPr>
          <w:p>
            <w:r>
              <w:rPr>
                <w:sz w:val="16"/>
              </w:rPr>
              <w:t>Framing · 2.4; RQ2</w:t>
            </w:r>
          </w:p>
        </w:tc>
      </w:tr>
    </w:tbl>
    <w:p>
      <w:pPr>
        <w:spacing w:after="80"/>
      </w:pPr>
    </w:p>
    <w:tbl>
      <w:tblPr>
        <w:tblStyle w:val="TableGrid"/>
        <w:tblW w:type="auto" w:w="0"/>
        <w:jc w:val="center"/>
        <w:tblLook w:firstColumn="1" w:firstRow="1" w:lastColumn="0" w:lastRow="0" w:noHBand="0" w:noVBand="1" w:val="04A0"/>
      </w:tblPr>
      <w:tblGrid>
        <w:gridCol w:w="5100"/>
        <w:gridCol w:w="5100"/>
      </w:tblGrid>
      <w:tr>
        <w:tc>
          <w:tcPr>
            <w:tcW w:type="dxa" w:w="8164"/>
            <w:gridSpan w:val="2"/>
            <w:shd w:val="clear" w:color="auto" w:fill="1F4E79"/>
          </w:tcPr>
          <w:p>
            <w:r>
              <w:rPr>
                <w:b/>
                <w:color w:val="FFFFFF"/>
                <w:sz w:val="19"/>
              </w:rPr>
              <w:t>Hamao, Y., Masulis, R. &amp; Ng, V. (1990) Correlations in price changes and volatility across international stock markets. RFS, 3(2), 281–307.</w:t>
            </w:r>
          </w:p>
        </w:tc>
      </w:tr>
      <w:tr>
        <w:tc>
          <w:tcPr>
            <w:tcW w:type="dxa" w:w="1701"/>
            <w:shd w:val="clear" w:color="auto" w:fill="FFF2CC"/>
          </w:tcPr>
          <w:p>
            <w:r>
              <w:rPr>
                <w:b/>
                <w:sz w:val="16"/>
              </w:rPr>
              <w:t>Source basis</w:t>
            </w:r>
          </w:p>
        </w:tc>
        <w:tc>
          <w:tcPr>
            <w:tcW w:type="dxa" w:w="8164"/>
            <w:shd w:val="clear" w:color="auto" w:fill="FFF2CC"/>
          </w:tcPr>
          <w:p>
            <w:r>
              <w:rPr>
                <w:sz w:val="16"/>
              </w:rPr>
              <w:t>ABSTRACT / summary read in this session; read the full paper before relying on details</w:t>
            </w:r>
          </w:p>
        </w:tc>
      </w:tr>
      <w:tr>
        <w:tc>
          <w:tcPr>
            <w:tcW w:type="dxa" w:w="1701"/>
          </w:tcPr>
          <w:p>
            <w:r>
              <w:rPr>
                <w:b/>
                <w:sz w:val="16"/>
              </w:rPr>
              <w:t>Summary</w:t>
            </w:r>
          </w:p>
        </w:tc>
        <w:tc>
          <w:tcPr>
            <w:tcW w:type="dxa" w:w="8164"/>
          </w:tcPr>
          <w:p>
            <w:r>
              <w:rPr>
                <w:sz w:val="16"/>
              </w:rPr>
              <w:t>Studies spillovers between Tokyo, London and New York using opening and closing prices.</w:t>
            </w:r>
          </w:p>
        </w:tc>
      </w:tr>
      <w:tr>
        <w:tc>
          <w:tcPr>
            <w:tcW w:type="dxa" w:w="1701"/>
          </w:tcPr>
          <w:p>
            <w:r>
              <w:rPr>
                <w:b/>
                <w:sz w:val="16"/>
              </w:rPr>
              <w:t>Dataset</w:t>
            </w:r>
          </w:p>
        </w:tc>
        <w:tc>
          <w:tcPr>
            <w:tcW w:type="dxa" w:w="8164"/>
          </w:tcPr>
          <w:p>
            <w:r>
              <w:rPr>
                <w:sz w:val="16"/>
              </w:rPr>
              <w:t>Daily open and close prices of major indices.</w:t>
            </w:r>
          </w:p>
        </w:tc>
      </w:tr>
      <w:tr>
        <w:tc>
          <w:tcPr>
            <w:tcW w:type="dxa" w:w="1701"/>
          </w:tcPr>
          <w:p>
            <w:r>
              <w:rPr>
                <w:b/>
                <w:sz w:val="16"/>
              </w:rPr>
              <w:t>Methodology</w:t>
            </w:r>
          </w:p>
        </w:tc>
        <w:tc>
          <w:tcPr>
            <w:tcW w:type="dxa" w:w="8164"/>
          </w:tcPr>
          <w:p>
            <w:r>
              <w:rPr>
                <w:sz w:val="16"/>
              </w:rPr>
              <w:t>ARCH-family models.</w:t>
            </w:r>
          </w:p>
        </w:tc>
      </w:tr>
      <w:tr>
        <w:tc>
          <w:tcPr>
            <w:tcW w:type="dxa" w:w="1701"/>
          </w:tcPr>
          <w:p>
            <w:r>
              <w:rPr>
                <w:b/>
                <w:sz w:val="16"/>
              </w:rPr>
              <w:t>Results</w:t>
            </w:r>
          </w:p>
        </w:tc>
        <w:tc>
          <w:tcPr>
            <w:tcW w:type="dxa" w:w="8164"/>
          </w:tcPr>
          <w:p>
            <w:r>
              <w:rPr>
                <w:sz w:val="16"/>
              </w:rPr>
              <w:t>• Volatility spillovers from New York to Tokyo, London to Tokyo, New York to London.</w:t>
            </w:r>
          </w:p>
        </w:tc>
      </w:tr>
      <w:tr>
        <w:tc>
          <w:tcPr>
            <w:tcW w:type="dxa" w:w="1701"/>
            <w:shd w:val="clear" w:color="auto" w:fill="EAF1FB"/>
          </w:tcPr>
          <w:p>
            <w:r>
              <w:rPr>
                <w:b/>
                <w:sz w:val="16"/>
              </w:rPr>
              <w:t>How it relates to MY study</w:t>
            </w:r>
          </w:p>
        </w:tc>
        <w:tc>
          <w:tcPr>
            <w:tcW w:type="dxa" w:w="8164"/>
            <w:shd w:val="clear" w:color="auto" w:fill="EAF1FB"/>
          </w:tcPr>
          <w:p>
            <w:r>
              <w:rPr>
                <w:sz w:val="16"/>
              </w:rPr>
              <w:t>Justifies your time-zone alignment (Figure H4).</w:t>
            </w:r>
          </w:p>
        </w:tc>
      </w:tr>
      <w:tr>
        <w:tc>
          <w:tcPr>
            <w:tcW w:type="dxa" w:w="1701"/>
            <w:shd w:val="clear" w:color="auto" w:fill="EAF1FB"/>
          </w:tcPr>
          <w:p>
            <w:r>
              <w:rPr>
                <w:b/>
                <w:sz w:val="16"/>
              </w:rPr>
              <w:t>Must read in the original</w:t>
            </w:r>
          </w:p>
        </w:tc>
        <w:tc>
          <w:tcPr>
            <w:tcW w:type="dxa" w:w="8164"/>
            <w:shd w:val="clear" w:color="auto" w:fill="EAF1FB"/>
          </w:tcPr>
          <w:p>
            <w:r>
              <w:rPr>
                <w:sz w:val="16"/>
              </w:rPr>
              <w:t>Introduction and conclusion.</w:t>
            </w:r>
          </w:p>
        </w:tc>
      </w:tr>
      <w:tr>
        <w:tc>
          <w:tcPr>
            <w:tcW w:type="dxa" w:w="1701"/>
          </w:tcPr>
          <w:p>
            <w:r>
              <w:rPr>
                <w:b/>
                <w:sz w:val="16"/>
              </w:rPr>
              <w:t>Can skim / skip</w:t>
            </w:r>
          </w:p>
        </w:tc>
        <w:tc>
          <w:tcPr>
            <w:tcW w:type="dxa" w:w="8164"/>
          </w:tcPr>
          <w:p>
            <w:r>
              <w:rPr>
                <w:sz w:val="16"/>
              </w:rPr>
              <w:t>—</w:t>
            </w:r>
          </w:p>
        </w:tc>
      </w:tr>
      <w:tr>
        <w:tc>
          <w:tcPr>
            <w:tcW w:type="dxa" w:w="1701"/>
          </w:tcPr>
          <w:p>
            <w:r>
              <w:rPr>
                <w:b/>
                <w:sz w:val="16"/>
              </w:rPr>
              <w:t>Key terms</w:t>
            </w:r>
          </w:p>
        </w:tc>
        <w:tc>
          <w:tcPr>
            <w:tcW w:type="dxa" w:w="8164"/>
          </w:tcPr>
          <w:p>
            <w:r>
              <w:rPr>
                <w:sz w:val="16"/>
              </w:rPr>
              <w:t>open-to-close vs close-to-open returns</w:t>
            </w:r>
          </w:p>
        </w:tc>
      </w:tr>
      <w:tr>
        <w:tc>
          <w:tcPr>
            <w:tcW w:type="dxa" w:w="1701"/>
          </w:tcPr>
          <w:p>
            <w:r>
              <w:rPr>
                <w:b/>
                <w:sz w:val="16"/>
              </w:rPr>
              <w:t>Strengths</w:t>
            </w:r>
          </w:p>
        </w:tc>
        <w:tc>
          <w:tcPr>
            <w:tcW w:type="dxa" w:w="8164"/>
          </w:tcPr>
          <w:p>
            <w:r>
              <w:rPr>
                <w:sz w:val="16"/>
              </w:rPr>
              <w:t>Classic.</w:t>
            </w:r>
          </w:p>
        </w:tc>
      </w:tr>
      <w:tr>
        <w:tc>
          <w:tcPr>
            <w:tcW w:type="dxa" w:w="1701"/>
          </w:tcPr>
          <w:p>
            <w:r>
              <w:rPr>
                <w:b/>
                <w:sz w:val="16"/>
              </w:rPr>
              <w:t>Weaknesses / critique</w:t>
            </w:r>
          </w:p>
        </w:tc>
        <w:tc>
          <w:tcPr>
            <w:tcW w:type="dxa" w:w="8164"/>
          </w:tcPr>
          <w:p>
            <w:r>
              <w:rPr>
                <w:sz w:val="16"/>
              </w:rPr>
              <w:t>Three markets.</w:t>
            </w:r>
          </w:p>
        </w:tc>
      </w:tr>
      <w:tr>
        <w:tc>
          <w:tcPr>
            <w:tcW w:type="dxa" w:w="1701"/>
            <w:shd w:val="clear" w:color="auto" w:fill="EAF1FB"/>
          </w:tcPr>
          <w:p>
            <w:r>
              <w:rPr>
                <w:b/>
                <w:sz w:val="16"/>
              </w:rPr>
              <w:t>Use it as · where</w:t>
            </w:r>
          </w:p>
        </w:tc>
        <w:tc>
          <w:tcPr>
            <w:tcW w:type="dxa" w:w="8164"/>
            <w:shd w:val="clear" w:color="auto" w:fill="EAF1FB"/>
          </w:tcPr>
          <w:p>
            <w:r>
              <w:rPr>
                <w:sz w:val="16"/>
              </w:rPr>
              <w:t>Method · 2.4; Chapter 3</w:t>
            </w:r>
          </w:p>
        </w:tc>
      </w:tr>
    </w:tbl>
    <w:p>
      <w:pPr>
        <w:spacing w:after="80"/>
      </w:pPr>
    </w:p>
    <w:tbl>
      <w:tblPr>
        <w:tblStyle w:val="TableGrid"/>
        <w:tblW w:type="auto" w:w="0"/>
        <w:jc w:val="center"/>
        <w:tblLook w:firstColumn="1" w:firstRow="1" w:lastColumn="0" w:lastRow="0" w:noHBand="0" w:noVBand="1" w:val="04A0"/>
      </w:tblPr>
      <w:tblGrid>
        <w:gridCol w:w="5100"/>
        <w:gridCol w:w="5100"/>
      </w:tblGrid>
      <w:tr>
        <w:tc>
          <w:tcPr>
            <w:tcW w:type="dxa" w:w="8164"/>
            <w:gridSpan w:val="2"/>
            <w:shd w:val="clear" w:color="auto" w:fill="1F4E79"/>
          </w:tcPr>
          <w:p>
            <w:r>
              <w:rPr>
                <w:b/>
                <w:color w:val="FFFFFF"/>
                <w:sz w:val="19"/>
              </w:rPr>
              <w:t>King, M. &amp; Wadhwani, S. (1990) Transmission of volatility between stock markets. RFS, 3(1), 5–33.</w:t>
            </w:r>
          </w:p>
        </w:tc>
      </w:tr>
      <w:tr>
        <w:tc>
          <w:tcPr>
            <w:tcW w:type="dxa" w:w="1701"/>
            <w:shd w:val="clear" w:color="auto" w:fill="EFEFEF"/>
          </w:tcPr>
          <w:p>
            <w:r>
              <w:rPr>
                <w:b/>
                <w:sz w:val="16"/>
              </w:rPr>
              <w:t>Source basis</w:t>
            </w:r>
          </w:p>
        </w:tc>
        <w:tc>
          <w:tcPr>
            <w:tcW w:type="dxa" w:w="8164"/>
            <w:shd w:val="clear" w:color="auto" w:fill="EFEFEF"/>
          </w:tcPr>
          <w:p>
            <w:r>
              <w:rPr>
                <w:sz w:val="16"/>
              </w:rPr>
              <w:t>STANDARD KNOWLEDGE, not re-read this session; confirm every detail and page before citing</w:t>
            </w:r>
          </w:p>
        </w:tc>
      </w:tr>
      <w:tr>
        <w:tc>
          <w:tcPr>
            <w:tcW w:type="dxa" w:w="1701"/>
          </w:tcPr>
          <w:p>
            <w:r>
              <w:rPr>
                <w:b/>
                <w:sz w:val="16"/>
              </w:rPr>
              <w:t>Summary</w:t>
            </w:r>
          </w:p>
        </w:tc>
        <w:tc>
          <w:tcPr>
            <w:tcW w:type="dxa" w:w="8164"/>
          </w:tcPr>
          <w:p>
            <w:r>
              <w:rPr>
                <w:sz w:val="16"/>
              </w:rPr>
              <w:t>Explains rising cross-market correlation around the 1987 crash through traders inferring information from other markets.</w:t>
            </w:r>
          </w:p>
        </w:tc>
      </w:tr>
      <w:tr>
        <w:tc>
          <w:tcPr>
            <w:tcW w:type="dxa" w:w="1701"/>
          </w:tcPr>
          <w:p>
            <w:r>
              <w:rPr>
                <w:b/>
                <w:sz w:val="16"/>
              </w:rPr>
              <w:t>Dataset</w:t>
            </w:r>
          </w:p>
        </w:tc>
        <w:tc>
          <w:tcPr>
            <w:tcW w:type="dxa" w:w="8164"/>
          </w:tcPr>
          <w:p>
            <w:r>
              <w:rPr>
                <w:sz w:val="16"/>
              </w:rPr>
              <w:t>New York, London, Tokyo, 1987.</w:t>
            </w:r>
          </w:p>
        </w:tc>
      </w:tr>
      <w:tr>
        <w:tc>
          <w:tcPr>
            <w:tcW w:type="dxa" w:w="1701"/>
          </w:tcPr>
          <w:p>
            <w:r>
              <w:rPr>
                <w:b/>
                <w:sz w:val="16"/>
              </w:rPr>
              <w:t>Methodology</w:t>
            </w:r>
          </w:p>
        </w:tc>
        <w:tc>
          <w:tcPr>
            <w:tcW w:type="dxa" w:w="8164"/>
          </w:tcPr>
          <w:p>
            <w:r>
              <w:rPr>
                <w:sz w:val="16"/>
              </w:rPr>
              <w:t>Contagion model; hourly data.</w:t>
            </w:r>
          </w:p>
        </w:tc>
      </w:tr>
      <w:tr>
        <w:tc>
          <w:tcPr>
            <w:tcW w:type="dxa" w:w="1701"/>
          </w:tcPr>
          <w:p>
            <w:r>
              <w:rPr>
                <w:b/>
                <w:sz w:val="16"/>
              </w:rPr>
              <w:t>Results</w:t>
            </w:r>
          </w:p>
        </w:tc>
        <w:tc>
          <w:tcPr>
            <w:tcW w:type="dxa" w:w="8164"/>
          </w:tcPr>
          <w:p>
            <w:r>
              <w:rPr>
                <w:sz w:val="16"/>
              </w:rPr>
              <w:t>• Mistakes in one market spread to others; correlation rises with volatility.</w:t>
            </w:r>
          </w:p>
        </w:tc>
      </w:tr>
      <w:tr>
        <w:tc>
          <w:tcPr>
            <w:tcW w:type="dxa" w:w="1701"/>
            <w:shd w:val="clear" w:color="auto" w:fill="EAF1FB"/>
          </w:tcPr>
          <w:p>
            <w:r>
              <w:rPr>
                <w:b/>
                <w:sz w:val="16"/>
              </w:rPr>
              <w:t>How it relates to MY study</w:t>
            </w:r>
          </w:p>
        </w:tc>
        <w:tc>
          <w:tcPr>
            <w:tcW w:type="dxa" w:w="8164"/>
            <w:shd w:val="clear" w:color="auto" w:fill="EAF1FB"/>
          </w:tcPr>
          <w:p>
            <w:r>
              <w:rPr>
                <w:sz w:val="16"/>
              </w:rPr>
              <w:t>Early theory of contagion as information spillover.</w:t>
            </w:r>
          </w:p>
        </w:tc>
      </w:tr>
      <w:tr>
        <w:tc>
          <w:tcPr>
            <w:tcW w:type="dxa" w:w="1701"/>
            <w:shd w:val="clear" w:color="auto" w:fill="EAF1FB"/>
          </w:tcPr>
          <w:p>
            <w:r>
              <w:rPr>
                <w:b/>
                <w:sz w:val="16"/>
              </w:rPr>
              <w:t>Must read in the original</w:t>
            </w:r>
          </w:p>
        </w:tc>
        <w:tc>
          <w:tcPr>
            <w:tcW w:type="dxa" w:w="8164"/>
            <w:shd w:val="clear" w:color="auto" w:fill="EAF1FB"/>
          </w:tcPr>
          <w:p>
            <w:r>
              <w:rPr>
                <w:sz w:val="16"/>
              </w:rPr>
              <w:t>Introduction and model intuition.</w:t>
            </w:r>
          </w:p>
        </w:tc>
      </w:tr>
      <w:tr>
        <w:tc>
          <w:tcPr>
            <w:tcW w:type="dxa" w:w="1701"/>
          </w:tcPr>
          <w:p>
            <w:r>
              <w:rPr>
                <w:b/>
                <w:sz w:val="16"/>
              </w:rPr>
              <w:t>Can skim / skip</w:t>
            </w:r>
          </w:p>
        </w:tc>
        <w:tc>
          <w:tcPr>
            <w:tcW w:type="dxa" w:w="8164"/>
          </w:tcPr>
          <w:p>
            <w:r>
              <w:rPr>
                <w:sz w:val="16"/>
              </w:rPr>
              <w:t>Technical appendix.</w:t>
            </w:r>
          </w:p>
        </w:tc>
      </w:tr>
      <w:tr>
        <w:tc>
          <w:tcPr>
            <w:tcW w:type="dxa" w:w="1701"/>
          </w:tcPr>
          <w:p>
            <w:r>
              <w:rPr>
                <w:b/>
                <w:sz w:val="16"/>
              </w:rPr>
              <w:t>Key terms</w:t>
            </w:r>
          </w:p>
        </w:tc>
        <w:tc>
          <w:tcPr>
            <w:tcW w:type="dxa" w:w="8164"/>
          </w:tcPr>
          <w:p>
            <w:r>
              <w:rPr>
                <w:sz w:val="16"/>
              </w:rPr>
              <w:t>information contagion</w:t>
            </w:r>
          </w:p>
        </w:tc>
      </w:tr>
      <w:tr>
        <w:tc>
          <w:tcPr>
            <w:tcW w:type="dxa" w:w="1701"/>
          </w:tcPr>
          <w:p>
            <w:r>
              <w:rPr>
                <w:b/>
                <w:sz w:val="16"/>
              </w:rPr>
              <w:t>Strengths</w:t>
            </w:r>
          </w:p>
        </w:tc>
        <w:tc>
          <w:tcPr>
            <w:tcW w:type="dxa" w:w="8164"/>
          </w:tcPr>
          <w:p>
            <w:r>
              <w:rPr>
                <w:sz w:val="16"/>
              </w:rPr>
              <w:t>Theory + data.</w:t>
            </w:r>
          </w:p>
        </w:tc>
      </w:tr>
      <w:tr>
        <w:tc>
          <w:tcPr>
            <w:tcW w:type="dxa" w:w="1701"/>
          </w:tcPr>
          <w:p>
            <w:r>
              <w:rPr>
                <w:b/>
                <w:sz w:val="16"/>
              </w:rPr>
              <w:t>Weaknesses / critique</w:t>
            </w:r>
          </w:p>
        </w:tc>
        <w:tc>
          <w:tcPr>
            <w:tcW w:type="dxa" w:w="8164"/>
          </w:tcPr>
          <w:p>
            <w:r>
              <w:rPr>
                <w:sz w:val="16"/>
              </w:rPr>
              <w:t>Single event.</w:t>
            </w:r>
          </w:p>
        </w:tc>
      </w:tr>
      <w:tr>
        <w:tc>
          <w:tcPr>
            <w:tcW w:type="dxa" w:w="1701"/>
            <w:shd w:val="clear" w:color="auto" w:fill="EAF1FB"/>
          </w:tcPr>
          <w:p>
            <w:r>
              <w:rPr>
                <w:b/>
                <w:sz w:val="16"/>
              </w:rPr>
              <w:t>Use it as · where</w:t>
            </w:r>
          </w:p>
        </w:tc>
        <w:tc>
          <w:tcPr>
            <w:tcW w:type="dxa" w:w="8164"/>
            <w:shd w:val="clear" w:color="auto" w:fill="EAF1FB"/>
          </w:tcPr>
          <w:p>
            <w:r>
              <w:rPr>
                <w:sz w:val="16"/>
              </w:rPr>
              <w:t>Context · 2.4</w:t>
            </w:r>
          </w:p>
        </w:tc>
      </w:tr>
    </w:tbl>
    <w:p>
      <w:pPr>
        <w:spacing w:after="80"/>
      </w:pPr>
    </w:p>
    <w:tbl>
      <w:tblPr>
        <w:tblStyle w:val="TableGrid"/>
        <w:tblW w:type="auto" w:w="0"/>
        <w:jc w:val="center"/>
        <w:tblLook w:firstColumn="1" w:firstRow="1" w:lastColumn="0" w:lastRow="0" w:noHBand="0" w:noVBand="1" w:val="04A0"/>
      </w:tblPr>
      <w:tblGrid>
        <w:gridCol w:w="5100"/>
        <w:gridCol w:w="5100"/>
      </w:tblGrid>
      <w:tr>
        <w:tc>
          <w:tcPr>
            <w:tcW w:type="dxa" w:w="8164"/>
            <w:gridSpan w:val="2"/>
            <w:shd w:val="clear" w:color="auto" w:fill="1F4E79"/>
          </w:tcPr>
          <w:p>
            <w:r>
              <w:rPr>
                <w:b/>
                <w:color w:val="FFFFFF"/>
                <w:sz w:val="19"/>
              </w:rPr>
              <w:t>Kearney, C. (2000) Determination and international transmission of stock market volatility. Global Finance Journal, 11, 31–52.</w:t>
            </w:r>
          </w:p>
        </w:tc>
      </w:tr>
      <w:tr>
        <w:tc>
          <w:tcPr>
            <w:tcW w:type="dxa" w:w="1701"/>
            <w:shd w:val="clear" w:color="auto" w:fill="FFF2CC"/>
          </w:tcPr>
          <w:p>
            <w:r>
              <w:rPr>
                <w:b/>
                <w:sz w:val="16"/>
              </w:rPr>
              <w:t>Source basis</w:t>
            </w:r>
          </w:p>
        </w:tc>
        <w:tc>
          <w:tcPr>
            <w:tcW w:type="dxa" w:w="8164"/>
            <w:shd w:val="clear" w:color="auto" w:fill="FFF2CC"/>
          </w:tcPr>
          <w:p>
            <w:r>
              <w:rPr>
                <w:sz w:val="16"/>
              </w:rPr>
              <w:t>ABSTRACT / summary read in this session; read the full paper before relying on details</w:t>
            </w:r>
          </w:p>
        </w:tc>
      </w:tr>
      <w:tr>
        <w:tc>
          <w:tcPr>
            <w:tcW w:type="dxa" w:w="1701"/>
          </w:tcPr>
          <w:p>
            <w:r>
              <w:rPr>
                <w:b/>
                <w:sz w:val="16"/>
              </w:rPr>
              <w:t>Summary</w:t>
            </w:r>
          </w:p>
        </w:tc>
        <w:tc>
          <w:tcPr>
            <w:tcW w:type="dxa" w:w="8164"/>
          </w:tcPr>
          <w:p>
            <w:r>
              <w:rPr>
                <w:sz w:val="16"/>
              </w:rPr>
              <w:t>Low-frequency study of what drives volatility and how it moves between major markets.</w:t>
            </w:r>
          </w:p>
        </w:tc>
      </w:tr>
      <w:tr>
        <w:tc>
          <w:tcPr>
            <w:tcW w:type="dxa" w:w="1701"/>
          </w:tcPr>
          <w:p>
            <w:r>
              <w:rPr>
                <w:b/>
                <w:sz w:val="16"/>
              </w:rPr>
              <w:t>Dataset</w:t>
            </w:r>
          </w:p>
        </w:tc>
        <w:tc>
          <w:tcPr>
            <w:tcW w:type="dxa" w:w="8164"/>
          </w:tcPr>
          <w:p>
            <w:r>
              <w:rPr>
                <w:sz w:val="16"/>
              </w:rPr>
              <w:t>Monthly 1973–1994: UK, France, Germany, Japan, US.</w:t>
            </w:r>
          </w:p>
        </w:tc>
      </w:tr>
      <w:tr>
        <w:tc>
          <w:tcPr>
            <w:tcW w:type="dxa" w:w="1701"/>
          </w:tcPr>
          <w:p>
            <w:r>
              <w:rPr>
                <w:b/>
                <w:sz w:val="16"/>
              </w:rPr>
              <w:t>Methodology</w:t>
            </w:r>
          </w:p>
        </w:tc>
        <w:tc>
          <w:tcPr>
            <w:tcW w:type="dxa" w:w="8164"/>
          </w:tcPr>
          <w:p>
            <w:r>
              <w:rPr>
                <w:sz w:val="16"/>
              </w:rPr>
              <w:t>Efficient portfolios; cointegration; conditional volatility transmission.</w:t>
            </w:r>
          </w:p>
        </w:tc>
      </w:tr>
      <w:tr>
        <w:tc>
          <w:tcPr>
            <w:tcW w:type="dxa" w:w="1701"/>
          </w:tcPr>
          <w:p>
            <w:r>
              <w:rPr>
                <w:b/>
                <w:sz w:val="16"/>
              </w:rPr>
              <w:t>Results</w:t>
            </w:r>
          </w:p>
        </w:tc>
        <w:tc>
          <w:tcPr>
            <w:tcW w:type="dxa" w:w="8164"/>
          </w:tcPr>
          <w:p>
            <w:r>
              <w:rPr>
                <w:sz w:val="16"/>
              </w:rPr>
              <w:t>• Cointegrating links between world, European and Japanese/US portfolios; volatility transmission.</w:t>
            </w:r>
          </w:p>
        </w:tc>
      </w:tr>
      <w:tr>
        <w:tc>
          <w:tcPr>
            <w:tcW w:type="dxa" w:w="1701"/>
            <w:shd w:val="clear" w:color="auto" w:fill="EAF1FB"/>
          </w:tcPr>
          <w:p>
            <w:r>
              <w:rPr>
                <w:b/>
                <w:sz w:val="16"/>
              </w:rPr>
              <w:t>How it relates to MY study</w:t>
            </w:r>
          </w:p>
        </w:tc>
        <w:tc>
          <w:tcPr>
            <w:tcW w:type="dxa" w:w="8164"/>
            <w:shd w:val="clear" w:color="auto" w:fill="EAF1FB"/>
          </w:tcPr>
          <w:p>
            <w:r>
              <w:rPr>
                <w:sz w:val="16"/>
              </w:rPr>
              <w:t>Transmission evidence by an Irish-based author.</w:t>
            </w:r>
          </w:p>
        </w:tc>
      </w:tr>
      <w:tr>
        <w:tc>
          <w:tcPr>
            <w:tcW w:type="dxa" w:w="1701"/>
            <w:shd w:val="clear" w:color="auto" w:fill="EAF1FB"/>
          </w:tcPr>
          <w:p>
            <w:r>
              <w:rPr>
                <w:b/>
                <w:sz w:val="16"/>
              </w:rPr>
              <w:t>Must read in the original</w:t>
            </w:r>
          </w:p>
        </w:tc>
        <w:tc>
          <w:tcPr>
            <w:tcW w:type="dxa" w:w="8164"/>
            <w:shd w:val="clear" w:color="auto" w:fill="EAF1FB"/>
          </w:tcPr>
          <w:p>
            <w:r>
              <w:rPr>
                <w:sz w:val="16"/>
              </w:rPr>
              <w:t>Introduction and conclusions.</w:t>
            </w:r>
          </w:p>
        </w:tc>
      </w:tr>
      <w:tr>
        <w:tc>
          <w:tcPr>
            <w:tcW w:type="dxa" w:w="1701"/>
          </w:tcPr>
          <w:p>
            <w:r>
              <w:rPr>
                <w:b/>
                <w:sz w:val="16"/>
              </w:rPr>
              <w:t>Can skim / skip</w:t>
            </w:r>
          </w:p>
        </w:tc>
        <w:tc>
          <w:tcPr>
            <w:tcW w:type="dxa" w:w="8164"/>
          </w:tcPr>
          <w:p>
            <w:r>
              <w:rPr>
                <w:sz w:val="16"/>
              </w:rPr>
              <w:t>—</w:t>
            </w:r>
          </w:p>
        </w:tc>
      </w:tr>
      <w:tr>
        <w:tc>
          <w:tcPr>
            <w:tcW w:type="dxa" w:w="1701"/>
          </w:tcPr>
          <w:p>
            <w:r>
              <w:rPr>
                <w:b/>
                <w:sz w:val="16"/>
              </w:rPr>
              <w:t>Key terms</w:t>
            </w:r>
          </w:p>
        </w:tc>
        <w:tc>
          <w:tcPr>
            <w:tcW w:type="dxa" w:w="8164"/>
          </w:tcPr>
          <w:p>
            <w:r>
              <w:rPr>
                <w:sz w:val="16"/>
              </w:rPr>
              <w:t>cointegration</w:t>
            </w:r>
          </w:p>
        </w:tc>
      </w:tr>
      <w:tr>
        <w:tc>
          <w:tcPr>
            <w:tcW w:type="dxa" w:w="1701"/>
          </w:tcPr>
          <w:p>
            <w:r>
              <w:rPr>
                <w:b/>
                <w:sz w:val="16"/>
              </w:rPr>
              <w:t>Strengths</w:t>
            </w:r>
          </w:p>
        </w:tc>
        <w:tc>
          <w:tcPr>
            <w:tcW w:type="dxa" w:w="8164"/>
          </w:tcPr>
          <w:p>
            <w:r>
              <w:rPr>
                <w:sz w:val="16"/>
              </w:rPr>
              <w:t>Macro determinants.</w:t>
            </w:r>
          </w:p>
        </w:tc>
      </w:tr>
      <w:tr>
        <w:tc>
          <w:tcPr>
            <w:tcW w:type="dxa" w:w="1701"/>
          </w:tcPr>
          <w:p>
            <w:r>
              <w:rPr>
                <w:b/>
                <w:sz w:val="16"/>
              </w:rPr>
              <w:t>Weaknesses / critique</w:t>
            </w:r>
          </w:p>
        </w:tc>
        <w:tc>
          <w:tcPr>
            <w:tcW w:type="dxa" w:w="8164"/>
          </w:tcPr>
          <w:p>
            <w:r>
              <w:rPr>
                <w:sz w:val="16"/>
              </w:rPr>
              <w:t>Monthly, pre-2000.</w:t>
            </w:r>
          </w:p>
        </w:tc>
      </w:tr>
      <w:tr>
        <w:tc>
          <w:tcPr>
            <w:tcW w:type="dxa" w:w="1701"/>
            <w:shd w:val="clear" w:color="auto" w:fill="EAF1FB"/>
          </w:tcPr>
          <w:p>
            <w:r>
              <w:rPr>
                <w:b/>
                <w:sz w:val="16"/>
              </w:rPr>
              <w:t>Use it as · where</w:t>
            </w:r>
          </w:p>
        </w:tc>
        <w:tc>
          <w:tcPr>
            <w:tcW w:type="dxa" w:w="8164"/>
            <w:shd w:val="clear" w:color="auto" w:fill="EAF1FB"/>
          </w:tcPr>
          <w:p>
            <w:r>
              <w:rPr>
                <w:sz w:val="16"/>
              </w:rPr>
              <w:t>Context · 2.4</w:t>
            </w:r>
          </w:p>
        </w:tc>
      </w:tr>
    </w:tbl>
    <w:p>
      <w:pPr>
        <w:spacing w:after="80"/>
      </w:pPr>
    </w:p>
    <w:tbl>
      <w:tblPr>
        <w:tblStyle w:val="TableGrid"/>
        <w:tblW w:type="auto" w:w="0"/>
        <w:jc w:val="center"/>
        <w:tblLook w:firstColumn="1" w:firstRow="1" w:lastColumn="0" w:lastRow="0" w:noHBand="0" w:noVBand="1" w:val="04A0"/>
      </w:tblPr>
      <w:tblGrid>
        <w:gridCol w:w="5100"/>
        <w:gridCol w:w="5100"/>
      </w:tblGrid>
      <w:tr>
        <w:tc>
          <w:tcPr>
            <w:tcW w:type="dxa" w:w="8164"/>
            <w:gridSpan w:val="2"/>
            <w:shd w:val="clear" w:color="auto" w:fill="1F4E79"/>
          </w:tcPr>
          <w:p>
            <w:r>
              <w:rPr>
                <w:b/>
                <w:color w:val="FFFFFF"/>
                <w:sz w:val="19"/>
              </w:rPr>
              <w:t>Diebold, F. &amp; Yilmaz, K. (2009) Measuring return and volatility spillovers. Economic Journal, 119(534), 158–171 (NBER WP 13811).</w:t>
            </w:r>
          </w:p>
        </w:tc>
      </w:tr>
      <w:tr>
        <w:tc>
          <w:tcPr>
            <w:tcW w:type="dxa" w:w="1701"/>
            <w:shd w:val="clear" w:color="auto" w:fill="D9EAD3"/>
          </w:tcPr>
          <w:p>
            <w:r>
              <w:rPr>
                <w:b/>
                <w:sz w:val="16"/>
              </w:rPr>
              <w:t>Source basis</w:t>
            </w:r>
          </w:p>
        </w:tc>
        <w:tc>
          <w:tcPr>
            <w:tcW w:type="dxa" w:w="8164"/>
            <w:shd w:val="clear" w:color="auto" w:fill="D9EAD3"/>
          </w:tcPr>
          <w:p>
            <w:r>
              <w:rPr>
                <w:sz w:val="16"/>
              </w:rPr>
              <w:t>FULL TEXT read in this session; page numbers refer to the open-access version in Part G</w:t>
            </w:r>
          </w:p>
        </w:tc>
      </w:tr>
      <w:tr>
        <w:tc>
          <w:tcPr>
            <w:tcW w:type="dxa" w:w="1701"/>
          </w:tcPr>
          <w:p>
            <w:r>
              <w:rPr>
                <w:b/>
                <w:sz w:val="16"/>
              </w:rPr>
              <w:t>Summary</w:t>
            </w:r>
          </w:p>
        </w:tc>
        <w:tc>
          <w:tcPr>
            <w:tcW w:type="dxa" w:w="8164"/>
          </w:tcPr>
          <w:p>
            <w:r>
              <w:rPr>
                <w:sz w:val="16"/>
              </w:rPr>
              <w:t>Introduces the spillover index and shows volatility spillovers burst during crises.</w:t>
            </w:r>
          </w:p>
        </w:tc>
      </w:tr>
      <w:tr>
        <w:tc>
          <w:tcPr>
            <w:tcW w:type="dxa" w:w="1701"/>
          </w:tcPr>
          <w:p>
            <w:r>
              <w:rPr>
                <w:b/>
                <w:sz w:val="16"/>
              </w:rPr>
              <w:t>Dataset</w:t>
            </w:r>
          </w:p>
        </w:tc>
        <w:tc>
          <w:tcPr>
            <w:tcW w:type="dxa" w:w="8164"/>
          </w:tcPr>
          <w:p>
            <w:r>
              <w:rPr>
                <w:sz w:val="16"/>
              </w:rPr>
              <w:t>19 global equity markets, weekly, Jan 1992 – Nov 2007; weekly range-based (Garman–Klass) volatility.</w:t>
            </w:r>
          </w:p>
        </w:tc>
      </w:tr>
      <w:tr>
        <w:tc>
          <w:tcPr>
            <w:tcW w:type="dxa" w:w="1701"/>
          </w:tcPr>
          <w:p>
            <w:r>
              <w:rPr>
                <w:b/>
                <w:sz w:val="16"/>
              </w:rPr>
              <w:t>Methodology</w:t>
            </w:r>
          </w:p>
        </w:tc>
        <w:tc>
          <w:tcPr>
            <w:tcW w:type="dxa" w:w="8164"/>
          </w:tcPr>
          <w:p>
            <w:r>
              <w:rPr>
                <w:sz w:val="16"/>
              </w:rPr>
              <w:t>VAR(2) forecast-error variance decomposition (10-week horizon); 200-week rolling windows.</w:t>
            </w:r>
          </w:p>
        </w:tc>
      </w:tr>
      <w:tr>
        <w:tc>
          <w:tcPr>
            <w:tcW w:type="dxa" w:w="1701"/>
          </w:tcPr>
          <w:p>
            <w:r>
              <w:rPr>
                <w:b/>
                <w:sz w:val="16"/>
              </w:rPr>
              <w:t>Results</w:t>
            </w:r>
          </w:p>
        </w:tc>
        <w:tc>
          <w:tcPr>
            <w:tcW w:type="dxa" w:w="8164"/>
          </w:tcPr>
          <w:p>
            <w:r>
              <w:rPr>
                <w:sz w:val="16"/>
              </w:rPr>
              <w:t>• Return spillovers: gentle upward trend, no bursts.</w:t>
            </w:r>
          </w:p>
          <w:p>
            <w:r>
              <w:rPr>
                <w:sz w:val="16"/>
              </w:rPr>
              <w:t>• Volatility spillovers: no trend, clear bursts in crises.</w:t>
            </w:r>
          </w:p>
        </w:tc>
      </w:tr>
      <w:tr>
        <w:tc>
          <w:tcPr>
            <w:tcW w:type="dxa" w:w="1701"/>
            <w:shd w:val="clear" w:color="auto" w:fill="EAF1FB"/>
          </w:tcPr>
          <w:p>
            <w:r>
              <w:rPr>
                <w:b/>
                <w:sz w:val="16"/>
              </w:rPr>
              <w:t>How it relates to MY study</w:t>
            </w:r>
          </w:p>
        </w:tc>
        <w:tc>
          <w:tcPr>
            <w:tcW w:type="dxa" w:w="8164"/>
            <w:shd w:val="clear" w:color="auto" w:fill="EAF1FB"/>
          </w:tcPr>
          <w:p>
            <w:r>
              <w:rPr>
                <w:sz w:val="16"/>
              </w:rPr>
              <w:t>Evidence that foreign influence bursts in crises (H2); your PhD validation tool. Note they used Garman–Klass — you rejected it for Yahoo ISEQ data (stale opens): a good methodological point.</w:t>
            </w:r>
          </w:p>
        </w:tc>
      </w:tr>
      <w:tr>
        <w:tc>
          <w:tcPr>
            <w:tcW w:type="dxa" w:w="1701"/>
            <w:shd w:val="clear" w:color="auto" w:fill="EAF1FB"/>
          </w:tcPr>
          <w:p>
            <w:r>
              <w:rPr>
                <w:b/>
                <w:sz w:val="16"/>
              </w:rPr>
              <w:t>Must read in the original</w:t>
            </w:r>
          </w:p>
        </w:tc>
        <w:tc>
          <w:tcPr>
            <w:tcW w:type="dxa" w:w="8164"/>
            <w:shd w:val="clear" w:color="auto" w:fill="EAF1FB"/>
          </w:tcPr>
          <w:p>
            <w:r>
              <w:rPr>
                <w:sz w:val="16"/>
              </w:rPr>
              <w:t>2 Spillover index (pp.3–5) — core; 4 spillover tables (pp.6–7, Tables 3–4 pp.14–15); 5 rolling plots (p.8, Figures pp.16–19); 7 summary (p.10).</w:t>
            </w:r>
          </w:p>
        </w:tc>
      </w:tr>
      <w:tr>
        <w:tc>
          <w:tcPr>
            <w:tcW w:type="dxa" w:w="1701"/>
          </w:tcPr>
          <w:p>
            <w:r>
              <w:rPr>
                <w:b/>
                <w:sz w:val="16"/>
              </w:rPr>
              <w:t>Can skim / skip</w:t>
            </w:r>
          </w:p>
        </w:tc>
        <w:tc>
          <w:tcPr>
            <w:tcW w:type="dxa" w:w="8164"/>
          </w:tcPr>
          <w:p>
            <w:r>
              <w:rPr>
                <w:sz w:val="16"/>
              </w:rPr>
              <w:t>6 robustness.</w:t>
            </w:r>
          </w:p>
        </w:tc>
      </w:tr>
      <w:tr>
        <w:tc>
          <w:tcPr>
            <w:tcW w:type="dxa" w:w="1701"/>
          </w:tcPr>
          <w:p>
            <w:r>
              <w:rPr>
                <w:b/>
                <w:sz w:val="16"/>
              </w:rPr>
              <w:t>Key terms</w:t>
            </w:r>
          </w:p>
        </w:tc>
        <w:tc>
          <w:tcPr>
            <w:tcW w:type="dxa" w:w="8164"/>
          </w:tcPr>
          <w:p>
            <w:r>
              <w:rPr>
                <w:sz w:val="16"/>
              </w:rPr>
              <w:t>forecast-error variance decomposition; spillover index; Cholesky ordering</w:t>
            </w:r>
          </w:p>
        </w:tc>
      </w:tr>
      <w:tr>
        <w:tc>
          <w:tcPr>
            <w:tcW w:type="dxa" w:w="1701"/>
          </w:tcPr>
          <w:p>
            <w:r>
              <w:rPr>
                <w:b/>
                <w:sz w:val="16"/>
              </w:rPr>
              <w:t>Strengths</w:t>
            </w:r>
          </w:p>
        </w:tc>
        <w:tc>
          <w:tcPr>
            <w:tcW w:type="dxa" w:w="8164"/>
          </w:tcPr>
          <w:p>
            <w:r>
              <w:rPr>
                <w:sz w:val="16"/>
              </w:rPr>
              <w:t>Simple, widely used.</w:t>
            </w:r>
          </w:p>
        </w:tc>
      </w:tr>
      <w:tr>
        <w:tc>
          <w:tcPr>
            <w:tcW w:type="dxa" w:w="1701"/>
          </w:tcPr>
          <w:p>
            <w:r>
              <w:rPr>
                <w:b/>
                <w:sz w:val="16"/>
              </w:rPr>
              <w:t>Weaknesses / critique</w:t>
            </w:r>
          </w:p>
        </w:tc>
        <w:tc>
          <w:tcPr>
            <w:tcW w:type="dxa" w:w="8164"/>
          </w:tcPr>
          <w:p>
            <w:r>
              <w:rPr>
                <w:sz w:val="16"/>
              </w:rPr>
              <w:t>Depends on VAR ordering (fixed in their 2012 version).</w:t>
            </w:r>
          </w:p>
        </w:tc>
      </w:tr>
      <w:tr>
        <w:tc>
          <w:tcPr>
            <w:tcW w:type="dxa" w:w="1701"/>
            <w:shd w:val="clear" w:color="auto" w:fill="EAF1FB"/>
          </w:tcPr>
          <w:p>
            <w:r>
              <w:rPr>
                <w:b/>
                <w:sz w:val="16"/>
              </w:rPr>
              <w:t>Use it as · where</w:t>
            </w:r>
          </w:p>
        </w:tc>
        <w:tc>
          <w:tcPr>
            <w:tcW w:type="dxa" w:w="8164"/>
            <w:shd w:val="clear" w:color="auto" w:fill="EAF1FB"/>
          </w:tcPr>
          <w:p>
            <w:r>
              <w:rPr>
                <w:sz w:val="16"/>
              </w:rPr>
              <w:t>Support + future method · 2.4; Future research</w:t>
            </w:r>
          </w:p>
        </w:tc>
      </w:tr>
    </w:tbl>
    <w:p>
      <w:pPr>
        <w:spacing w:after="80"/>
      </w:pPr>
    </w:p>
    <w:tbl>
      <w:tblPr>
        <w:tblStyle w:val="TableGrid"/>
        <w:tblW w:type="auto" w:w="0"/>
        <w:jc w:val="center"/>
        <w:tblLook w:firstColumn="1" w:firstRow="1" w:lastColumn="0" w:lastRow="0" w:noHBand="0" w:noVBand="1" w:val="04A0"/>
      </w:tblPr>
      <w:tblGrid>
        <w:gridCol w:w="5100"/>
        <w:gridCol w:w="5100"/>
      </w:tblGrid>
      <w:tr>
        <w:tc>
          <w:tcPr>
            <w:tcW w:type="dxa" w:w="8164"/>
            <w:gridSpan w:val="2"/>
            <w:shd w:val="clear" w:color="auto" w:fill="1F4E79"/>
          </w:tcPr>
          <w:p>
            <w:r>
              <w:rPr>
                <w:color w:val="FFFFFF"/>
                <w:sz w:val="19"/>
                <w:b/>
              </w:rPr>
              <w:t xml:space="preserve">Diebold, F. &amp; Yilmaz, K. (2012) Better to give than to receive: predictive directional measurement of volatility spillovers. IJF, 28(1), 57–66.</w:t>
            </w:r>
          </w:p>
        </w:tc>
      </w:tr>
      <w:tr>
        <w:tc>
          <w:tcPr>
            <w:tcW w:type="dxa" w:w="1701"/>
            <w:shd w:val="clear" w:color="auto" w:fill="D9EAD3"/>
          </w:tcPr>
          <w:p>
            <w:r>
              <w:rPr>
                <w:b/>
                <w:sz w:val="16"/>
              </w:rPr>
              <w:t>Source basis</w:t>
            </w:r>
          </w:p>
        </w:tc>
        <w:tc>
          <w:tcPr>
            <w:tcW w:type="dxa" w:w="8164"/>
            <w:shd w:val="clear" w:color="auto" w:fill="D9EAD3"/>
          </w:tcPr>
          <w:p>
            <w:r>
              <w:rPr>
                <w:sz w:val="16"/>
              </w:rPr>
              <w:t>FULL TEXT read in this session; page numbers refer to the open-access version in Part G</w:t>
            </w:r>
          </w:p>
        </w:tc>
      </w:tr>
      <w:tr>
        <w:tc>
          <w:tcPr>
            <w:tcW w:type="dxa" w:w="1701"/>
          </w:tcPr>
          <w:p>
            <w:r>
              <w:rPr>
                <w:b/>
                <w:sz w:val="16"/>
              </w:rPr>
              <w:t>Summary</w:t>
            </w:r>
          </w:p>
        </w:tc>
        <w:tc>
          <w:tcPr>
            <w:tcW w:type="dxa" w:w="8164"/>
          </w:tcPr>
          <w:p>
            <w:r>
              <w:rPr>
                <w:sz w:val="16"/>
                <w:b w:val="0"/>
              </w:rPr>
              <w:t xml:space="preserve">Improves the 2009 spillover index with a generalized VAR decomposition that does not depend on variable ordering, and adds directional (to/from), net and pairwise spillovers; applies them to US asset markets.</w:t>
            </w:r>
          </w:p>
        </w:tc>
      </w:tr>
      <w:tr>
        <w:tc>
          <w:tcPr>
            <w:tcW w:type="dxa" w:w="1701"/>
          </w:tcPr>
          <w:p>
            <w:r>
              <w:rPr>
                <w:b/>
                <w:sz w:val="16"/>
              </w:rPr>
              <w:t>Dataset</w:t>
            </w:r>
          </w:p>
        </w:tc>
        <w:tc>
          <w:tcPr>
            <w:tcW w:type="dxa" w:w="8164"/>
          </w:tcPr>
          <w:p>
            <w:r>
              <w:rPr>
                <w:sz w:val="16"/>
                <w:b w:val="0"/>
              </w:rPr>
              <w:t xml:space="preserve">Daily range-based volatility of the S&amp;P 500, the 10-year Treasury yield, US dollar index futures and the DJ-UBS commodity index; 25 Jan 1999 – 29 Jan 2010 (2,771 days).</w:t>
            </w:r>
          </w:p>
        </w:tc>
      </w:tr>
      <w:tr>
        <w:tc>
          <w:tcPr>
            <w:tcW w:type="dxa" w:w="1701"/>
          </w:tcPr>
          <w:p>
            <w:r>
              <w:rPr>
                <w:b/>
                <w:sz w:val="16"/>
              </w:rPr>
              <w:t>Methodology</w:t>
            </w:r>
          </w:p>
        </w:tc>
        <w:tc>
          <w:tcPr>
            <w:tcW w:type="dxa" w:w="8164"/>
          </w:tcPr>
          <w:p>
            <w:r>
              <w:rPr>
                <w:sz w:val="16"/>
                <w:b w:val="0"/>
              </w:rPr>
              <w:t xml:space="preserve">VAR(4); generalized forecast-error variance decomposition (Pesaran &amp; Shin, 1998) at a 10-day horizon, rows normalised; full-sample spillover table plus 200-day rolling windows; sensitivity to VAR order (2–6) and horizon (5–10 days).</w:t>
            </w:r>
          </w:p>
        </w:tc>
      </w:tr>
      <w:tr>
        <w:tc>
          <w:tcPr>
            <w:tcW w:type="dxa" w:w="1701"/>
          </w:tcPr>
          <w:p>
            <w:r>
              <w:rPr>
                <w:b/>
                <w:sz w:val="16"/>
              </w:rPr>
              <w:t>Results</w:t>
            </w:r>
          </w:p>
        </w:tc>
        <w:tc>
          <w:tcPr>
            <w:tcW w:type="dxa" w:w="8164"/>
          </w:tcPr>
          <w:p>
            <w:r>
              <w:rPr>
                <w:sz w:val="16"/>
                <w:b w:val="0"/>
              </w:rPr>
              <w:t xml:space="preserve">• Full-sample total spillover 12.6% — cross-market spillovers were limited.</w:t>
            </w:r>
          </w:p>
          <w:p>
            <w:r>
              <w:rPr>
                <w:sz w:val="16"/>
                <w:b w:val="0"/>
              </w:rPr>
              <w:t xml:space="preserve">• Spillovers stayed limited until the crisis that began in 2007, then rose.</w:t>
            </w:r>
          </w:p>
          <w:p>
            <w:r>
              <w:rPr>
                <w:sz w:val="16"/>
                <w:b w:val="0"/>
              </w:rPr>
              <w:t xml:space="preserve">• After Lehman (September 2008) large spillovers ran from the stock market to the other markets.</w:t>
            </w:r>
          </w:p>
          <w:p>
            <w:r>
              <w:rPr>
                <w:sz w:val="16"/>
                <w:b w:val="0"/>
              </w:rPr>
              <w:t xml:space="preserve">• The index is robust to the VAR order and horizon.</w:t>
            </w:r>
          </w:p>
        </w:tc>
      </w:tr>
      <w:tr>
        <w:tc>
          <w:tcPr>
            <w:tcW w:type="dxa" w:w="1701"/>
            <w:shd w:val="clear" w:color="auto" w:fill="EAF1FB"/>
          </w:tcPr>
          <w:p>
            <w:r>
              <w:rPr>
                <w:b/>
                <w:sz w:val="16"/>
              </w:rPr>
              <w:t>How it relates to MY study</w:t>
            </w:r>
          </w:p>
        </w:tc>
        <w:tc>
          <w:tcPr>
            <w:tcW w:type="dxa" w:w="8164"/>
            <w:shd w:val="clear" w:color="auto" w:fill="EAF1FB"/>
          </w:tcPr>
          <w:p>
            <w:r>
              <w:rPr>
                <w:sz w:val="16"/>
                <w:b w:val="0"/>
              </w:rPr>
              <w:t xml:space="preserve">The method of your exploratory E1 (VAR(4), 10-day horizon, 200-day windows) applied to ISEQ, S&amp;P 500 and DAX volatility and compared with SHAP. Your total spillover is 34.0%; the ISEQ is a net receiver (−8.4).</w:t>
            </w:r>
          </w:p>
        </w:tc>
      </w:tr>
      <w:tr>
        <w:tc>
          <w:tcPr>
            <w:tcW w:type="dxa" w:w="1701"/>
            <w:shd w:val="clear" w:color="auto" w:fill="EAF1FB"/>
          </w:tcPr>
          <w:p>
            <w:r>
              <w:rPr>
                <w:b/>
                <w:sz w:val="16"/>
              </w:rPr>
              <w:t>Must read in the original</w:t>
            </w:r>
          </w:p>
        </w:tc>
        <w:tc>
          <w:tcPr>
            <w:tcW w:type="dxa" w:w="8164"/>
            <w:shd w:val="clear" w:color="auto" w:fill="EAF1FB"/>
          </w:tcPr>
          <w:p>
            <w:r>
              <w:rPr>
                <w:sz w:val="16"/>
                <w:b w:val="0"/>
              </w:rPr>
              <w:t xml:space="preserve">Section 2 pp.58–59 (variance shares; total, directional and net spillovers — the formulas); Sections 3.1–3.3 pp.59–61 (data, spillover table, rolling index). Journal page numbers.</w:t>
            </w:r>
          </w:p>
        </w:tc>
      </w:tr>
      <w:tr>
        <w:tc>
          <w:tcPr>
            <w:tcW w:type="dxa" w:w="1701"/>
          </w:tcPr>
          <w:p>
            <w:r>
              <w:rPr>
                <w:b/>
                <w:sz w:val="16"/>
              </w:rPr>
              <w:t>Can skim / skip</w:t>
            </w:r>
          </w:p>
        </w:tc>
        <w:tc>
          <w:tcPr>
            <w:tcW w:type="dxa" w:w="8164"/>
          </w:tcPr>
          <w:p>
            <w:r>
              <w:rPr>
                <w:sz w:val="16"/>
                <w:b w:val="0"/>
              </w:rPr>
              <w:t xml:space="preserve">Net pairwise spillover figures (pp.62–65); FX and commodity detail.</w:t>
            </w:r>
          </w:p>
        </w:tc>
      </w:tr>
      <w:tr>
        <w:tc>
          <w:tcPr>
            <w:tcW w:type="dxa" w:w="1701"/>
          </w:tcPr>
          <w:p>
            <w:r>
              <w:rPr>
                <w:b/>
                <w:sz w:val="16"/>
              </w:rPr>
              <w:t>Key terms</w:t>
            </w:r>
          </w:p>
        </w:tc>
        <w:tc>
          <w:tcPr>
            <w:tcW w:type="dxa" w:w="8164"/>
          </w:tcPr>
          <w:p>
            <w:r>
              <w:rPr>
                <w:sz w:val="16"/>
                <w:b w:val="0"/>
              </w:rPr>
              <w:t xml:space="preserve">generalized variance decomposition; total / directional / net spillover; spillover table; rolling window</w:t>
            </w:r>
          </w:p>
        </w:tc>
      </w:tr>
      <w:tr>
        <w:tc>
          <w:tcPr>
            <w:tcW w:type="dxa" w:w="1701"/>
          </w:tcPr>
          <w:p>
            <w:r>
              <w:rPr>
                <w:b/>
                <w:sz w:val="16"/>
              </w:rPr>
              <w:t>Strengths</w:t>
            </w:r>
          </w:p>
        </w:tc>
        <w:tc>
          <w:tcPr>
            <w:tcW w:type="dxa" w:w="8164"/>
          </w:tcPr>
          <w:p>
            <w:r>
              <w:rPr>
                <w:sz w:val="16"/>
                <w:b w:val="0"/>
              </w:rPr>
              <w:t xml:space="preserve">Order-invariant; simple; the standard connectedness tool.</w:t>
            </w:r>
          </w:p>
        </w:tc>
      </w:tr>
      <w:tr>
        <w:tc>
          <w:tcPr>
            <w:tcW w:type="dxa" w:w="1701"/>
          </w:tcPr>
          <w:p>
            <w:r>
              <w:rPr>
                <w:b/>
                <w:sz w:val="16"/>
              </w:rPr>
              <w:t>Weaknesses / critique</w:t>
            </w:r>
          </w:p>
        </w:tc>
        <w:tc>
          <w:tcPr>
            <w:tcW w:type="dxa" w:w="8164"/>
          </w:tcPr>
          <w:p>
            <w:r>
              <w:rPr>
                <w:sz w:val="16"/>
                <w:b w:val="0"/>
              </w:rPr>
              <w:t xml:space="preserve">Linear VAR; rolling-window choices matter; measures co-movement of volatility, not causation.</w:t>
            </w:r>
          </w:p>
        </w:tc>
      </w:tr>
      <w:tr>
        <w:tc>
          <w:tcPr>
            <w:tcW w:type="dxa" w:w="1701"/>
            <w:shd w:val="clear" w:color="auto" w:fill="EAF1FB"/>
          </w:tcPr>
          <w:p>
            <w:r>
              <w:rPr>
                <w:b/>
                <w:sz w:val="16"/>
              </w:rPr>
              <w:t>Use it as · where</w:t>
            </w:r>
          </w:p>
        </w:tc>
        <w:tc>
          <w:tcPr>
            <w:tcW w:type="dxa" w:w="8164"/>
            <w:shd w:val="clear" w:color="auto" w:fill="EAF1FB"/>
          </w:tcPr>
          <w:p>
            <w:r>
              <w:rPr>
                <w:sz w:val="16"/>
                <w:b w:val="0"/>
              </w:rPr>
              <w:t xml:space="preserve">Method + context · 2.4; Chapter 3 and 4 (E1)</w:t>
            </w:r>
          </w:p>
        </w:tc>
      </w:tr>
    </w:tbl>
    <w:p>
      <w:pPr>
        <w:spacing w:after="80"/>
      </w:pPr>
    </w:p>
    <w:tbl>
      <w:tblPr>
        <w:tblStyle w:val="TableGrid"/>
        <w:tblW w:type="auto" w:w="0"/>
        <w:jc w:val="center"/>
        <w:tblLook w:firstColumn="1" w:firstRow="1" w:lastColumn="0" w:lastRow="0" w:noHBand="0" w:noVBand="1" w:val="04A0"/>
      </w:tblPr>
      <w:tblGrid>
        <w:gridCol w:w="5100"/>
        <w:gridCol w:w="5100"/>
      </w:tblGrid>
      <w:tr>
        <w:tc>
          <w:tcPr>
            <w:tcW w:type="dxa" w:w="8164"/>
            <w:gridSpan w:val="2"/>
            <w:shd w:val="clear" w:color="auto" w:fill="1F4E79"/>
          </w:tcPr>
          <w:p>
            <w:r>
              <w:rPr>
                <w:color w:val="FFFFFF"/>
                <w:sz w:val="19"/>
                <w:b/>
              </w:rPr>
              <w:t xml:space="preserve">Pesaran, M.H. &amp; Shin, Y. (1998) Generalized impulse response analysis in linear multivariate models. Economics Letters, 58(1), 17–29.</w:t>
            </w:r>
          </w:p>
        </w:tc>
      </w:tr>
      <w:tr>
        <w:tc>
          <w:tcPr>
            <w:tcW w:type="dxa" w:w="1701"/>
            <w:shd w:val="clear" w:color="auto" w:fill="EFEFEF"/>
          </w:tcPr>
          <w:p>
            <w:r>
              <w:rPr>
                <w:b/>
                <w:sz w:val="16"/>
              </w:rPr>
              <w:t>Source basis</w:t>
            </w:r>
          </w:p>
        </w:tc>
        <w:tc>
          <w:tcPr>
            <w:tcW w:type="dxa" w:w="8164"/>
            <w:shd w:val="clear" w:color="auto" w:fill="EFEFEF"/>
          </w:tcPr>
          <w:p>
            <w:r>
              <w:rPr>
                <w:sz w:val="16"/>
              </w:rPr>
              <w:t>STANDARD KNOWLEDGE, not re-read this session; confirm every detail and page before citing</w:t>
            </w:r>
          </w:p>
        </w:tc>
      </w:tr>
      <w:tr>
        <w:tc>
          <w:tcPr>
            <w:tcW w:type="dxa" w:w="1701"/>
          </w:tcPr>
          <w:p>
            <w:r>
              <w:rPr>
                <w:b/>
                <w:sz w:val="16"/>
              </w:rPr>
              <w:t>Summary</w:t>
            </w:r>
          </w:p>
        </w:tc>
        <w:tc>
          <w:tcPr>
            <w:tcW w:type="dxa" w:w="8164"/>
          </w:tcPr>
          <w:p>
            <w:r>
              <w:rPr>
                <w:sz w:val="16"/>
                <w:b w:val="0"/>
              </w:rPr>
              <w:t xml:space="preserve">Proposes impulse responses (and variance decompositions) that do not depend on the order of the variables in a VAR, using the historical correlation of shocks instead of an orthogonalisation.</w:t>
            </w:r>
          </w:p>
        </w:tc>
      </w:tr>
      <w:tr>
        <w:tc>
          <w:tcPr>
            <w:tcW w:type="dxa" w:w="1701"/>
          </w:tcPr>
          <w:p>
            <w:r>
              <w:rPr>
                <w:b/>
                <w:sz w:val="16"/>
              </w:rPr>
              <w:t>Dataset</w:t>
            </w:r>
          </w:p>
        </w:tc>
        <w:tc>
          <w:tcPr>
            <w:tcW w:type="dxa" w:w="8164"/>
          </w:tcPr>
          <w:p>
            <w:r>
              <w:rPr>
                <w:sz w:val="16"/>
                <w:b w:val="0"/>
              </w:rPr>
              <w:t xml:space="preserve">None — a methodological note.</w:t>
            </w:r>
          </w:p>
        </w:tc>
      </w:tr>
      <w:tr>
        <w:tc>
          <w:tcPr>
            <w:tcW w:type="dxa" w:w="1701"/>
          </w:tcPr>
          <w:p>
            <w:r>
              <w:rPr>
                <w:b/>
                <w:sz w:val="16"/>
              </w:rPr>
              <w:t>Methodology</w:t>
            </w:r>
          </w:p>
        </w:tc>
        <w:tc>
          <w:tcPr>
            <w:tcW w:type="dxa" w:w="8164"/>
          </w:tcPr>
          <w:p>
            <w:r>
              <w:rPr>
                <w:sz w:val="16"/>
                <w:b w:val="0"/>
              </w:rPr>
              <w:t xml:space="preserve">Generalized impulse responses for VAR models.</w:t>
            </w:r>
          </w:p>
        </w:tc>
      </w:tr>
      <w:tr>
        <w:tc>
          <w:tcPr>
            <w:tcW w:type="dxa" w:w="1701"/>
          </w:tcPr>
          <w:p>
            <w:r>
              <w:rPr>
                <w:b/>
                <w:sz w:val="16"/>
              </w:rPr>
              <w:t>Results</w:t>
            </w:r>
          </w:p>
        </w:tc>
        <w:tc>
          <w:tcPr>
            <w:tcW w:type="dxa" w:w="8164"/>
          </w:tcPr>
          <w:p>
            <w:r>
              <w:rPr>
                <w:sz w:val="16"/>
                <w:b w:val="0"/>
              </w:rPr>
              <w:t xml:space="preserve">• Responses do not depend on variable ordering.</w:t>
            </w:r>
          </w:p>
          <w:p>
            <w:r>
              <w:rPr>
                <w:sz w:val="16"/>
                <w:b w:val="0"/>
              </w:rPr>
              <w:t xml:space="preserve">• They equal the Cholesky responses when the shocked variable is ordered first.</w:t>
            </w:r>
          </w:p>
          <w:p>
            <w:r>
              <w:rPr>
                <w:sz w:val="16"/>
                <w:b w:val="0"/>
              </w:rPr>
              <w:t xml:space="preserve">• Generalized variance shares need not add to one — hence Diebold &amp; Yilmaz normalise each row.</w:t>
            </w:r>
          </w:p>
        </w:tc>
      </w:tr>
      <w:tr>
        <w:tc>
          <w:tcPr>
            <w:tcW w:type="dxa" w:w="1701"/>
            <w:shd w:val="clear" w:color="auto" w:fill="EAF1FB"/>
          </w:tcPr>
          <w:p>
            <w:r>
              <w:rPr>
                <w:b/>
                <w:sz w:val="16"/>
              </w:rPr>
              <w:t>How it relates to MY study</w:t>
            </w:r>
          </w:p>
        </w:tc>
        <w:tc>
          <w:tcPr>
            <w:tcW w:type="dxa" w:w="8164"/>
            <w:shd w:val="clear" w:color="auto" w:fill="EAF1FB"/>
          </w:tcPr>
          <w:p>
            <w:r>
              <w:rPr>
                <w:sz w:val="16"/>
                <w:b w:val="0"/>
              </w:rPr>
              <w:t xml:space="preserve">Why your E1 shares do not depend on listing ISEQ, S&amp;P 500 and DAX in a particular order (your code was checked for this).</w:t>
            </w:r>
          </w:p>
        </w:tc>
      </w:tr>
      <w:tr>
        <w:tc>
          <w:tcPr>
            <w:tcW w:type="dxa" w:w="1701"/>
            <w:shd w:val="clear" w:color="auto" w:fill="EAF1FB"/>
          </w:tcPr>
          <w:p>
            <w:r>
              <w:rPr>
                <w:b/>
                <w:sz w:val="16"/>
              </w:rPr>
              <w:t>Must read in the original</w:t>
            </w:r>
          </w:p>
        </w:tc>
        <w:tc>
          <w:tcPr>
            <w:tcW w:type="dxa" w:w="8164"/>
            <w:shd w:val="clear" w:color="auto" w:fill="EAF1FB"/>
          </w:tcPr>
          <w:p>
            <w:r>
              <w:rPr>
                <w:sz w:val="16"/>
                <w:b w:val="0"/>
              </w:rPr>
              <w:t xml:space="preserve">The definitions of generalized impulse responses and variance decompositions (short paper).</w:t>
            </w:r>
          </w:p>
        </w:tc>
      </w:tr>
      <w:tr>
        <w:tc>
          <w:tcPr>
            <w:tcW w:type="dxa" w:w="1701"/>
          </w:tcPr>
          <w:p>
            <w:r>
              <w:rPr>
                <w:b/>
                <w:sz w:val="16"/>
              </w:rPr>
              <w:t>Can skim / skip</w:t>
            </w:r>
          </w:p>
        </w:tc>
        <w:tc>
          <w:tcPr>
            <w:tcW w:type="dxa" w:w="8164"/>
          </w:tcPr>
          <w:p>
            <w:r>
              <w:rPr>
                <w:sz w:val="16"/>
                <w:b w:val="0"/>
              </w:rPr>
              <w:t xml:space="preserve">Extensions to cointegrated models.</w:t>
            </w:r>
          </w:p>
        </w:tc>
      </w:tr>
      <w:tr>
        <w:tc>
          <w:tcPr>
            <w:tcW w:type="dxa" w:w="1701"/>
          </w:tcPr>
          <w:p>
            <w:r>
              <w:rPr>
                <w:b/>
                <w:sz w:val="16"/>
              </w:rPr>
              <w:t>Key terms</w:t>
            </w:r>
          </w:p>
        </w:tc>
        <w:tc>
          <w:tcPr>
            <w:tcW w:type="dxa" w:w="8164"/>
          </w:tcPr>
          <w:p>
            <w:r>
              <w:rPr>
                <w:sz w:val="16"/>
                <w:b w:val="0"/>
              </w:rPr>
              <w:t xml:space="preserve">generalized impulse response; orthogonalised (Cholesky) decomposition; variable ordering</w:t>
            </w:r>
          </w:p>
        </w:tc>
      </w:tr>
      <w:tr>
        <w:tc>
          <w:tcPr>
            <w:tcW w:type="dxa" w:w="1701"/>
          </w:tcPr>
          <w:p>
            <w:r>
              <w:rPr>
                <w:b/>
                <w:sz w:val="16"/>
              </w:rPr>
              <w:t>Strengths</w:t>
            </w:r>
          </w:p>
        </w:tc>
        <w:tc>
          <w:tcPr>
            <w:tcW w:type="dxa" w:w="8164"/>
          </w:tcPr>
          <w:p>
            <w:r>
              <w:rPr>
                <w:sz w:val="16"/>
                <w:b w:val="0"/>
              </w:rPr>
              <w:t xml:space="preserve">Removes an arbitrary modelling choice.</w:t>
            </w:r>
          </w:p>
        </w:tc>
      </w:tr>
      <w:tr>
        <w:tc>
          <w:tcPr>
            <w:tcW w:type="dxa" w:w="1701"/>
          </w:tcPr>
          <w:p>
            <w:r>
              <w:rPr>
                <w:b/>
                <w:sz w:val="16"/>
              </w:rPr>
              <w:t>Weaknesses / critique</w:t>
            </w:r>
          </w:p>
        </w:tc>
        <w:tc>
          <w:tcPr>
            <w:tcW w:type="dxa" w:w="8164"/>
          </w:tcPr>
          <w:p>
            <w:r>
              <w:rPr>
                <w:sz w:val="16"/>
                <w:b w:val="0"/>
              </w:rPr>
              <w:t xml:space="preserve">Shares must be normalised; correlated shocks are shared, so interpretation stays descriptive.</w:t>
            </w:r>
          </w:p>
        </w:tc>
      </w:tr>
      <w:tr>
        <w:tc>
          <w:tcPr>
            <w:tcW w:type="dxa" w:w="1701"/>
            <w:shd w:val="clear" w:color="auto" w:fill="EAF1FB"/>
          </w:tcPr>
          <w:p>
            <w:r>
              <w:rPr>
                <w:b/>
                <w:sz w:val="16"/>
              </w:rPr>
              <w:t>Use it as · where</w:t>
            </w:r>
          </w:p>
        </w:tc>
        <w:tc>
          <w:tcPr>
            <w:tcW w:type="dxa" w:w="8164"/>
            <w:shd w:val="clear" w:color="auto" w:fill="EAF1FB"/>
          </w:tcPr>
          <w:p>
            <w:r>
              <w:rPr>
                <w:sz w:val="16"/>
                <w:b w:val="0"/>
              </w:rPr>
              <w:t xml:space="preserve">Method · Chapter 3 (E1)</w:t>
            </w:r>
          </w:p>
        </w:tc>
      </w:tr>
    </w:tbl>
    <w:p>
      <w:pPr>
        <w:spacing w:after="80"/>
      </w:pPr>
    </w:p>
    <w:tbl>
      <w:tblPr>
        <w:tblStyle w:val="TableGrid"/>
        <w:tblW w:type="auto" w:w="0"/>
        <w:jc w:val="center"/>
        <w:tblLook w:firstColumn="1" w:firstRow="1" w:lastColumn="0" w:lastRow="0" w:noHBand="0" w:noVBand="1" w:val="04A0"/>
      </w:tblPr>
      <w:tblGrid>
        <w:gridCol w:w="5100"/>
        <w:gridCol w:w="5100"/>
      </w:tblGrid>
      <w:tr>
        <w:tc>
          <w:tcPr>
            <w:tcW w:type="dxa" w:w="8164"/>
            <w:gridSpan w:val="2"/>
            <w:shd w:val="clear" w:color="auto" w:fill="1F4E79"/>
          </w:tcPr>
          <w:p>
            <w:r>
              <w:rPr>
                <w:b/>
                <w:color w:val="FFFFFF"/>
                <w:sz w:val="19"/>
              </w:rPr>
              <w:t>Sahiner, M. (2023) Volatility spillovers and contagion during major crises: a deep learning early warning approach. Computational Economics.</w:t>
            </w:r>
          </w:p>
        </w:tc>
      </w:tr>
      <w:tr>
        <w:tc>
          <w:tcPr>
            <w:tcW w:type="dxa" w:w="1701"/>
            <w:shd w:val="clear" w:color="auto" w:fill="FFF2CC"/>
          </w:tcPr>
          <w:p>
            <w:r>
              <w:rPr>
                <w:b/>
                <w:sz w:val="16"/>
              </w:rPr>
              <w:t>Source basis</w:t>
            </w:r>
          </w:p>
        </w:tc>
        <w:tc>
          <w:tcPr>
            <w:tcW w:type="dxa" w:w="8164"/>
            <w:shd w:val="clear" w:color="auto" w:fill="FFF2CC"/>
          </w:tcPr>
          <w:p>
            <w:r>
              <w:rPr>
                <w:sz w:val="16"/>
              </w:rPr>
              <w:t>ABSTRACT / summary read in this session; read the full paper before relying on details</w:t>
            </w:r>
          </w:p>
        </w:tc>
      </w:tr>
      <w:tr>
        <w:tc>
          <w:tcPr>
            <w:tcW w:type="dxa" w:w="1701"/>
          </w:tcPr>
          <w:p>
            <w:r>
              <w:rPr>
                <w:b/>
                <w:sz w:val="16"/>
              </w:rPr>
              <w:t>Summary</w:t>
            </w:r>
          </w:p>
        </w:tc>
        <w:tc>
          <w:tcPr>
            <w:tcW w:type="dxa" w:w="8164"/>
          </w:tcPr>
          <w:p>
            <w:r>
              <w:rPr>
                <w:sz w:val="16"/>
              </w:rPr>
              <w:t>Combines spillover econometrics with deep learning across major crashes.</w:t>
            </w:r>
          </w:p>
        </w:tc>
      </w:tr>
      <w:tr>
        <w:tc>
          <w:tcPr>
            <w:tcW w:type="dxa" w:w="1701"/>
          </w:tcPr>
          <w:p>
            <w:r>
              <w:rPr>
                <w:b/>
                <w:sz w:val="16"/>
              </w:rPr>
              <w:t>Dataset</w:t>
            </w:r>
          </w:p>
        </w:tc>
        <w:tc>
          <w:tcPr>
            <w:tcW w:type="dxa" w:w="8164"/>
          </w:tcPr>
          <w:p>
            <w:r>
              <w:rPr>
                <w:sz w:val="16"/>
              </w:rPr>
              <w:t>International stock markets, 3 Jul 1997 – 9 Mar 2021.</w:t>
            </w:r>
          </w:p>
        </w:tc>
      </w:tr>
      <w:tr>
        <w:tc>
          <w:tcPr>
            <w:tcW w:type="dxa" w:w="1701"/>
          </w:tcPr>
          <w:p>
            <w:r>
              <w:rPr>
                <w:b/>
                <w:sz w:val="16"/>
              </w:rPr>
              <w:t>Methodology</w:t>
            </w:r>
          </w:p>
        </w:tc>
        <w:tc>
          <w:tcPr>
            <w:tcW w:type="dxa" w:w="8164"/>
          </w:tcPr>
          <w:p>
            <w:r>
              <w:rPr>
                <w:sz w:val="16"/>
              </w:rPr>
              <w:t>DCC, GARCH-BEKK, Diebold–Yilmaz; deep-learning early warning.</w:t>
            </w:r>
          </w:p>
        </w:tc>
      </w:tr>
      <w:tr>
        <w:tc>
          <w:tcPr>
            <w:tcW w:type="dxa" w:w="1701"/>
          </w:tcPr>
          <w:p>
            <w:r>
              <w:rPr>
                <w:b/>
                <w:sz w:val="16"/>
              </w:rPr>
              <w:t>Results</w:t>
            </w:r>
          </w:p>
        </w:tc>
        <w:tc>
          <w:tcPr>
            <w:tcW w:type="dxa" w:w="8164"/>
          </w:tcPr>
          <w:p>
            <w:r>
              <w:rPr>
                <w:sz w:val="16"/>
              </w:rPr>
              <w:t>• External shocks have long-lasting domestic effects in crises.</w:t>
            </w:r>
          </w:p>
          <w:p>
            <w:r>
              <w:rPr>
                <w:sz w:val="16"/>
              </w:rPr>
              <w:t>• Asian stress transmitted mainly via Hong Kong.</w:t>
            </w:r>
          </w:p>
        </w:tc>
      </w:tr>
      <w:tr>
        <w:tc>
          <w:tcPr>
            <w:tcW w:type="dxa" w:w="1701"/>
            <w:shd w:val="clear" w:color="auto" w:fill="EAF1FB"/>
          </w:tcPr>
          <w:p>
            <w:r>
              <w:rPr>
                <w:b/>
                <w:sz w:val="16"/>
              </w:rPr>
              <w:t>How it relates to MY study</w:t>
            </w:r>
          </w:p>
        </w:tc>
        <w:tc>
          <w:tcPr>
            <w:tcW w:type="dxa" w:w="8164"/>
            <w:shd w:val="clear" w:color="auto" w:fill="EAF1FB"/>
          </w:tcPr>
          <w:p>
            <w:r>
              <w:rPr>
                <w:sz w:val="16"/>
              </w:rPr>
              <w:t>Closest prior work; your difference: SHAP channel attribution, Ireland, cross-crisis test.</w:t>
            </w:r>
          </w:p>
        </w:tc>
      </w:tr>
      <w:tr>
        <w:tc>
          <w:tcPr>
            <w:tcW w:type="dxa" w:w="1701"/>
            <w:shd w:val="clear" w:color="auto" w:fill="EAF1FB"/>
          </w:tcPr>
          <w:p>
            <w:r>
              <w:rPr>
                <w:b/>
                <w:sz w:val="16"/>
              </w:rPr>
              <w:t>Must read in the original</w:t>
            </w:r>
          </w:p>
        </w:tc>
        <w:tc>
          <w:tcPr>
            <w:tcW w:type="dxa" w:w="8164"/>
            <w:shd w:val="clear" w:color="auto" w:fill="EAF1FB"/>
          </w:tcPr>
          <w:p>
            <w:r>
              <w:rPr>
                <w:sz w:val="16"/>
              </w:rPr>
              <w:t>Introduction, method overview, crisis results, conclusion.</w:t>
            </w:r>
          </w:p>
        </w:tc>
      </w:tr>
      <w:tr>
        <w:tc>
          <w:tcPr>
            <w:tcW w:type="dxa" w:w="1701"/>
          </w:tcPr>
          <w:p>
            <w:r>
              <w:rPr>
                <w:b/>
                <w:sz w:val="16"/>
              </w:rPr>
              <w:t>Can skim / skip</w:t>
            </w:r>
          </w:p>
        </w:tc>
        <w:tc>
          <w:tcPr>
            <w:tcW w:type="dxa" w:w="8164"/>
          </w:tcPr>
          <w:p>
            <w:r>
              <w:rPr>
                <w:sz w:val="16"/>
              </w:rPr>
              <w:t>—</w:t>
            </w:r>
          </w:p>
        </w:tc>
      </w:tr>
      <w:tr>
        <w:tc>
          <w:tcPr>
            <w:tcW w:type="dxa" w:w="1701"/>
          </w:tcPr>
          <w:p>
            <w:r>
              <w:rPr>
                <w:b/>
                <w:sz w:val="16"/>
              </w:rPr>
              <w:t>Key terms</w:t>
            </w:r>
          </w:p>
        </w:tc>
        <w:tc>
          <w:tcPr>
            <w:tcW w:type="dxa" w:w="8164"/>
          </w:tcPr>
          <w:p>
            <w:r>
              <w:rPr>
                <w:sz w:val="16"/>
              </w:rPr>
              <w:t>early warning system; BEKK</w:t>
            </w:r>
          </w:p>
        </w:tc>
      </w:tr>
      <w:tr>
        <w:tc>
          <w:tcPr>
            <w:tcW w:type="dxa" w:w="1701"/>
          </w:tcPr>
          <w:p>
            <w:r>
              <w:rPr>
                <w:b/>
                <w:sz w:val="16"/>
              </w:rPr>
              <w:t>Strengths</w:t>
            </w:r>
          </w:p>
        </w:tc>
        <w:tc>
          <w:tcPr>
            <w:tcW w:type="dxa" w:w="8164"/>
          </w:tcPr>
          <w:p>
            <w:r>
              <w:rPr>
                <w:sz w:val="16"/>
              </w:rPr>
              <w:t>Long sample.</w:t>
            </w:r>
          </w:p>
        </w:tc>
      </w:tr>
      <w:tr>
        <w:tc>
          <w:tcPr>
            <w:tcW w:type="dxa" w:w="1701"/>
          </w:tcPr>
          <w:p>
            <w:r>
              <w:rPr>
                <w:b/>
                <w:sz w:val="16"/>
              </w:rPr>
              <w:t>Weaknesses / critique</w:t>
            </w:r>
          </w:p>
        </w:tc>
        <w:tc>
          <w:tcPr>
            <w:tcW w:type="dxa" w:w="8164"/>
          </w:tcPr>
          <w:p>
            <w:r>
              <w:rPr>
                <w:sz w:val="16"/>
              </w:rPr>
              <w:t>No explanation of channels; no Ireland.</w:t>
            </w:r>
          </w:p>
        </w:tc>
      </w:tr>
      <w:tr>
        <w:tc>
          <w:tcPr>
            <w:tcW w:type="dxa" w:w="1701"/>
            <w:shd w:val="clear" w:color="auto" w:fill="EAF1FB"/>
          </w:tcPr>
          <w:p>
            <w:r>
              <w:rPr>
                <w:b/>
                <w:sz w:val="16"/>
              </w:rPr>
              <w:t>Use it as · where</w:t>
            </w:r>
          </w:p>
        </w:tc>
        <w:tc>
          <w:tcPr>
            <w:tcW w:type="dxa" w:w="8164"/>
            <w:shd w:val="clear" w:color="auto" w:fill="EAF1FB"/>
          </w:tcPr>
          <w:p>
            <w:r>
              <w:rPr>
                <w:sz w:val="16"/>
              </w:rPr>
              <w:t>Contrast · 2.4; 2.7 gap</w:t>
            </w:r>
          </w:p>
        </w:tc>
      </w:tr>
    </w:tbl>
    <w:p>
      <w:pPr>
        <w:spacing w:after="80"/>
      </w:pPr>
    </w:p>
    <w:tbl>
      <w:tblPr>
        <w:tblStyle w:val="TableGrid"/>
        <w:tblW w:type="auto" w:w="0"/>
        <w:jc w:val="center"/>
        <w:tblLook w:firstColumn="1" w:firstRow="1" w:lastColumn="0" w:lastRow="0" w:noHBand="0" w:noVBand="1" w:val="04A0"/>
      </w:tblPr>
      <w:tblGrid>
        <w:gridCol w:w="5100"/>
        <w:gridCol w:w="5100"/>
      </w:tblGrid>
      <w:tr>
        <w:tc>
          <w:tcPr>
            <w:tcW w:type="dxa" w:w="8164"/>
            <w:gridSpan w:val="2"/>
            <w:shd w:val="clear" w:color="auto" w:fill="1F4E79"/>
          </w:tcPr>
          <w:p>
            <w:r>
              <w:rPr>
                <w:b/>
                <w:color w:val="FFFFFF"/>
                <w:sz w:val="19"/>
              </w:rPr>
              <w:t>Pericoli &amp; Sbracia (2003); Dungey et al. (2005); Bekaert, Harvey &amp; Ng (2005).</w:t>
            </w:r>
          </w:p>
        </w:tc>
      </w:tr>
      <w:tr>
        <w:tc>
          <w:tcPr>
            <w:tcW w:type="dxa" w:w="1701"/>
            <w:shd w:val="clear" w:color="auto" w:fill="EFEFEF"/>
          </w:tcPr>
          <w:p>
            <w:r>
              <w:rPr>
                <w:b/>
                <w:sz w:val="16"/>
              </w:rPr>
              <w:t>Source basis</w:t>
            </w:r>
          </w:p>
        </w:tc>
        <w:tc>
          <w:tcPr>
            <w:tcW w:type="dxa" w:w="8164"/>
            <w:shd w:val="clear" w:color="auto" w:fill="EFEFEF"/>
          </w:tcPr>
          <w:p>
            <w:r>
              <w:rPr>
                <w:sz w:val="16"/>
              </w:rPr>
              <w:t>STANDARD KNOWLEDGE, not re-read this session; confirm every detail and page before citing</w:t>
            </w:r>
          </w:p>
        </w:tc>
      </w:tr>
      <w:tr>
        <w:tc>
          <w:tcPr>
            <w:tcW w:type="dxa" w:w="1701"/>
          </w:tcPr>
          <w:p>
            <w:r>
              <w:rPr>
                <w:b/>
                <w:sz w:val="16"/>
              </w:rPr>
              <w:t>Summary</w:t>
            </w:r>
          </w:p>
        </w:tc>
        <w:tc>
          <w:tcPr>
            <w:tcW w:type="dxa" w:w="8164"/>
          </w:tcPr>
          <w:p>
            <w:r>
              <w:rPr>
                <w:sz w:val="16"/>
              </w:rPr>
              <w:t>Definitions and methods for measuring contagion.</w:t>
            </w:r>
          </w:p>
        </w:tc>
      </w:tr>
      <w:tr>
        <w:tc>
          <w:tcPr>
            <w:tcW w:type="dxa" w:w="1701"/>
          </w:tcPr>
          <w:p>
            <w:r>
              <w:rPr>
                <w:b/>
                <w:sz w:val="16"/>
              </w:rPr>
              <w:t>Dataset</w:t>
            </w:r>
          </w:p>
        </w:tc>
        <w:tc>
          <w:tcPr>
            <w:tcW w:type="dxa" w:w="8164"/>
          </w:tcPr>
          <w:p>
            <w:r>
              <w:rPr>
                <w:sz w:val="16"/>
              </w:rPr>
              <w:t>Reviews; factor-model study.</w:t>
            </w:r>
          </w:p>
        </w:tc>
      </w:tr>
      <w:tr>
        <w:tc>
          <w:tcPr>
            <w:tcW w:type="dxa" w:w="1701"/>
          </w:tcPr>
          <w:p>
            <w:r>
              <w:rPr>
                <w:b/>
                <w:sz w:val="16"/>
              </w:rPr>
              <w:t>Methodology</w:t>
            </w:r>
          </w:p>
        </w:tc>
        <w:tc>
          <w:tcPr>
            <w:tcW w:type="dxa" w:w="8164"/>
          </w:tcPr>
          <w:p>
            <w:r>
              <w:rPr>
                <w:sz w:val="16"/>
              </w:rPr>
              <w:t>Surveys; factor model.</w:t>
            </w:r>
          </w:p>
        </w:tc>
      </w:tr>
      <w:tr>
        <w:tc>
          <w:tcPr>
            <w:tcW w:type="dxa" w:w="1701"/>
          </w:tcPr>
          <w:p>
            <w:r>
              <w:rPr>
                <w:b/>
                <w:sz w:val="16"/>
              </w:rPr>
              <w:t>Results</w:t>
            </w:r>
          </w:p>
        </w:tc>
        <w:tc>
          <w:tcPr>
            <w:tcW w:type="dxa" w:w="8164"/>
          </w:tcPr>
          <w:p>
            <w:r>
              <w:rPr>
                <w:sz w:val="16"/>
              </w:rPr>
              <w:t>• Several competing definitions of contagion.</w:t>
            </w:r>
          </w:p>
          <w:p>
            <w:r>
              <w:rPr>
                <w:sz w:val="16"/>
              </w:rPr>
              <w:t>• Many tests fit a common latent-factor framework.</w:t>
            </w:r>
          </w:p>
          <w:p>
            <w:r>
              <w:rPr>
                <w:sz w:val="16"/>
              </w:rPr>
              <w:t>• Contagion as excess correlation of factor-model residuals.</w:t>
            </w:r>
          </w:p>
        </w:tc>
      </w:tr>
      <w:tr>
        <w:tc>
          <w:tcPr>
            <w:tcW w:type="dxa" w:w="1701"/>
            <w:shd w:val="clear" w:color="auto" w:fill="EAF1FB"/>
          </w:tcPr>
          <w:p>
            <w:r>
              <w:rPr>
                <w:b/>
                <w:sz w:val="16"/>
              </w:rPr>
              <w:t>How it relates to MY study</w:t>
            </w:r>
          </w:p>
        </w:tc>
        <w:tc>
          <w:tcPr>
            <w:tcW w:type="dxa" w:w="8164"/>
            <w:shd w:val="clear" w:color="auto" w:fill="EAF1FB"/>
          </w:tcPr>
          <w:p>
            <w:r>
              <w:rPr>
                <w:sz w:val="16"/>
              </w:rPr>
              <w:t>Definitions for 2.4.</w:t>
            </w:r>
          </w:p>
        </w:tc>
      </w:tr>
      <w:tr>
        <w:tc>
          <w:tcPr>
            <w:tcW w:type="dxa" w:w="1701"/>
            <w:shd w:val="clear" w:color="auto" w:fill="EAF1FB"/>
          </w:tcPr>
          <w:p>
            <w:r>
              <w:rPr>
                <w:b/>
                <w:sz w:val="16"/>
              </w:rPr>
              <w:t>Must read in the original</w:t>
            </w:r>
          </w:p>
        </w:tc>
        <w:tc>
          <w:tcPr>
            <w:tcW w:type="dxa" w:w="8164"/>
            <w:shd w:val="clear" w:color="auto" w:fill="EAF1FB"/>
          </w:tcPr>
          <w:p>
            <w:r>
              <w:rPr>
                <w:sz w:val="16"/>
              </w:rPr>
              <w:t>Definition sections.</w:t>
            </w:r>
          </w:p>
        </w:tc>
      </w:tr>
      <w:tr>
        <w:tc>
          <w:tcPr>
            <w:tcW w:type="dxa" w:w="1701"/>
          </w:tcPr>
          <w:p>
            <w:r>
              <w:rPr>
                <w:b/>
                <w:sz w:val="16"/>
              </w:rPr>
              <w:t>Can skim / skip</w:t>
            </w:r>
          </w:p>
        </w:tc>
        <w:tc>
          <w:tcPr>
            <w:tcW w:type="dxa" w:w="8164"/>
          </w:tcPr>
          <w:p>
            <w:r>
              <w:rPr>
                <w:sz w:val="16"/>
              </w:rPr>
              <w:t>Technical sections.</w:t>
            </w:r>
          </w:p>
        </w:tc>
      </w:tr>
      <w:tr>
        <w:tc>
          <w:tcPr>
            <w:tcW w:type="dxa" w:w="1701"/>
          </w:tcPr>
          <w:p>
            <w:r>
              <w:rPr>
                <w:b/>
                <w:sz w:val="16"/>
              </w:rPr>
              <w:t>Key terms</w:t>
            </w:r>
          </w:p>
        </w:tc>
        <w:tc>
          <w:tcPr>
            <w:tcW w:type="dxa" w:w="8164"/>
          </w:tcPr>
          <w:p>
            <w:r>
              <w:rPr>
                <w:sz w:val="16"/>
              </w:rPr>
              <w:t>latent factor; residual correlation</w:t>
            </w:r>
          </w:p>
        </w:tc>
      </w:tr>
      <w:tr>
        <w:tc>
          <w:tcPr>
            <w:tcW w:type="dxa" w:w="1701"/>
          </w:tcPr>
          <w:p>
            <w:r>
              <w:rPr>
                <w:b/>
                <w:sz w:val="16"/>
              </w:rPr>
              <w:t>Strengths</w:t>
            </w:r>
          </w:p>
        </w:tc>
        <w:tc>
          <w:tcPr>
            <w:tcW w:type="dxa" w:w="8164"/>
          </w:tcPr>
          <w:p>
            <w:r>
              <w:rPr>
                <w:sz w:val="16"/>
              </w:rPr>
              <w:t>Organise the field.</w:t>
            </w:r>
          </w:p>
        </w:tc>
      </w:tr>
      <w:tr>
        <w:tc>
          <w:tcPr>
            <w:tcW w:type="dxa" w:w="1701"/>
          </w:tcPr>
          <w:p>
            <w:r>
              <w:rPr>
                <w:b/>
                <w:sz w:val="16"/>
              </w:rPr>
              <w:t>Weaknesses / critique</w:t>
            </w:r>
          </w:p>
        </w:tc>
        <w:tc>
          <w:tcPr>
            <w:tcW w:type="dxa" w:w="8164"/>
          </w:tcPr>
          <w:p>
            <w:r>
              <w:rPr>
                <w:sz w:val="16"/>
              </w:rPr>
              <w:t>Confirm details.</w:t>
            </w:r>
          </w:p>
        </w:tc>
      </w:tr>
      <w:tr>
        <w:tc>
          <w:tcPr>
            <w:tcW w:type="dxa" w:w="1701"/>
            <w:shd w:val="clear" w:color="auto" w:fill="EAF1FB"/>
          </w:tcPr>
          <w:p>
            <w:r>
              <w:rPr>
                <w:b/>
                <w:sz w:val="16"/>
              </w:rPr>
              <w:t>Use it as · where</w:t>
            </w:r>
          </w:p>
        </w:tc>
        <w:tc>
          <w:tcPr>
            <w:tcW w:type="dxa" w:w="8164"/>
            <w:shd w:val="clear" w:color="auto" w:fill="EAF1FB"/>
          </w:tcPr>
          <w:p>
            <w:r>
              <w:rPr>
                <w:sz w:val="16"/>
              </w:rPr>
              <w:t>Context · 2.4</w:t>
            </w:r>
          </w:p>
        </w:tc>
      </w:tr>
    </w:tbl>
    <w:p>
      <w:pPr>
        <w:spacing w:after="80"/>
      </w:pPr>
    </w:p>
    <w:p>
      <w:pPr>
        <w:pStyle w:val="Heading2"/>
      </w:pPr>
      <w:r>
        <w:rPr>
          <w:color w:val="1F4E79"/>
        </w:rPr>
        <w:t>D4. Section 2.5 — Forecasting volatility</w:t>
      </w:r>
    </w:p>
    <w:tbl>
      <w:tblPr>
        <w:tblStyle w:val="TableGrid"/>
        <w:tblW w:type="auto" w:w="0"/>
        <w:jc w:val="center"/>
        <w:tblLook w:firstColumn="1" w:firstRow="1" w:lastColumn="0" w:lastRow="0" w:noHBand="0" w:noVBand="1" w:val="04A0"/>
      </w:tblPr>
      <w:tblGrid>
        <w:gridCol w:w="5100"/>
        <w:gridCol w:w="5100"/>
      </w:tblGrid>
      <w:tr>
        <w:tc>
          <w:tcPr>
            <w:tcW w:type="dxa" w:w="8164"/>
            <w:gridSpan w:val="2"/>
            <w:shd w:val="clear" w:color="auto" w:fill="1F4E79"/>
          </w:tcPr>
          <w:p>
            <w:r>
              <w:rPr>
                <w:b/>
                <w:color w:val="FFFFFF"/>
                <w:sz w:val="19"/>
              </w:rPr>
              <w:t>Engle (1982); Bollerslev (1986).</w:t>
            </w:r>
          </w:p>
        </w:tc>
      </w:tr>
      <w:tr>
        <w:tc>
          <w:tcPr>
            <w:tcW w:type="dxa" w:w="1701"/>
            <w:shd w:val="clear" w:color="auto" w:fill="EFEFEF"/>
          </w:tcPr>
          <w:p>
            <w:r>
              <w:rPr>
                <w:b/>
                <w:sz w:val="16"/>
              </w:rPr>
              <w:t>Source basis</w:t>
            </w:r>
          </w:p>
        </w:tc>
        <w:tc>
          <w:tcPr>
            <w:tcW w:type="dxa" w:w="8164"/>
            <w:shd w:val="clear" w:color="auto" w:fill="EFEFEF"/>
          </w:tcPr>
          <w:p>
            <w:r>
              <w:rPr>
                <w:sz w:val="16"/>
              </w:rPr>
              <w:t>STANDARD KNOWLEDGE, not re-read this session; confirm every detail and page before citing</w:t>
            </w:r>
          </w:p>
        </w:tc>
      </w:tr>
      <w:tr>
        <w:tc>
          <w:tcPr>
            <w:tcW w:type="dxa" w:w="1701"/>
          </w:tcPr>
          <w:p>
            <w:r>
              <w:rPr>
                <w:b/>
                <w:sz w:val="16"/>
              </w:rPr>
              <w:t>Summary</w:t>
            </w:r>
          </w:p>
        </w:tc>
        <w:tc>
          <w:tcPr>
            <w:tcW w:type="dxa" w:w="8164"/>
          </w:tcPr>
          <w:p>
            <w:r>
              <w:rPr>
                <w:sz w:val="16"/>
              </w:rPr>
              <w:t>ARCH and GARCH: the foundations of volatility modelling.</w:t>
            </w:r>
          </w:p>
        </w:tc>
      </w:tr>
      <w:tr>
        <w:tc>
          <w:tcPr>
            <w:tcW w:type="dxa" w:w="1701"/>
          </w:tcPr>
          <w:p>
            <w:r>
              <w:rPr>
                <w:b/>
                <w:sz w:val="16"/>
              </w:rPr>
              <w:t>Dataset</w:t>
            </w:r>
          </w:p>
        </w:tc>
        <w:tc>
          <w:tcPr>
            <w:tcW w:type="dxa" w:w="8164"/>
          </w:tcPr>
          <w:p>
            <w:r>
              <w:rPr>
                <w:sz w:val="16"/>
              </w:rPr>
              <w:t>UK inflation (Engle); general.</w:t>
            </w:r>
          </w:p>
        </w:tc>
      </w:tr>
      <w:tr>
        <w:tc>
          <w:tcPr>
            <w:tcW w:type="dxa" w:w="1701"/>
          </w:tcPr>
          <w:p>
            <w:r>
              <w:rPr>
                <w:b/>
                <w:sz w:val="16"/>
              </w:rPr>
              <w:t>Methodology</w:t>
            </w:r>
          </w:p>
        </w:tc>
        <w:tc>
          <w:tcPr>
            <w:tcW w:type="dxa" w:w="8164"/>
          </w:tcPr>
          <w:p>
            <w:r>
              <w:rPr>
                <w:sz w:val="16"/>
              </w:rPr>
              <w:t>Conditional variance models.</w:t>
            </w:r>
          </w:p>
        </w:tc>
      </w:tr>
      <w:tr>
        <w:tc>
          <w:tcPr>
            <w:tcW w:type="dxa" w:w="1701"/>
          </w:tcPr>
          <w:p>
            <w:r>
              <w:rPr>
                <w:b/>
                <w:sz w:val="16"/>
              </w:rPr>
              <w:t>Results</w:t>
            </w:r>
          </w:p>
        </w:tc>
        <w:tc>
          <w:tcPr>
            <w:tcW w:type="dxa" w:w="8164"/>
          </w:tcPr>
          <w:p>
            <w:r>
              <w:rPr>
                <w:sz w:val="16"/>
              </w:rPr>
              <w:t>• Variance depends on past shocks (ARCH) and past variance (GARCH).</w:t>
            </w:r>
          </w:p>
        </w:tc>
      </w:tr>
      <w:tr>
        <w:tc>
          <w:tcPr>
            <w:tcW w:type="dxa" w:w="1701"/>
            <w:shd w:val="clear" w:color="auto" w:fill="EAF1FB"/>
          </w:tcPr>
          <w:p>
            <w:r>
              <w:rPr>
                <w:b/>
                <w:sz w:val="16"/>
              </w:rPr>
              <w:t>How it relates to MY study</w:t>
            </w:r>
          </w:p>
        </w:tc>
        <w:tc>
          <w:tcPr>
            <w:tcW w:type="dxa" w:w="8164"/>
            <w:shd w:val="clear" w:color="auto" w:fill="EAF1FB"/>
          </w:tcPr>
          <w:p>
            <w:r>
              <w:rPr>
                <w:sz w:val="16"/>
              </w:rPr>
              <w:t>Your first benchmark.</w:t>
            </w:r>
          </w:p>
        </w:tc>
      </w:tr>
      <w:tr>
        <w:tc>
          <w:tcPr>
            <w:tcW w:type="dxa" w:w="1701"/>
            <w:shd w:val="clear" w:color="auto" w:fill="EAF1FB"/>
          </w:tcPr>
          <w:p>
            <w:r>
              <w:rPr>
                <w:b/>
                <w:sz w:val="16"/>
              </w:rPr>
              <w:t>Must read in the original</w:t>
            </w:r>
          </w:p>
        </w:tc>
        <w:tc>
          <w:tcPr>
            <w:tcW w:type="dxa" w:w="8164"/>
            <w:shd w:val="clear" w:color="auto" w:fill="EAF1FB"/>
          </w:tcPr>
          <w:p>
            <w:r>
              <w:rPr>
                <w:sz w:val="16"/>
              </w:rPr>
              <w:t>Model definitions.</w:t>
            </w:r>
          </w:p>
        </w:tc>
      </w:tr>
      <w:tr>
        <w:tc>
          <w:tcPr>
            <w:tcW w:type="dxa" w:w="1701"/>
          </w:tcPr>
          <w:p>
            <w:r>
              <w:rPr>
                <w:b/>
                <w:sz w:val="16"/>
              </w:rPr>
              <w:t>Can skim / skip</w:t>
            </w:r>
          </w:p>
        </w:tc>
        <w:tc>
          <w:tcPr>
            <w:tcW w:type="dxa" w:w="8164"/>
          </w:tcPr>
          <w:p>
            <w:r>
              <w:rPr>
                <w:sz w:val="16"/>
              </w:rPr>
              <w:t>Proofs.</w:t>
            </w:r>
          </w:p>
        </w:tc>
      </w:tr>
      <w:tr>
        <w:tc>
          <w:tcPr>
            <w:tcW w:type="dxa" w:w="1701"/>
          </w:tcPr>
          <w:p>
            <w:r>
              <w:rPr>
                <w:b/>
                <w:sz w:val="16"/>
              </w:rPr>
              <w:t>Key terms</w:t>
            </w:r>
          </w:p>
        </w:tc>
        <w:tc>
          <w:tcPr>
            <w:tcW w:type="dxa" w:w="8164"/>
          </w:tcPr>
          <w:p>
            <w:r>
              <w:rPr>
                <w:sz w:val="16"/>
              </w:rPr>
              <w:t>conditional heteroskedasticity; persistence</w:t>
            </w:r>
          </w:p>
        </w:tc>
      </w:tr>
      <w:tr>
        <w:tc>
          <w:tcPr>
            <w:tcW w:type="dxa" w:w="1701"/>
          </w:tcPr>
          <w:p>
            <w:r>
              <w:rPr>
                <w:b/>
                <w:sz w:val="16"/>
              </w:rPr>
              <w:t>Strengths</w:t>
            </w:r>
          </w:p>
        </w:tc>
        <w:tc>
          <w:tcPr>
            <w:tcW w:type="dxa" w:w="8164"/>
          </w:tcPr>
          <w:p>
            <w:r>
              <w:rPr>
                <w:sz w:val="16"/>
              </w:rPr>
              <w:t>Foundational.</w:t>
            </w:r>
          </w:p>
        </w:tc>
      </w:tr>
      <w:tr>
        <w:tc>
          <w:tcPr>
            <w:tcW w:type="dxa" w:w="1701"/>
          </w:tcPr>
          <w:p>
            <w:r>
              <w:rPr>
                <w:b/>
                <w:sz w:val="16"/>
              </w:rPr>
              <w:t>Weaknesses / critique</w:t>
            </w:r>
          </w:p>
        </w:tc>
        <w:tc>
          <w:tcPr>
            <w:tcW w:type="dxa" w:w="8164"/>
          </w:tcPr>
          <w:p>
            <w:r>
              <w:rPr>
                <w:sz w:val="16"/>
              </w:rPr>
              <w:t>Symmetric response (GJR adds leverage).</w:t>
            </w:r>
          </w:p>
        </w:tc>
      </w:tr>
      <w:tr>
        <w:tc>
          <w:tcPr>
            <w:tcW w:type="dxa" w:w="1701"/>
            <w:shd w:val="clear" w:color="auto" w:fill="EAF1FB"/>
          </w:tcPr>
          <w:p>
            <w:r>
              <w:rPr>
                <w:b/>
                <w:sz w:val="16"/>
              </w:rPr>
              <w:t>Use it as · where</w:t>
            </w:r>
          </w:p>
        </w:tc>
        <w:tc>
          <w:tcPr>
            <w:tcW w:type="dxa" w:w="8164"/>
            <w:shd w:val="clear" w:color="auto" w:fill="EAF1FB"/>
          </w:tcPr>
          <w:p>
            <w:r>
              <w:rPr>
                <w:sz w:val="16"/>
              </w:rPr>
              <w:t>Method · 2.5; Chapter 3</w:t>
            </w:r>
          </w:p>
        </w:tc>
      </w:tr>
    </w:tbl>
    <w:p>
      <w:pPr>
        <w:spacing w:after="80"/>
      </w:pPr>
    </w:p>
    <w:tbl>
      <w:tblPr>
        <w:tblStyle w:val="TableGrid"/>
        <w:tblW w:type="auto" w:w="0"/>
        <w:jc w:val="center"/>
        <w:tblLook w:firstColumn="1" w:firstRow="1" w:lastColumn="0" w:lastRow="0" w:noHBand="0" w:noVBand="1" w:val="04A0"/>
      </w:tblPr>
      <w:tblGrid>
        <w:gridCol w:w="5100"/>
        <w:gridCol w:w="5100"/>
      </w:tblGrid>
      <w:tr>
        <w:tc>
          <w:tcPr>
            <w:tcW w:type="dxa" w:w="8164"/>
            <w:gridSpan w:val="2"/>
            <w:shd w:val="clear" w:color="auto" w:fill="1F4E79"/>
          </w:tcPr>
          <w:p>
            <w:r>
              <w:rPr>
                <w:b/>
                <w:color w:val="FFFFFF"/>
                <w:sz w:val="19"/>
              </w:rPr>
              <w:t>Hansen, P. &amp; Lunde, A. (2005) Does anything beat a GARCH(1,1)? JAE, 20(7), 873–889.</w:t>
            </w:r>
          </w:p>
        </w:tc>
      </w:tr>
      <w:tr>
        <w:tc>
          <w:tcPr>
            <w:tcW w:type="dxa" w:w="1701"/>
            <w:shd w:val="clear" w:color="auto" w:fill="EFEFEF"/>
          </w:tcPr>
          <w:p>
            <w:r>
              <w:rPr>
                <w:b/>
                <w:sz w:val="16"/>
              </w:rPr>
              <w:t>Source basis</w:t>
            </w:r>
          </w:p>
        </w:tc>
        <w:tc>
          <w:tcPr>
            <w:tcW w:type="dxa" w:w="8164"/>
            <w:shd w:val="clear" w:color="auto" w:fill="EFEFEF"/>
          </w:tcPr>
          <w:p>
            <w:r>
              <w:rPr>
                <w:sz w:val="16"/>
              </w:rPr>
              <w:t>STANDARD KNOWLEDGE, not re-read this session; confirm every detail and page before citing</w:t>
            </w:r>
          </w:p>
        </w:tc>
      </w:tr>
      <w:tr>
        <w:tc>
          <w:tcPr>
            <w:tcW w:type="dxa" w:w="1701"/>
          </w:tcPr>
          <w:p>
            <w:r>
              <w:rPr>
                <w:b/>
                <w:sz w:val="16"/>
              </w:rPr>
              <w:t>Summary</w:t>
            </w:r>
          </w:p>
        </w:tc>
        <w:tc>
          <w:tcPr>
            <w:tcW w:type="dxa" w:w="8164"/>
          </w:tcPr>
          <w:p>
            <w:r>
              <w:rPr>
                <w:sz w:val="16"/>
              </w:rPr>
              <w:t>Compares 330 ARCH-type models.</w:t>
            </w:r>
          </w:p>
        </w:tc>
      </w:tr>
      <w:tr>
        <w:tc>
          <w:tcPr>
            <w:tcW w:type="dxa" w:w="1701"/>
          </w:tcPr>
          <w:p>
            <w:r>
              <w:rPr>
                <w:b/>
                <w:sz w:val="16"/>
              </w:rPr>
              <w:t>Dataset</w:t>
            </w:r>
          </w:p>
        </w:tc>
        <w:tc>
          <w:tcPr>
            <w:tcW w:type="dxa" w:w="8164"/>
          </w:tcPr>
          <w:p>
            <w:r>
              <w:rPr>
                <w:sz w:val="16"/>
              </w:rPr>
              <w:t>DM–USD exchange rate; IBM returns.</w:t>
            </w:r>
          </w:p>
        </w:tc>
      </w:tr>
      <w:tr>
        <w:tc>
          <w:tcPr>
            <w:tcW w:type="dxa" w:w="1701"/>
          </w:tcPr>
          <w:p>
            <w:r>
              <w:rPr>
                <w:b/>
                <w:sz w:val="16"/>
              </w:rPr>
              <w:t>Methodology</w:t>
            </w:r>
          </w:p>
        </w:tc>
        <w:tc>
          <w:tcPr>
            <w:tcW w:type="dxa" w:w="8164"/>
          </w:tcPr>
          <w:p>
            <w:r>
              <w:rPr>
                <w:sz w:val="16"/>
              </w:rPr>
              <w:t>Realised-variance evaluation; superior predictive ability test.</w:t>
            </w:r>
          </w:p>
        </w:tc>
      </w:tr>
      <w:tr>
        <w:tc>
          <w:tcPr>
            <w:tcW w:type="dxa" w:w="1701"/>
          </w:tcPr>
          <w:p>
            <w:r>
              <w:rPr>
                <w:b/>
                <w:sz w:val="16"/>
              </w:rPr>
              <w:t>Results</w:t>
            </w:r>
          </w:p>
        </w:tc>
        <w:tc>
          <w:tcPr>
            <w:tcW w:type="dxa" w:w="8164"/>
          </w:tcPr>
          <w:p>
            <w:r>
              <w:rPr>
                <w:sz w:val="16"/>
              </w:rPr>
              <w:t>• Exchange rate: GARCH(1,1) not beaten.</w:t>
            </w:r>
          </w:p>
          <w:p>
            <w:r>
              <w:rPr>
                <w:sz w:val="16"/>
              </w:rPr>
              <w:t>• IBM: models with a leverage effect do better.</w:t>
            </w:r>
          </w:p>
        </w:tc>
      </w:tr>
      <w:tr>
        <w:tc>
          <w:tcPr>
            <w:tcW w:type="dxa" w:w="1701"/>
            <w:shd w:val="clear" w:color="auto" w:fill="EAF1FB"/>
          </w:tcPr>
          <w:p>
            <w:r>
              <w:rPr>
                <w:b/>
                <w:sz w:val="16"/>
              </w:rPr>
              <w:t>How it relates to MY study</w:t>
            </w:r>
          </w:p>
        </w:tc>
        <w:tc>
          <w:tcPr>
            <w:tcW w:type="dxa" w:w="8164"/>
            <w:shd w:val="clear" w:color="auto" w:fill="EAF1FB"/>
          </w:tcPr>
          <w:p>
            <w:r>
              <w:rPr>
                <w:sz w:val="16"/>
              </w:rPr>
              <w:t>Sets the bar for your LSTM; suggests GJR-GARCH as a robustness check.</w:t>
            </w:r>
          </w:p>
        </w:tc>
      </w:tr>
      <w:tr>
        <w:tc>
          <w:tcPr>
            <w:tcW w:type="dxa" w:w="1701"/>
            <w:shd w:val="clear" w:color="auto" w:fill="EAF1FB"/>
          </w:tcPr>
          <w:p>
            <w:r>
              <w:rPr>
                <w:b/>
                <w:sz w:val="16"/>
              </w:rPr>
              <w:t>Must read in the original</w:t>
            </w:r>
          </w:p>
        </w:tc>
        <w:tc>
          <w:tcPr>
            <w:tcW w:type="dxa" w:w="8164"/>
            <w:shd w:val="clear" w:color="auto" w:fill="EAF1FB"/>
          </w:tcPr>
          <w:p>
            <w:r>
              <w:rPr>
                <w:sz w:val="16"/>
              </w:rPr>
              <w:t>Introduction, results summary, conclusion.</w:t>
            </w:r>
          </w:p>
        </w:tc>
      </w:tr>
      <w:tr>
        <w:tc>
          <w:tcPr>
            <w:tcW w:type="dxa" w:w="1701"/>
          </w:tcPr>
          <w:p>
            <w:r>
              <w:rPr>
                <w:b/>
                <w:sz w:val="16"/>
              </w:rPr>
              <w:t>Can skim / skip</w:t>
            </w:r>
          </w:p>
        </w:tc>
        <w:tc>
          <w:tcPr>
            <w:tcW w:type="dxa" w:w="8164"/>
          </w:tcPr>
          <w:p>
            <w:r>
              <w:rPr>
                <w:sz w:val="16"/>
              </w:rPr>
              <w:t>Full model list.</w:t>
            </w:r>
          </w:p>
        </w:tc>
      </w:tr>
      <w:tr>
        <w:tc>
          <w:tcPr>
            <w:tcW w:type="dxa" w:w="1701"/>
          </w:tcPr>
          <w:p>
            <w:r>
              <w:rPr>
                <w:b/>
                <w:sz w:val="16"/>
              </w:rPr>
              <w:t>Key terms</w:t>
            </w:r>
          </w:p>
        </w:tc>
        <w:tc>
          <w:tcPr>
            <w:tcW w:type="dxa" w:w="8164"/>
          </w:tcPr>
          <w:p>
            <w:r>
              <w:rPr>
                <w:sz w:val="16"/>
              </w:rPr>
              <w:t>SPA test; leverage effect</w:t>
            </w:r>
          </w:p>
        </w:tc>
      </w:tr>
      <w:tr>
        <w:tc>
          <w:tcPr>
            <w:tcW w:type="dxa" w:w="1701"/>
          </w:tcPr>
          <w:p>
            <w:r>
              <w:rPr>
                <w:b/>
                <w:sz w:val="16"/>
              </w:rPr>
              <w:t>Strengths</w:t>
            </w:r>
          </w:p>
        </w:tc>
        <w:tc>
          <w:tcPr>
            <w:tcW w:type="dxa" w:w="8164"/>
          </w:tcPr>
          <w:p>
            <w:r>
              <w:rPr>
                <w:sz w:val="16"/>
              </w:rPr>
              <w:t>Exhaustive.</w:t>
            </w:r>
          </w:p>
        </w:tc>
      </w:tr>
      <w:tr>
        <w:tc>
          <w:tcPr>
            <w:tcW w:type="dxa" w:w="1701"/>
          </w:tcPr>
          <w:p>
            <w:r>
              <w:rPr>
                <w:b/>
                <w:sz w:val="16"/>
              </w:rPr>
              <w:t>Weaknesses / critique</w:t>
            </w:r>
          </w:p>
        </w:tc>
        <w:tc>
          <w:tcPr>
            <w:tcW w:type="dxa" w:w="8164"/>
          </w:tcPr>
          <w:p>
            <w:r>
              <w:rPr>
                <w:sz w:val="16"/>
              </w:rPr>
              <w:t>Two series.</w:t>
            </w:r>
          </w:p>
        </w:tc>
      </w:tr>
      <w:tr>
        <w:tc>
          <w:tcPr>
            <w:tcW w:type="dxa" w:w="1701"/>
            <w:shd w:val="clear" w:color="auto" w:fill="EAF1FB"/>
          </w:tcPr>
          <w:p>
            <w:r>
              <w:rPr>
                <w:b/>
                <w:sz w:val="16"/>
              </w:rPr>
              <w:t>Use it as · where</w:t>
            </w:r>
          </w:p>
        </w:tc>
        <w:tc>
          <w:tcPr>
            <w:tcW w:type="dxa" w:w="8164"/>
            <w:shd w:val="clear" w:color="auto" w:fill="EAF1FB"/>
          </w:tcPr>
          <w:p>
            <w:r>
              <w:rPr>
                <w:sz w:val="16"/>
              </w:rPr>
              <w:t>Contrast · 2.5; H1</w:t>
            </w:r>
          </w:p>
        </w:tc>
      </w:tr>
    </w:tbl>
    <w:p>
      <w:pPr>
        <w:spacing w:after="80"/>
      </w:pPr>
    </w:p>
    <w:tbl>
      <w:tblPr>
        <w:tblStyle w:val="TableGrid"/>
        <w:tblW w:type="auto" w:w="0"/>
        <w:jc w:val="center"/>
        <w:tblLook w:firstColumn="1" w:firstRow="1" w:lastColumn="0" w:lastRow="0" w:noHBand="0" w:noVBand="1" w:val="04A0"/>
      </w:tblPr>
      <w:tblGrid>
        <w:gridCol w:w="5100"/>
        <w:gridCol w:w="5100"/>
      </w:tblGrid>
      <w:tr>
        <w:tc>
          <w:tcPr>
            <w:tcW w:type="dxa" w:w="8164"/>
            <w:gridSpan w:val="2"/>
            <w:shd w:val="clear" w:color="auto" w:fill="1F4E79"/>
          </w:tcPr>
          <w:p>
            <w:r>
              <w:rPr>
                <w:b/>
                <w:color w:val="FFFFFF"/>
                <w:sz w:val="19"/>
              </w:rPr>
              <w:t>Andersen &amp; Bollerslev (1998); Andersen, Bollerslev, Diebold &amp; Labys (2003).</w:t>
            </w:r>
          </w:p>
        </w:tc>
      </w:tr>
      <w:tr>
        <w:tc>
          <w:tcPr>
            <w:tcW w:type="dxa" w:w="1701"/>
            <w:shd w:val="clear" w:color="auto" w:fill="EFEFEF"/>
          </w:tcPr>
          <w:p>
            <w:r>
              <w:rPr>
                <w:b/>
                <w:sz w:val="16"/>
              </w:rPr>
              <w:t>Source basis</w:t>
            </w:r>
          </w:p>
        </w:tc>
        <w:tc>
          <w:tcPr>
            <w:tcW w:type="dxa" w:w="8164"/>
            <w:shd w:val="clear" w:color="auto" w:fill="EFEFEF"/>
          </w:tcPr>
          <w:p>
            <w:r>
              <w:rPr>
                <w:sz w:val="16"/>
              </w:rPr>
              <w:t>STANDARD KNOWLEDGE, not re-read this session; confirm every detail and page before citing</w:t>
            </w:r>
          </w:p>
        </w:tc>
      </w:tr>
      <w:tr>
        <w:tc>
          <w:tcPr>
            <w:tcW w:type="dxa" w:w="1701"/>
          </w:tcPr>
          <w:p>
            <w:r>
              <w:rPr>
                <w:b/>
                <w:sz w:val="16"/>
              </w:rPr>
              <w:t>Summary</w:t>
            </w:r>
          </w:p>
        </w:tc>
        <w:tc>
          <w:tcPr>
            <w:tcW w:type="dxa" w:w="8164"/>
          </w:tcPr>
          <w:p>
            <w:r>
              <w:rPr>
                <w:sz w:val="16"/>
              </w:rPr>
              <w:t>Realised volatility: better yardsticks and better models.</w:t>
            </w:r>
          </w:p>
        </w:tc>
      </w:tr>
      <w:tr>
        <w:tc>
          <w:tcPr>
            <w:tcW w:type="dxa" w:w="1701"/>
          </w:tcPr>
          <w:p>
            <w:r>
              <w:rPr>
                <w:b/>
                <w:sz w:val="16"/>
              </w:rPr>
              <w:t>Dataset</w:t>
            </w:r>
          </w:p>
        </w:tc>
        <w:tc>
          <w:tcPr>
            <w:tcW w:type="dxa" w:w="8164"/>
          </w:tcPr>
          <w:p>
            <w:r>
              <w:rPr>
                <w:sz w:val="16"/>
              </w:rPr>
              <w:t>High-frequency FX data.</w:t>
            </w:r>
          </w:p>
        </w:tc>
      </w:tr>
      <w:tr>
        <w:tc>
          <w:tcPr>
            <w:tcW w:type="dxa" w:w="1701"/>
          </w:tcPr>
          <w:p>
            <w:r>
              <w:rPr>
                <w:b/>
                <w:sz w:val="16"/>
              </w:rPr>
              <w:t>Methodology</w:t>
            </w:r>
          </w:p>
        </w:tc>
        <w:tc>
          <w:tcPr>
            <w:tcW w:type="dxa" w:w="8164"/>
          </w:tcPr>
          <w:p>
            <w:r>
              <w:rPr>
                <w:sz w:val="16"/>
              </w:rPr>
              <w:t>Realised volatility; long-memory models of log RV.</w:t>
            </w:r>
          </w:p>
        </w:tc>
      </w:tr>
      <w:tr>
        <w:tc>
          <w:tcPr>
            <w:tcW w:type="dxa" w:w="1701"/>
          </w:tcPr>
          <w:p>
            <w:r>
              <w:rPr>
                <w:b/>
                <w:sz w:val="16"/>
              </w:rPr>
              <w:t>Results</w:t>
            </w:r>
          </w:p>
        </w:tc>
        <w:tc>
          <w:tcPr>
            <w:tcW w:type="dxa" w:w="8164"/>
          </w:tcPr>
          <w:p>
            <w:r>
              <w:rPr>
                <w:sz w:val="16"/>
              </w:rPr>
              <w:t>• GARCH looks poor against noisy squared returns but good against realised volatility.</w:t>
            </w:r>
          </w:p>
          <w:p>
            <w:r>
              <w:rPr>
                <w:sz w:val="16"/>
              </w:rPr>
              <w:t>• Modelling log RV directly forecasts well.</w:t>
            </w:r>
          </w:p>
        </w:tc>
      </w:tr>
      <w:tr>
        <w:tc>
          <w:tcPr>
            <w:tcW w:type="dxa" w:w="1701"/>
            <w:shd w:val="clear" w:color="auto" w:fill="EAF1FB"/>
          </w:tcPr>
          <w:p>
            <w:r>
              <w:rPr>
                <w:b/>
                <w:sz w:val="16"/>
              </w:rPr>
              <w:t>How it relates to MY study</w:t>
            </w:r>
          </w:p>
        </w:tc>
        <w:tc>
          <w:tcPr>
            <w:tcW w:type="dxa" w:w="8164"/>
            <w:shd w:val="clear" w:color="auto" w:fill="EAF1FB"/>
          </w:tcPr>
          <w:p>
            <w:r>
              <w:rPr>
                <w:sz w:val="16"/>
              </w:rPr>
              <w:t>Why 5-day RV and log target.</w:t>
            </w:r>
          </w:p>
        </w:tc>
      </w:tr>
      <w:tr>
        <w:tc>
          <w:tcPr>
            <w:tcW w:type="dxa" w:w="1701"/>
            <w:shd w:val="clear" w:color="auto" w:fill="EAF1FB"/>
          </w:tcPr>
          <w:p>
            <w:r>
              <w:rPr>
                <w:b/>
                <w:sz w:val="16"/>
              </w:rPr>
              <w:t>Must read in the original</w:t>
            </w:r>
          </w:p>
        </w:tc>
        <w:tc>
          <w:tcPr>
            <w:tcW w:type="dxa" w:w="8164"/>
            <w:shd w:val="clear" w:color="auto" w:fill="EAF1FB"/>
          </w:tcPr>
          <w:p>
            <w:r>
              <w:rPr>
                <w:sz w:val="16"/>
              </w:rPr>
              <w:t>Introductions and RV definitions.</w:t>
            </w:r>
          </w:p>
        </w:tc>
      </w:tr>
      <w:tr>
        <w:tc>
          <w:tcPr>
            <w:tcW w:type="dxa" w:w="1701"/>
          </w:tcPr>
          <w:p>
            <w:r>
              <w:rPr>
                <w:b/>
                <w:sz w:val="16"/>
              </w:rPr>
              <w:t>Can skim / skip</w:t>
            </w:r>
          </w:p>
        </w:tc>
        <w:tc>
          <w:tcPr>
            <w:tcW w:type="dxa" w:w="8164"/>
          </w:tcPr>
          <w:p>
            <w:r>
              <w:rPr>
                <w:sz w:val="16"/>
              </w:rPr>
              <w:t>Technical proofs.</w:t>
            </w:r>
          </w:p>
        </w:tc>
      </w:tr>
      <w:tr>
        <w:tc>
          <w:tcPr>
            <w:tcW w:type="dxa" w:w="1701"/>
          </w:tcPr>
          <w:p>
            <w:r>
              <w:rPr>
                <w:b/>
                <w:sz w:val="16"/>
              </w:rPr>
              <w:t>Key terms</w:t>
            </w:r>
          </w:p>
        </w:tc>
        <w:tc>
          <w:tcPr>
            <w:tcW w:type="dxa" w:w="8164"/>
          </w:tcPr>
          <w:p>
            <w:r>
              <w:rPr>
                <w:sz w:val="16"/>
              </w:rPr>
              <w:t>realised volatility; measurement noise</w:t>
            </w:r>
          </w:p>
        </w:tc>
      </w:tr>
      <w:tr>
        <w:tc>
          <w:tcPr>
            <w:tcW w:type="dxa" w:w="1701"/>
          </w:tcPr>
          <w:p>
            <w:r>
              <w:rPr>
                <w:b/>
                <w:sz w:val="16"/>
              </w:rPr>
              <w:t>Strengths</w:t>
            </w:r>
          </w:p>
        </w:tc>
        <w:tc>
          <w:tcPr>
            <w:tcW w:type="dxa" w:w="8164"/>
          </w:tcPr>
          <w:p>
            <w:r>
              <w:rPr>
                <w:sz w:val="16"/>
              </w:rPr>
              <w:t>Foundational.</w:t>
            </w:r>
          </w:p>
        </w:tc>
      </w:tr>
      <w:tr>
        <w:tc>
          <w:tcPr>
            <w:tcW w:type="dxa" w:w="1701"/>
          </w:tcPr>
          <w:p>
            <w:r>
              <w:rPr>
                <w:b/>
                <w:sz w:val="16"/>
              </w:rPr>
              <w:t>Weaknesses / critique</w:t>
            </w:r>
          </w:p>
        </w:tc>
        <w:tc>
          <w:tcPr>
            <w:tcW w:type="dxa" w:w="8164"/>
          </w:tcPr>
          <w:p>
            <w:r>
              <w:rPr>
                <w:sz w:val="16"/>
              </w:rPr>
              <w:t>Intraday data.</w:t>
            </w:r>
          </w:p>
        </w:tc>
      </w:tr>
      <w:tr>
        <w:tc>
          <w:tcPr>
            <w:tcW w:type="dxa" w:w="1701"/>
            <w:shd w:val="clear" w:color="auto" w:fill="EAF1FB"/>
          </w:tcPr>
          <w:p>
            <w:r>
              <w:rPr>
                <w:b/>
                <w:sz w:val="16"/>
              </w:rPr>
              <w:t>Use it as · where</w:t>
            </w:r>
          </w:p>
        </w:tc>
        <w:tc>
          <w:tcPr>
            <w:tcW w:type="dxa" w:w="8164"/>
            <w:shd w:val="clear" w:color="auto" w:fill="EAF1FB"/>
          </w:tcPr>
          <w:p>
            <w:r>
              <w:rPr>
                <w:sz w:val="16"/>
              </w:rPr>
              <w:t>Method · 2.5; Chapter 3</w:t>
            </w:r>
          </w:p>
        </w:tc>
      </w:tr>
    </w:tbl>
    <w:p>
      <w:pPr>
        <w:spacing w:after="80"/>
      </w:pPr>
    </w:p>
    <w:tbl>
      <w:tblPr>
        <w:tblStyle w:val="TableGrid"/>
        <w:tblW w:type="auto" w:w="0"/>
        <w:jc w:val="center"/>
        <w:tblLook w:firstColumn="1" w:firstRow="1" w:lastColumn="0" w:lastRow="0" w:noHBand="0" w:noVBand="1" w:val="04A0"/>
      </w:tblPr>
      <w:tblGrid>
        <w:gridCol w:w="5100"/>
        <w:gridCol w:w="5100"/>
      </w:tblGrid>
      <w:tr>
        <w:tc>
          <w:tcPr>
            <w:tcW w:type="dxa" w:w="8164"/>
            <w:gridSpan w:val="2"/>
            <w:shd w:val="clear" w:color="auto" w:fill="1F4E79"/>
          </w:tcPr>
          <w:p>
            <w:r>
              <w:rPr>
                <w:b/>
                <w:color w:val="FFFFFF"/>
                <w:sz w:val="19"/>
              </w:rPr>
              <w:t>Corsi, F. (2009) A simple approximate long-memory model of realized volatility. JFEC, 7(2), 174–196.</w:t>
            </w:r>
          </w:p>
        </w:tc>
      </w:tr>
      <w:tr>
        <w:tc>
          <w:tcPr>
            <w:tcW w:type="dxa" w:w="1701"/>
            <w:shd w:val="clear" w:color="auto" w:fill="EFEFEF"/>
          </w:tcPr>
          <w:p>
            <w:r>
              <w:rPr>
                <w:b/>
                <w:sz w:val="16"/>
              </w:rPr>
              <w:t>Source basis</w:t>
            </w:r>
          </w:p>
        </w:tc>
        <w:tc>
          <w:tcPr>
            <w:tcW w:type="dxa" w:w="8164"/>
            <w:shd w:val="clear" w:color="auto" w:fill="EFEFEF"/>
          </w:tcPr>
          <w:p>
            <w:r>
              <w:rPr>
                <w:sz w:val="16"/>
              </w:rPr>
              <w:t>STANDARD KNOWLEDGE, not re-read this session; confirm every detail and page before citing</w:t>
            </w:r>
          </w:p>
        </w:tc>
      </w:tr>
      <w:tr>
        <w:tc>
          <w:tcPr>
            <w:tcW w:type="dxa" w:w="1701"/>
          </w:tcPr>
          <w:p>
            <w:r>
              <w:rPr>
                <w:b/>
                <w:sz w:val="16"/>
              </w:rPr>
              <w:t>Summary</w:t>
            </w:r>
          </w:p>
        </w:tc>
        <w:tc>
          <w:tcPr>
            <w:tcW w:type="dxa" w:w="8164"/>
          </w:tcPr>
          <w:p>
            <w:r>
              <w:rPr>
                <w:sz w:val="16"/>
              </w:rPr>
              <w:t>The HAR model: three volatility averages in one regression.</w:t>
            </w:r>
          </w:p>
        </w:tc>
      </w:tr>
      <w:tr>
        <w:tc>
          <w:tcPr>
            <w:tcW w:type="dxa" w:w="1701"/>
          </w:tcPr>
          <w:p>
            <w:r>
              <w:rPr>
                <w:b/>
                <w:sz w:val="16"/>
              </w:rPr>
              <w:t>Dataset</w:t>
            </w:r>
          </w:p>
        </w:tc>
        <w:tc>
          <w:tcPr>
            <w:tcW w:type="dxa" w:w="8164"/>
          </w:tcPr>
          <w:p>
            <w:r>
              <w:rPr>
                <w:sz w:val="16"/>
              </w:rPr>
              <w:t>High-frequency financial data.</w:t>
            </w:r>
          </w:p>
        </w:tc>
      </w:tr>
      <w:tr>
        <w:tc>
          <w:tcPr>
            <w:tcW w:type="dxa" w:w="1701"/>
          </w:tcPr>
          <w:p>
            <w:r>
              <w:rPr>
                <w:b/>
                <w:sz w:val="16"/>
              </w:rPr>
              <w:t>Methodology</w:t>
            </w:r>
          </w:p>
        </w:tc>
        <w:tc>
          <w:tcPr>
            <w:tcW w:type="dxa" w:w="8164"/>
          </w:tcPr>
          <w:p>
            <w:r>
              <w:rPr>
                <w:sz w:val="16"/>
              </w:rPr>
              <w:t>OLS on daily, weekly, monthly RV.</w:t>
            </w:r>
          </w:p>
        </w:tc>
      </w:tr>
      <w:tr>
        <w:tc>
          <w:tcPr>
            <w:tcW w:type="dxa" w:w="1701"/>
          </w:tcPr>
          <w:p>
            <w:r>
              <w:rPr>
                <w:b/>
                <w:sz w:val="16"/>
              </w:rPr>
              <w:t>Results</w:t>
            </w:r>
          </w:p>
        </w:tc>
        <w:tc>
          <w:tcPr>
            <w:tcW w:type="dxa" w:w="8164"/>
          </w:tcPr>
          <w:p>
            <w:r>
              <w:rPr>
                <w:sz w:val="16"/>
              </w:rPr>
              <w:t>• Reproduces long memory and fat tails; strong forecasts.</w:t>
            </w:r>
          </w:p>
        </w:tc>
      </w:tr>
      <w:tr>
        <w:tc>
          <w:tcPr>
            <w:tcW w:type="dxa" w:w="1701"/>
            <w:shd w:val="clear" w:color="auto" w:fill="EAF1FB"/>
          </w:tcPr>
          <w:p>
            <w:r>
              <w:rPr>
                <w:b/>
                <w:sz w:val="16"/>
              </w:rPr>
              <w:t>How it relates to MY study</w:t>
            </w:r>
          </w:p>
        </w:tc>
        <w:tc>
          <w:tcPr>
            <w:tcW w:type="dxa" w:w="8164"/>
            <w:shd w:val="clear" w:color="auto" w:fill="EAF1FB"/>
          </w:tcPr>
          <w:p>
            <w:r>
              <w:rPr>
                <w:sz w:val="16"/>
              </w:rPr>
              <w:t>Your second benchmark (Figure H6).</w:t>
            </w:r>
          </w:p>
        </w:tc>
      </w:tr>
      <w:tr>
        <w:tc>
          <w:tcPr>
            <w:tcW w:type="dxa" w:w="1701"/>
            <w:shd w:val="clear" w:color="auto" w:fill="EAF1FB"/>
          </w:tcPr>
          <w:p>
            <w:r>
              <w:rPr>
                <w:b/>
                <w:sz w:val="16"/>
              </w:rPr>
              <w:t>Must read in the original</w:t>
            </w:r>
          </w:p>
        </w:tc>
        <w:tc>
          <w:tcPr>
            <w:tcW w:type="dxa" w:w="8164"/>
            <w:shd w:val="clear" w:color="auto" w:fill="EAF1FB"/>
          </w:tcPr>
          <w:p>
            <w:r>
              <w:rPr>
                <w:sz w:val="16"/>
              </w:rPr>
              <w:t>Model section and forecasting results.</w:t>
            </w:r>
          </w:p>
        </w:tc>
      </w:tr>
      <w:tr>
        <w:tc>
          <w:tcPr>
            <w:tcW w:type="dxa" w:w="1701"/>
          </w:tcPr>
          <w:p>
            <w:r>
              <w:rPr>
                <w:b/>
                <w:sz w:val="16"/>
              </w:rPr>
              <w:t>Can skim / skip</w:t>
            </w:r>
          </w:p>
        </w:tc>
        <w:tc>
          <w:tcPr>
            <w:tcW w:type="dxa" w:w="8164"/>
          </w:tcPr>
          <w:p>
            <w:r>
              <w:rPr>
                <w:sz w:val="16"/>
              </w:rPr>
              <w:t>—</w:t>
            </w:r>
          </w:p>
        </w:tc>
      </w:tr>
      <w:tr>
        <w:tc>
          <w:tcPr>
            <w:tcW w:type="dxa" w:w="1701"/>
          </w:tcPr>
          <w:p>
            <w:r>
              <w:rPr>
                <w:b/>
                <w:sz w:val="16"/>
              </w:rPr>
              <w:t>Key terms</w:t>
            </w:r>
          </w:p>
        </w:tc>
        <w:tc>
          <w:tcPr>
            <w:tcW w:type="dxa" w:w="8164"/>
          </w:tcPr>
          <w:p>
            <w:r>
              <w:rPr>
                <w:sz w:val="16"/>
              </w:rPr>
              <w:t>heterogeneous market hypothesis; long memory</w:t>
            </w:r>
          </w:p>
        </w:tc>
      </w:tr>
      <w:tr>
        <w:tc>
          <w:tcPr>
            <w:tcW w:type="dxa" w:w="1701"/>
          </w:tcPr>
          <w:p>
            <w:r>
              <w:rPr>
                <w:b/>
                <w:sz w:val="16"/>
              </w:rPr>
              <w:t>Strengths</w:t>
            </w:r>
          </w:p>
        </w:tc>
        <w:tc>
          <w:tcPr>
            <w:tcW w:type="dxa" w:w="8164"/>
          </w:tcPr>
          <w:p>
            <w:r>
              <w:rPr>
                <w:sz w:val="16"/>
              </w:rPr>
              <w:t>Simple, strong.</w:t>
            </w:r>
          </w:p>
        </w:tc>
      </w:tr>
      <w:tr>
        <w:tc>
          <w:tcPr>
            <w:tcW w:type="dxa" w:w="1701"/>
          </w:tcPr>
          <w:p>
            <w:r>
              <w:rPr>
                <w:b/>
                <w:sz w:val="16"/>
              </w:rPr>
              <w:t>Weaknesses / critique</w:t>
            </w:r>
          </w:p>
        </w:tc>
        <w:tc>
          <w:tcPr>
            <w:tcW w:type="dxa" w:w="8164"/>
          </w:tcPr>
          <w:p>
            <w:r>
              <w:rPr>
                <w:sz w:val="16"/>
              </w:rPr>
              <w:t>Linear.</w:t>
            </w:r>
          </w:p>
        </w:tc>
      </w:tr>
      <w:tr>
        <w:tc>
          <w:tcPr>
            <w:tcW w:type="dxa" w:w="1701"/>
            <w:shd w:val="clear" w:color="auto" w:fill="EAF1FB"/>
          </w:tcPr>
          <w:p>
            <w:r>
              <w:rPr>
                <w:b/>
                <w:sz w:val="16"/>
              </w:rPr>
              <w:t>Use it as · where</w:t>
            </w:r>
          </w:p>
        </w:tc>
        <w:tc>
          <w:tcPr>
            <w:tcW w:type="dxa" w:w="8164"/>
            <w:shd w:val="clear" w:color="auto" w:fill="EAF1FB"/>
          </w:tcPr>
          <w:p>
            <w:r>
              <w:rPr>
                <w:sz w:val="16"/>
              </w:rPr>
              <w:t>Method · 2.5; H1</w:t>
            </w:r>
          </w:p>
        </w:tc>
      </w:tr>
    </w:tbl>
    <w:p>
      <w:pPr>
        <w:spacing w:after="80"/>
      </w:pPr>
    </w:p>
    <w:tbl>
      <w:tblPr>
        <w:tblStyle w:val="TableGrid"/>
        <w:tblW w:type="auto" w:w="0"/>
        <w:jc w:val="center"/>
        <w:tblLook w:firstColumn="1" w:firstRow="1" w:lastColumn="0" w:lastRow="0" w:noHBand="0" w:noVBand="1" w:val="04A0"/>
      </w:tblPr>
      <w:tblGrid>
        <w:gridCol w:w="5100"/>
        <w:gridCol w:w="5100"/>
      </w:tblGrid>
      <w:tr>
        <w:tc>
          <w:tcPr>
            <w:tcW w:type="dxa" w:w="8164"/>
            <w:gridSpan w:val="2"/>
            <w:shd w:val="clear" w:color="auto" w:fill="1F4E79"/>
          </w:tcPr>
          <w:p>
            <w:r>
              <w:rPr>
                <w:b/>
                <w:color w:val="FFFFFF"/>
                <w:sz w:val="19"/>
              </w:rPr>
              <w:t>Patton, A. (2011) Volatility forecast comparison using imperfect volatility proxies. J. Econometrics, 160(1), 246–256.</w:t>
            </w:r>
          </w:p>
        </w:tc>
      </w:tr>
      <w:tr>
        <w:tc>
          <w:tcPr>
            <w:tcW w:type="dxa" w:w="1701"/>
            <w:shd w:val="clear" w:color="auto" w:fill="D9EAD3"/>
          </w:tcPr>
          <w:p>
            <w:r>
              <w:rPr>
                <w:b/>
                <w:sz w:val="16"/>
              </w:rPr>
              <w:t>Source basis</w:t>
            </w:r>
          </w:p>
        </w:tc>
        <w:tc>
          <w:tcPr>
            <w:tcW w:type="dxa" w:w="8164"/>
            <w:shd w:val="clear" w:color="auto" w:fill="D9EAD3"/>
          </w:tcPr>
          <w:p>
            <w:r>
              <w:rPr>
                <w:sz w:val="16"/>
              </w:rPr>
              <w:t>FULL TEXT read in this session; page numbers refer to the open-access version in Part G</w:t>
            </w:r>
          </w:p>
        </w:tc>
      </w:tr>
      <w:tr>
        <w:tc>
          <w:tcPr>
            <w:tcW w:type="dxa" w:w="1701"/>
          </w:tcPr>
          <w:p>
            <w:r>
              <w:rPr>
                <w:b/>
                <w:sz w:val="16"/>
              </w:rPr>
              <w:t>Summary</w:t>
            </w:r>
          </w:p>
        </w:tc>
        <w:tc>
          <w:tcPr>
            <w:tcW w:type="dxa" w:w="8164"/>
          </w:tcPr>
          <w:p>
            <w:r>
              <w:rPr>
                <w:sz w:val="16"/>
              </w:rPr>
              <w:t>Shows which loss functions rank volatility forecasts correctly when true volatility is unobserved.</w:t>
            </w:r>
          </w:p>
        </w:tc>
      </w:tr>
      <w:tr>
        <w:tc>
          <w:tcPr>
            <w:tcW w:type="dxa" w:w="1701"/>
          </w:tcPr>
          <w:p>
            <w:r>
              <w:rPr>
                <w:b/>
                <w:sz w:val="16"/>
              </w:rPr>
              <w:t>Dataset</w:t>
            </w:r>
          </w:p>
        </w:tc>
        <w:tc>
          <w:tcPr>
            <w:tcW w:type="dxa" w:w="8164"/>
          </w:tcPr>
          <w:p>
            <w:r>
              <w:rPr>
                <w:sz w:val="16"/>
              </w:rPr>
              <w:t>Theory; IBM application.</w:t>
            </w:r>
          </w:p>
        </w:tc>
      </w:tr>
      <w:tr>
        <w:tc>
          <w:tcPr>
            <w:tcW w:type="dxa" w:w="1701"/>
          </w:tcPr>
          <w:p>
            <w:r>
              <w:rPr>
                <w:b/>
                <w:sz w:val="16"/>
              </w:rPr>
              <w:t>Methodology</w:t>
            </w:r>
          </w:p>
        </w:tc>
        <w:tc>
          <w:tcPr>
            <w:tcW w:type="dxa" w:w="8164"/>
          </w:tcPr>
          <w:p>
            <w:r>
              <w:rPr>
                <w:sz w:val="16"/>
              </w:rPr>
              <w:t>Analytical derivations.</w:t>
            </w:r>
          </w:p>
        </w:tc>
      </w:tr>
      <w:tr>
        <w:tc>
          <w:tcPr>
            <w:tcW w:type="dxa" w:w="1701"/>
          </w:tcPr>
          <w:p>
            <w:r>
              <w:rPr>
                <w:b/>
                <w:sz w:val="16"/>
              </w:rPr>
              <w:t>Results</w:t>
            </w:r>
          </w:p>
        </w:tc>
        <w:tc>
          <w:tcPr>
            <w:tcW w:type="dxa" w:w="8164"/>
          </w:tcPr>
          <w:p>
            <w:r>
              <w:rPr>
                <w:sz w:val="16"/>
              </w:rPr>
              <w:t>• Noisy proxies can make worse forecasts look better under some losses (affects test size).</w:t>
            </w:r>
          </w:p>
          <w:p>
            <w:r>
              <w:rPr>
                <w:sz w:val="16"/>
              </w:rPr>
              <w:t>• Less noisy proxies reduce but do not remove distortion.</w:t>
            </w:r>
          </w:p>
          <w:p>
            <w:r>
              <w:rPr>
                <w:sz w:val="16"/>
              </w:rPr>
              <w:t>• Robust family nests MSE and QLIKE.</w:t>
            </w:r>
          </w:p>
        </w:tc>
      </w:tr>
      <w:tr>
        <w:tc>
          <w:tcPr>
            <w:tcW w:type="dxa" w:w="1701"/>
            <w:shd w:val="clear" w:color="auto" w:fill="EAF1FB"/>
          </w:tcPr>
          <w:p>
            <w:r>
              <w:rPr>
                <w:b/>
                <w:sz w:val="16"/>
              </w:rPr>
              <w:t>How it relates to MY study</w:t>
            </w:r>
          </w:p>
        </w:tc>
        <w:tc>
          <w:tcPr>
            <w:tcW w:type="dxa" w:w="8164"/>
            <w:shd w:val="clear" w:color="auto" w:fill="EAF1FB"/>
          </w:tcPr>
          <w:p>
            <w:r>
              <w:rPr>
                <w:sz w:val="16"/>
              </w:rPr>
              <w:t>Justifies MSE + QLIKE (QLIKE primary).</w:t>
            </w:r>
          </w:p>
        </w:tc>
      </w:tr>
      <w:tr>
        <w:tc>
          <w:tcPr>
            <w:tcW w:type="dxa" w:w="1701"/>
            <w:shd w:val="clear" w:color="auto" w:fill="EAF1FB"/>
          </w:tcPr>
          <w:p>
            <w:r>
              <w:rPr>
                <w:b/>
                <w:sz w:val="16"/>
              </w:rPr>
              <w:t>Must read in the original</w:t>
            </w:r>
          </w:p>
        </w:tc>
        <w:tc>
          <w:tcPr>
            <w:tcW w:type="dxa" w:w="8164"/>
            <w:shd w:val="clear" w:color="auto" w:fill="EAF1FB"/>
          </w:tcPr>
          <w:p>
            <w:r>
              <w:rPr>
                <w:sz w:val="16"/>
              </w:rPr>
              <w:t>1 Introduction (pp.1–2); 2.1 squared returns as proxy (p.3); 3 robust loss class (pp.5–6); Figure 2 (p.7); conclusion (p.8).</w:t>
            </w:r>
          </w:p>
        </w:tc>
      </w:tr>
      <w:tr>
        <w:tc>
          <w:tcPr>
            <w:tcW w:type="dxa" w:w="1701"/>
          </w:tcPr>
          <w:p>
            <w:r>
              <w:rPr>
                <w:b/>
                <w:sz w:val="16"/>
              </w:rPr>
              <w:t>Can skim / skip</w:t>
            </w:r>
          </w:p>
        </w:tc>
        <w:tc>
          <w:tcPr>
            <w:tcW w:type="dxa" w:w="8164"/>
          </w:tcPr>
          <w:p>
            <w:r>
              <w:rPr>
                <w:sz w:val="16"/>
              </w:rPr>
              <w:t>Proofs.</w:t>
            </w:r>
          </w:p>
        </w:tc>
      </w:tr>
      <w:tr>
        <w:tc>
          <w:tcPr>
            <w:tcW w:type="dxa" w:w="1701"/>
          </w:tcPr>
          <w:p>
            <w:r>
              <w:rPr>
                <w:b/>
                <w:sz w:val="16"/>
              </w:rPr>
              <w:t>Key terms</w:t>
            </w:r>
          </w:p>
        </w:tc>
        <w:tc>
          <w:tcPr>
            <w:tcW w:type="dxa" w:w="8164"/>
          </w:tcPr>
          <w:p>
            <w:r>
              <w:rPr>
                <w:sz w:val="16"/>
              </w:rPr>
              <w:t>volatility proxy; robust loss; QLIKE</w:t>
            </w:r>
          </w:p>
        </w:tc>
      </w:tr>
      <w:tr>
        <w:tc>
          <w:tcPr>
            <w:tcW w:type="dxa" w:w="1701"/>
          </w:tcPr>
          <w:p>
            <w:r>
              <w:rPr>
                <w:b/>
                <w:sz w:val="16"/>
              </w:rPr>
              <w:t>Strengths</w:t>
            </w:r>
          </w:p>
        </w:tc>
        <w:tc>
          <w:tcPr>
            <w:tcW w:type="dxa" w:w="8164"/>
          </w:tcPr>
          <w:p>
            <w:r>
              <w:rPr>
                <w:sz w:val="16"/>
              </w:rPr>
              <w:t>Rigorous, practical.</w:t>
            </w:r>
          </w:p>
        </w:tc>
      </w:tr>
      <w:tr>
        <w:tc>
          <w:tcPr>
            <w:tcW w:type="dxa" w:w="1701"/>
          </w:tcPr>
          <w:p>
            <w:r>
              <w:rPr>
                <w:b/>
                <w:sz w:val="16"/>
              </w:rPr>
              <w:t>Weaknesses / critique</w:t>
            </w:r>
          </w:p>
        </w:tc>
        <w:tc>
          <w:tcPr>
            <w:tcW w:type="dxa" w:w="8164"/>
          </w:tcPr>
          <w:p>
            <w:r>
              <w:rPr>
                <w:sz w:val="16"/>
              </w:rPr>
              <w:t>Theory-heavy.</w:t>
            </w:r>
          </w:p>
        </w:tc>
      </w:tr>
      <w:tr>
        <w:tc>
          <w:tcPr>
            <w:tcW w:type="dxa" w:w="1701"/>
            <w:shd w:val="clear" w:color="auto" w:fill="EAF1FB"/>
          </w:tcPr>
          <w:p>
            <w:r>
              <w:rPr>
                <w:b/>
                <w:sz w:val="16"/>
              </w:rPr>
              <w:t>Use it as · where</w:t>
            </w:r>
          </w:p>
        </w:tc>
        <w:tc>
          <w:tcPr>
            <w:tcW w:type="dxa" w:w="8164"/>
            <w:shd w:val="clear" w:color="auto" w:fill="EAF1FB"/>
          </w:tcPr>
          <w:p>
            <w:r>
              <w:rPr>
                <w:sz w:val="16"/>
              </w:rPr>
              <w:t>Method · 2.5; Chapter 3</w:t>
            </w:r>
          </w:p>
        </w:tc>
      </w:tr>
    </w:tbl>
    <w:p>
      <w:pPr>
        <w:spacing w:after="80"/>
      </w:pPr>
    </w:p>
    <w:tbl>
      <w:tblPr>
        <w:tblStyle w:val="TableGrid"/>
        <w:tblW w:type="auto" w:w="0"/>
        <w:jc w:val="center"/>
        <w:tblLook w:firstColumn="1" w:firstRow="1" w:lastColumn="0" w:lastRow="0" w:noHBand="0" w:noVBand="1" w:val="04A0"/>
      </w:tblPr>
      <w:tblGrid>
        <w:gridCol w:w="5100"/>
        <w:gridCol w:w="5100"/>
      </w:tblGrid>
      <w:tr>
        <w:tc>
          <w:tcPr>
            <w:tcW w:type="dxa" w:w="8164"/>
            <w:gridSpan w:val="2"/>
            <w:shd w:val="clear" w:color="auto" w:fill="1F4E79"/>
          </w:tcPr>
          <w:p>
            <w:r>
              <w:rPr>
                <w:b/>
                <w:color w:val="FFFFFF"/>
                <w:sz w:val="19"/>
              </w:rPr>
              <w:t>Diebold &amp; Mariano (1995); Harvey, Leybourne &amp; Newbold (1997).</w:t>
            </w:r>
          </w:p>
        </w:tc>
      </w:tr>
      <w:tr>
        <w:tc>
          <w:tcPr>
            <w:tcW w:type="dxa" w:w="1701"/>
            <w:shd w:val="clear" w:color="auto" w:fill="EFEFEF"/>
          </w:tcPr>
          <w:p>
            <w:r>
              <w:rPr>
                <w:b/>
                <w:sz w:val="16"/>
              </w:rPr>
              <w:t>Source basis</w:t>
            </w:r>
          </w:p>
        </w:tc>
        <w:tc>
          <w:tcPr>
            <w:tcW w:type="dxa" w:w="8164"/>
            <w:shd w:val="clear" w:color="auto" w:fill="EFEFEF"/>
          </w:tcPr>
          <w:p>
            <w:r>
              <w:rPr>
                <w:sz w:val="16"/>
              </w:rPr>
              <w:t>STANDARD KNOWLEDGE, not re-read this session; confirm every detail and page before citing</w:t>
            </w:r>
          </w:p>
        </w:tc>
      </w:tr>
      <w:tr>
        <w:tc>
          <w:tcPr>
            <w:tcW w:type="dxa" w:w="1701"/>
          </w:tcPr>
          <w:p>
            <w:r>
              <w:rPr>
                <w:b/>
                <w:sz w:val="16"/>
              </w:rPr>
              <w:t>Summary</w:t>
            </w:r>
          </w:p>
        </w:tc>
        <w:tc>
          <w:tcPr>
            <w:tcW w:type="dxa" w:w="8164"/>
          </w:tcPr>
          <w:p>
            <w:r>
              <w:rPr>
                <w:sz w:val="16"/>
              </w:rPr>
              <w:t>Formal tests of whether one forecast beats another.</w:t>
            </w:r>
          </w:p>
        </w:tc>
      </w:tr>
      <w:tr>
        <w:tc>
          <w:tcPr>
            <w:tcW w:type="dxa" w:w="1701"/>
          </w:tcPr>
          <w:p>
            <w:r>
              <w:rPr>
                <w:b/>
                <w:sz w:val="16"/>
              </w:rPr>
              <w:t>Dataset</w:t>
            </w:r>
          </w:p>
        </w:tc>
        <w:tc>
          <w:tcPr>
            <w:tcW w:type="dxa" w:w="8164"/>
          </w:tcPr>
          <w:p>
            <w:r>
              <w:rPr>
                <w:sz w:val="16"/>
              </w:rPr>
              <w:t>General.</w:t>
            </w:r>
          </w:p>
        </w:tc>
      </w:tr>
      <w:tr>
        <w:tc>
          <w:tcPr>
            <w:tcW w:type="dxa" w:w="1701"/>
          </w:tcPr>
          <w:p>
            <w:r>
              <w:rPr>
                <w:b/>
                <w:sz w:val="16"/>
              </w:rPr>
              <w:t>Methodology</w:t>
            </w:r>
          </w:p>
        </w:tc>
        <w:tc>
          <w:tcPr>
            <w:tcW w:type="dxa" w:w="8164"/>
          </w:tcPr>
          <w:p>
            <w:r>
              <w:rPr>
                <w:sz w:val="16"/>
              </w:rPr>
              <w:t>Test on mean loss differential; small-sample correction.</w:t>
            </w:r>
          </w:p>
        </w:tc>
      </w:tr>
      <w:tr>
        <w:tc>
          <w:tcPr>
            <w:tcW w:type="dxa" w:w="1701"/>
          </w:tcPr>
          <w:p>
            <w:r>
              <w:rPr>
                <w:b/>
                <w:sz w:val="16"/>
              </w:rPr>
              <w:t>Results</w:t>
            </w:r>
          </w:p>
        </w:tc>
        <w:tc>
          <w:tcPr>
            <w:tcW w:type="dxa" w:w="8164"/>
          </w:tcPr>
          <w:p>
            <w:r>
              <w:rPr>
                <w:sz w:val="16"/>
              </w:rPr>
              <w:t>• DM is robust to autocorrelation; HLN corrects small samples and multi-step forecasts.</w:t>
            </w:r>
          </w:p>
        </w:tc>
      </w:tr>
      <w:tr>
        <w:tc>
          <w:tcPr>
            <w:tcW w:type="dxa" w:w="1701"/>
            <w:shd w:val="clear" w:color="auto" w:fill="EAF1FB"/>
          </w:tcPr>
          <w:p>
            <w:r>
              <w:rPr>
                <w:b/>
                <w:sz w:val="16"/>
              </w:rPr>
              <w:t>How it relates to MY study</w:t>
            </w:r>
          </w:p>
        </w:tc>
        <w:tc>
          <w:tcPr>
            <w:tcW w:type="dxa" w:w="8164"/>
            <w:shd w:val="clear" w:color="auto" w:fill="EAF1FB"/>
          </w:tcPr>
          <w:p>
            <w:r>
              <w:rPr>
                <w:sz w:val="16"/>
              </w:rPr>
              <w:t>Your RQ1 test.</w:t>
            </w:r>
          </w:p>
        </w:tc>
      </w:tr>
      <w:tr>
        <w:tc>
          <w:tcPr>
            <w:tcW w:type="dxa" w:w="1701"/>
            <w:shd w:val="clear" w:color="auto" w:fill="EAF1FB"/>
          </w:tcPr>
          <w:p>
            <w:r>
              <w:rPr>
                <w:b/>
                <w:sz w:val="16"/>
              </w:rPr>
              <w:t>Must read in the original</w:t>
            </w:r>
          </w:p>
        </w:tc>
        <w:tc>
          <w:tcPr>
            <w:tcW w:type="dxa" w:w="8164"/>
            <w:shd w:val="clear" w:color="auto" w:fill="EAF1FB"/>
          </w:tcPr>
          <w:p>
            <w:r>
              <w:rPr>
                <w:sz w:val="16"/>
              </w:rPr>
              <w:t>Test statistic sections.</w:t>
            </w:r>
          </w:p>
        </w:tc>
      </w:tr>
      <w:tr>
        <w:tc>
          <w:tcPr>
            <w:tcW w:type="dxa" w:w="1701"/>
          </w:tcPr>
          <w:p>
            <w:r>
              <w:rPr>
                <w:b/>
                <w:sz w:val="16"/>
              </w:rPr>
              <w:t>Can skim / skip</w:t>
            </w:r>
          </w:p>
        </w:tc>
        <w:tc>
          <w:tcPr>
            <w:tcW w:type="dxa" w:w="8164"/>
          </w:tcPr>
          <w:p>
            <w:r>
              <w:rPr>
                <w:sz w:val="16"/>
              </w:rPr>
              <w:t>—</w:t>
            </w:r>
          </w:p>
        </w:tc>
      </w:tr>
      <w:tr>
        <w:tc>
          <w:tcPr>
            <w:tcW w:type="dxa" w:w="1701"/>
          </w:tcPr>
          <w:p>
            <w:r>
              <w:rPr>
                <w:b/>
                <w:sz w:val="16"/>
              </w:rPr>
              <w:t>Key terms</w:t>
            </w:r>
          </w:p>
        </w:tc>
        <w:tc>
          <w:tcPr>
            <w:tcW w:type="dxa" w:w="8164"/>
          </w:tcPr>
          <w:p>
            <w:r>
              <w:rPr>
                <w:sz w:val="16"/>
              </w:rPr>
              <w:t>loss differential; Newey–West; HLN</w:t>
            </w:r>
          </w:p>
        </w:tc>
      </w:tr>
      <w:tr>
        <w:tc>
          <w:tcPr>
            <w:tcW w:type="dxa" w:w="1701"/>
          </w:tcPr>
          <w:p>
            <w:r>
              <w:rPr>
                <w:b/>
                <w:sz w:val="16"/>
              </w:rPr>
              <w:t>Strengths</w:t>
            </w:r>
          </w:p>
        </w:tc>
        <w:tc>
          <w:tcPr>
            <w:tcW w:type="dxa" w:w="8164"/>
          </w:tcPr>
          <w:p>
            <w:r>
              <w:rPr>
                <w:sz w:val="16"/>
              </w:rPr>
              <w:t>Standard.</w:t>
            </w:r>
          </w:p>
        </w:tc>
      </w:tr>
      <w:tr>
        <w:tc>
          <w:tcPr>
            <w:tcW w:type="dxa" w:w="1701"/>
          </w:tcPr>
          <w:p>
            <w:r>
              <w:rPr>
                <w:b/>
                <w:sz w:val="16"/>
              </w:rPr>
              <w:t>Weaknesses / critique</w:t>
            </w:r>
          </w:p>
        </w:tc>
        <w:tc>
          <w:tcPr>
            <w:tcW w:type="dxa" w:w="8164"/>
          </w:tcPr>
          <w:p>
            <w:r>
              <w:rPr>
                <w:sz w:val="16"/>
              </w:rPr>
              <w:t>Nested-model issues.</w:t>
            </w:r>
          </w:p>
        </w:tc>
      </w:tr>
      <w:tr>
        <w:tc>
          <w:tcPr>
            <w:tcW w:type="dxa" w:w="1701"/>
            <w:shd w:val="clear" w:color="auto" w:fill="EAF1FB"/>
          </w:tcPr>
          <w:p>
            <w:r>
              <w:rPr>
                <w:b/>
                <w:sz w:val="16"/>
              </w:rPr>
              <w:t>Use it as · where</w:t>
            </w:r>
          </w:p>
        </w:tc>
        <w:tc>
          <w:tcPr>
            <w:tcW w:type="dxa" w:w="8164"/>
            <w:shd w:val="clear" w:color="auto" w:fill="EAF1FB"/>
          </w:tcPr>
          <w:p>
            <w:r>
              <w:rPr>
                <w:sz w:val="16"/>
              </w:rPr>
              <w:t>Method · 2.5; Chapter 3</w:t>
            </w:r>
          </w:p>
        </w:tc>
      </w:tr>
    </w:tbl>
    <w:p>
      <w:pPr>
        <w:spacing w:after="80"/>
      </w:pPr>
    </w:p>
    <w:tbl>
      <w:tblPr>
        <w:tblStyle w:val="TableGrid"/>
        <w:tblW w:type="auto" w:w="0"/>
        <w:jc w:val="center"/>
        <w:tblLook w:firstColumn="1" w:firstRow="1" w:lastColumn="0" w:lastRow="0" w:noHBand="0" w:noVBand="1" w:val="04A0"/>
      </w:tblPr>
      <w:tblGrid>
        <w:gridCol w:w="5100"/>
        <w:gridCol w:w="5100"/>
      </w:tblGrid>
      <w:tr>
        <w:tc>
          <w:tcPr>
            <w:tcW w:type="dxa" w:w="8164"/>
            <w:gridSpan w:val="2"/>
            <w:shd w:val="clear" w:color="auto" w:fill="1F4E79"/>
          </w:tcPr>
          <w:p>
            <w:r>
              <w:rPr>
                <w:b/>
                <w:color w:val="FFFFFF"/>
                <w:sz w:val="19"/>
              </w:rPr>
              <w:t>Hochreiter, S. &amp; Schmidhuber, J. (1997) Long short-term memory. Neural Computation, 9(8), 1735–1780.</w:t>
            </w:r>
          </w:p>
        </w:tc>
      </w:tr>
      <w:tr>
        <w:tc>
          <w:tcPr>
            <w:tcW w:type="dxa" w:w="1701"/>
            <w:shd w:val="clear" w:color="auto" w:fill="EFEFEF"/>
          </w:tcPr>
          <w:p>
            <w:r>
              <w:rPr>
                <w:b/>
                <w:sz w:val="16"/>
              </w:rPr>
              <w:t>Source basis</w:t>
            </w:r>
          </w:p>
        </w:tc>
        <w:tc>
          <w:tcPr>
            <w:tcW w:type="dxa" w:w="8164"/>
            <w:shd w:val="clear" w:color="auto" w:fill="EFEFEF"/>
          </w:tcPr>
          <w:p>
            <w:r>
              <w:rPr>
                <w:sz w:val="16"/>
              </w:rPr>
              <w:t>STANDARD KNOWLEDGE, not re-read this session; confirm every detail and page before citing</w:t>
            </w:r>
          </w:p>
        </w:tc>
      </w:tr>
      <w:tr>
        <w:tc>
          <w:tcPr>
            <w:tcW w:type="dxa" w:w="1701"/>
          </w:tcPr>
          <w:p>
            <w:r>
              <w:rPr>
                <w:b/>
                <w:sz w:val="16"/>
              </w:rPr>
              <w:t>Summary</w:t>
            </w:r>
          </w:p>
        </w:tc>
        <w:tc>
          <w:tcPr>
            <w:tcW w:type="dxa" w:w="8164"/>
          </w:tcPr>
          <w:p>
            <w:r>
              <w:rPr>
                <w:sz w:val="16"/>
              </w:rPr>
              <w:t>Introduces the LSTM to learn long time lags.</w:t>
            </w:r>
          </w:p>
        </w:tc>
      </w:tr>
      <w:tr>
        <w:tc>
          <w:tcPr>
            <w:tcW w:type="dxa" w:w="1701"/>
          </w:tcPr>
          <w:p>
            <w:r>
              <w:rPr>
                <w:b/>
                <w:sz w:val="16"/>
              </w:rPr>
              <w:t>Dataset</w:t>
            </w:r>
          </w:p>
        </w:tc>
        <w:tc>
          <w:tcPr>
            <w:tcW w:type="dxa" w:w="8164"/>
          </w:tcPr>
          <w:p>
            <w:r>
              <w:rPr>
                <w:sz w:val="16"/>
              </w:rPr>
              <w:t>Artificial benchmark tasks.</w:t>
            </w:r>
          </w:p>
        </w:tc>
      </w:tr>
      <w:tr>
        <w:tc>
          <w:tcPr>
            <w:tcW w:type="dxa" w:w="1701"/>
          </w:tcPr>
          <w:p>
            <w:r>
              <w:rPr>
                <w:b/>
                <w:sz w:val="16"/>
              </w:rPr>
              <w:t>Methodology</w:t>
            </w:r>
          </w:p>
        </w:tc>
        <w:tc>
          <w:tcPr>
            <w:tcW w:type="dxa" w:w="8164"/>
          </w:tcPr>
          <w:p>
            <w:r>
              <w:rPr>
                <w:sz w:val="16"/>
              </w:rPr>
              <w:t>New recurrent architecture with a constant error carousel.</w:t>
            </w:r>
          </w:p>
        </w:tc>
      </w:tr>
      <w:tr>
        <w:tc>
          <w:tcPr>
            <w:tcW w:type="dxa" w:w="1701"/>
          </w:tcPr>
          <w:p>
            <w:r>
              <w:rPr>
                <w:b/>
                <w:sz w:val="16"/>
              </w:rPr>
              <w:t>Results</w:t>
            </w:r>
          </w:p>
        </w:tc>
        <w:tc>
          <w:tcPr>
            <w:tcW w:type="dxa" w:w="8164"/>
          </w:tcPr>
          <w:p>
            <w:r>
              <w:rPr>
                <w:sz w:val="16"/>
              </w:rPr>
              <w:t>• Solves tasks with very long time lags where plain RNNs fail.</w:t>
            </w:r>
          </w:p>
        </w:tc>
      </w:tr>
      <w:tr>
        <w:tc>
          <w:tcPr>
            <w:tcW w:type="dxa" w:w="1701"/>
            <w:shd w:val="clear" w:color="auto" w:fill="EAF1FB"/>
          </w:tcPr>
          <w:p>
            <w:r>
              <w:rPr>
                <w:b/>
                <w:sz w:val="16"/>
              </w:rPr>
              <w:t>How it relates to MY study</w:t>
            </w:r>
          </w:p>
        </w:tc>
        <w:tc>
          <w:tcPr>
            <w:tcW w:type="dxa" w:w="8164"/>
            <w:shd w:val="clear" w:color="auto" w:fill="EAF1FB"/>
          </w:tcPr>
          <w:p>
            <w:r>
              <w:rPr>
                <w:sz w:val="16"/>
              </w:rPr>
              <w:t>Your model; cite in 2.5 and 3.</w:t>
            </w:r>
          </w:p>
        </w:tc>
      </w:tr>
      <w:tr>
        <w:tc>
          <w:tcPr>
            <w:tcW w:type="dxa" w:w="1701"/>
            <w:shd w:val="clear" w:color="auto" w:fill="EAF1FB"/>
          </w:tcPr>
          <w:p>
            <w:r>
              <w:rPr>
                <w:b/>
                <w:sz w:val="16"/>
              </w:rPr>
              <w:t>Must read in the original</w:t>
            </w:r>
          </w:p>
        </w:tc>
        <w:tc>
          <w:tcPr>
            <w:tcW w:type="dxa" w:w="8164"/>
            <w:shd w:val="clear" w:color="auto" w:fill="EAF1FB"/>
          </w:tcPr>
          <w:p>
            <w:r>
              <w:rPr>
                <w:sz w:val="16"/>
              </w:rPr>
              <w:t>Introduction and the architecture section (first ≈9 pages).</w:t>
            </w:r>
          </w:p>
        </w:tc>
      </w:tr>
      <w:tr>
        <w:tc>
          <w:tcPr>
            <w:tcW w:type="dxa" w:w="1701"/>
          </w:tcPr>
          <w:p>
            <w:r>
              <w:rPr>
                <w:b/>
                <w:sz w:val="16"/>
              </w:rPr>
              <w:t>Can skim / skip</w:t>
            </w:r>
          </w:p>
        </w:tc>
        <w:tc>
          <w:tcPr>
            <w:tcW w:type="dxa" w:w="8164"/>
          </w:tcPr>
          <w:p>
            <w:r>
              <w:rPr>
                <w:sz w:val="16"/>
              </w:rPr>
              <w:t>Experiments (pp.9–20).</w:t>
            </w:r>
          </w:p>
        </w:tc>
      </w:tr>
      <w:tr>
        <w:tc>
          <w:tcPr>
            <w:tcW w:type="dxa" w:w="1701"/>
          </w:tcPr>
          <w:p>
            <w:r>
              <w:rPr>
                <w:b/>
                <w:sz w:val="16"/>
              </w:rPr>
              <w:t>Key terms</w:t>
            </w:r>
          </w:p>
        </w:tc>
        <w:tc>
          <w:tcPr>
            <w:tcW w:type="dxa" w:w="8164"/>
          </w:tcPr>
          <w:p>
            <w:r>
              <w:rPr>
                <w:sz w:val="16"/>
              </w:rPr>
              <w:t>constant error carousel; gates</w:t>
            </w:r>
          </w:p>
        </w:tc>
      </w:tr>
      <w:tr>
        <w:tc>
          <w:tcPr>
            <w:tcW w:type="dxa" w:w="1701"/>
          </w:tcPr>
          <w:p>
            <w:r>
              <w:rPr>
                <w:b/>
                <w:sz w:val="16"/>
              </w:rPr>
              <w:t>Strengths</w:t>
            </w:r>
          </w:p>
        </w:tc>
        <w:tc>
          <w:tcPr>
            <w:tcW w:type="dxa" w:w="8164"/>
          </w:tcPr>
          <w:p>
            <w:r>
              <w:rPr>
                <w:sz w:val="16"/>
              </w:rPr>
              <w:t>Foundational.</w:t>
            </w:r>
          </w:p>
        </w:tc>
      </w:tr>
      <w:tr>
        <w:tc>
          <w:tcPr>
            <w:tcW w:type="dxa" w:w="1701"/>
          </w:tcPr>
          <w:p>
            <w:r>
              <w:rPr>
                <w:b/>
                <w:sz w:val="16"/>
              </w:rPr>
              <w:t>Weaknesses / critique</w:t>
            </w:r>
          </w:p>
        </w:tc>
        <w:tc>
          <w:tcPr>
            <w:tcW w:type="dxa" w:w="8164"/>
          </w:tcPr>
          <w:p>
            <w:r>
              <w:rPr>
                <w:sz w:val="16"/>
              </w:rPr>
              <w:t>Original had no forget gate (Gers et al., 2000).</w:t>
            </w:r>
          </w:p>
        </w:tc>
      </w:tr>
      <w:tr>
        <w:tc>
          <w:tcPr>
            <w:tcW w:type="dxa" w:w="1701"/>
            <w:shd w:val="clear" w:color="auto" w:fill="EAF1FB"/>
          </w:tcPr>
          <w:p>
            <w:r>
              <w:rPr>
                <w:b/>
                <w:sz w:val="16"/>
              </w:rPr>
              <w:t>Use it as · where</w:t>
            </w:r>
          </w:p>
        </w:tc>
        <w:tc>
          <w:tcPr>
            <w:tcW w:type="dxa" w:w="8164"/>
            <w:shd w:val="clear" w:color="auto" w:fill="EAF1FB"/>
          </w:tcPr>
          <w:p>
            <w:r>
              <w:rPr>
                <w:sz w:val="16"/>
              </w:rPr>
              <w:t>Method · 2.5; Chapter 3</w:t>
            </w:r>
          </w:p>
        </w:tc>
      </w:tr>
    </w:tbl>
    <w:p>
      <w:pPr>
        <w:spacing w:after="80"/>
      </w:pPr>
    </w:p>
    <w:tbl>
      <w:tblPr>
        <w:tblStyle w:val="TableGrid"/>
        <w:tblW w:type="auto" w:w="0"/>
        <w:jc w:val="center"/>
        <w:tblLook w:firstColumn="1" w:firstRow="1" w:lastColumn="0" w:lastRow="0" w:noHBand="0" w:noVBand="1" w:val="04A0"/>
      </w:tblPr>
      <w:tblGrid>
        <w:gridCol w:w="5100"/>
        <w:gridCol w:w="5100"/>
      </w:tblGrid>
      <w:tr>
        <w:tc>
          <w:tcPr>
            <w:tcW w:type="dxa" w:w="8164"/>
            <w:gridSpan w:val="2"/>
            <w:shd w:val="clear" w:color="auto" w:fill="1F4E79"/>
          </w:tcPr>
          <w:p>
            <w:r>
              <w:rPr>
                <w:b/>
                <w:color w:val="FFFFFF"/>
                <w:sz w:val="19"/>
              </w:rPr>
              <w:t>Fischer &amp; Krauss (2018) EJOR 270(2); Kim &amp; Won (2018) ESWA 103.</w:t>
            </w:r>
          </w:p>
        </w:tc>
      </w:tr>
      <w:tr>
        <w:tc>
          <w:tcPr>
            <w:tcW w:type="dxa" w:w="1701"/>
            <w:shd w:val="clear" w:color="auto" w:fill="EFEFEF"/>
          </w:tcPr>
          <w:p>
            <w:r>
              <w:rPr>
                <w:b/>
                <w:sz w:val="16"/>
              </w:rPr>
              <w:t>Source basis</w:t>
            </w:r>
          </w:p>
        </w:tc>
        <w:tc>
          <w:tcPr>
            <w:tcW w:type="dxa" w:w="8164"/>
            <w:shd w:val="clear" w:color="auto" w:fill="EFEFEF"/>
          </w:tcPr>
          <w:p>
            <w:r>
              <w:rPr>
                <w:sz w:val="16"/>
              </w:rPr>
              <w:t>STANDARD KNOWLEDGE, not re-read this session; confirm every detail and page before citing</w:t>
            </w:r>
          </w:p>
        </w:tc>
      </w:tr>
      <w:tr>
        <w:tc>
          <w:tcPr>
            <w:tcW w:type="dxa" w:w="1701"/>
          </w:tcPr>
          <w:p>
            <w:r>
              <w:rPr>
                <w:b/>
                <w:sz w:val="16"/>
              </w:rPr>
              <w:t>Summary</w:t>
            </w:r>
          </w:p>
        </w:tc>
        <w:tc>
          <w:tcPr>
            <w:tcW w:type="dxa" w:w="8164"/>
          </w:tcPr>
          <w:p>
            <w:r>
              <w:rPr>
                <w:sz w:val="16"/>
              </w:rPr>
              <w:t>LSTM for stock direction (S&amp;P 500 constituents) and LSTM–GARCH hybrids for KOSPI 200 volatility.</w:t>
            </w:r>
          </w:p>
        </w:tc>
      </w:tr>
      <w:tr>
        <w:tc>
          <w:tcPr>
            <w:tcW w:type="dxa" w:w="1701"/>
          </w:tcPr>
          <w:p>
            <w:r>
              <w:rPr>
                <w:b/>
                <w:sz w:val="16"/>
              </w:rPr>
              <w:t>Dataset</w:t>
            </w:r>
          </w:p>
        </w:tc>
        <w:tc>
          <w:tcPr>
            <w:tcW w:type="dxa" w:w="8164"/>
          </w:tcPr>
          <w:p>
            <w:r>
              <w:rPr>
                <w:sz w:val="16"/>
              </w:rPr>
              <w:t>S&amp;P 500 constituents 1992–2015; KOSPI 200.</w:t>
            </w:r>
          </w:p>
        </w:tc>
      </w:tr>
      <w:tr>
        <w:tc>
          <w:tcPr>
            <w:tcW w:type="dxa" w:w="1701"/>
          </w:tcPr>
          <w:p>
            <w:r>
              <w:rPr>
                <w:b/>
                <w:sz w:val="16"/>
              </w:rPr>
              <w:t>Methodology</w:t>
            </w:r>
          </w:p>
        </w:tc>
        <w:tc>
          <w:tcPr>
            <w:tcW w:type="dxa" w:w="8164"/>
          </w:tcPr>
          <w:p>
            <w:r>
              <w:rPr>
                <w:sz w:val="16"/>
              </w:rPr>
              <w:t>LSTM vs RF/DNN/logit; LSTM fed GARCH outputs.</w:t>
            </w:r>
          </w:p>
        </w:tc>
      </w:tr>
      <w:tr>
        <w:tc>
          <w:tcPr>
            <w:tcW w:type="dxa" w:w="1701"/>
          </w:tcPr>
          <w:p>
            <w:r>
              <w:rPr>
                <w:b/>
                <w:sz w:val="16"/>
              </w:rPr>
              <w:t>Results</w:t>
            </w:r>
          </w:p>
        </w:tc>
        <w:tc>
          <w:tcPr>
            <w:tcW w:type="dxa" w:w="8164"/>
          </w:tcPr>
          <w:p>
            <w:r>
              <w:rPr>
                <w:sz w:val="16"/>
              </w:rPr>
              <w:t>• LSTM beat other methods on direction; edge declined later.</w:t>
            </w:r>
          </w:p>
          <w:p>
            <w:r>
              <w:rPr>
                <w:sz w:val="16"/>
              </w:rPr>
              <w:t>• Hybrids reduced volatility errors.</w:t>
            </w:r>
          </w:p>
        </w:tc>
      </w:tr>
      <w:tr>
        <w:tc>
          <w:tcPr>
            <w:tcW w:type="dxa" w:w="1701"/>
            <w:shd w:val="clear" w:color="auto" w:fill="EAF1FB"/>
          </w:tcPr>
          <w:p>
            <w:r>
              <w:rPr>
                <w:b/>
                <w:sz w:val="16"/>
              </w:rPr>
              <w:t>How it relates to MY study</w:t>
            </w:r>
          </w:p>
        </w:tc>
        <w:tc>
          <w:tcPr>
            <w:tcW w:type="dxa" w:w="8164"/>
            <w:shd w:val="clear" w:color="auto" w:fill="EAF1FB"/>
          </w:tcPr>
          <w:p>
            <w:r>
              <w:rPr>
                <w:sz w:val="16"/>
              </w:rPr>
              <w:t>Evidence that LSTMs capture structure; hybrid idea for PhD.</w:t>
            </w:r>
          </w:p>
        </w:tc>
      </w:tr>
      <w:tr>
        <w:tc>
          <w:tcPr>
            <w:tcW w:type="dxa" w:w="1701"/>
            <w:shd w:val="clear" w:color="auto" w:fill="EAF1FB"/>
          </w:tcPr>
          <w:p>
            <w:r>
              <w:rPr>
                <w:b/>
                <w:sz w:val="16"/>
              </w:rPr>
              <w:t>Must read in the original</w:t>
            </w:r>
          </w:p>
        </w:tc>
        <w:tc>
          <w:tcPr>
            <w:tcW w:type="dxa" w:w="8164"/>
            <w:shd w:val="clear" w:color="auto" w:fill="EAF1FB"/>
          </w:tcPr>
          <w:p>
            <w:r>
              <w:rPr>
                <w:sz w:val="16"/>
              </w:rPr>
              <w:t>Introductions and results.</w:t>
            </w:r>
          </w:p>
        </w:tc>
      </w:tr>
      <w:tr>
        <w:tc>
          <w:tcPr>
            <w:tcW w:type="dxa" w:w="1701"/>
          </w:tcPr>
          <w:p>
            <w:r>
              <w:rPr>
                <w:b/>
                <w:sz w:val="16"/>
              </w:rPr>
              <w:t>Can skim / skip</w:t>
            </w:r>
          </w:p>
        </w:tc>
        <w:tc>
          <w:tcPr>
            <w:tcW w:type="dxa" w:w="8164"/>
          </w:tcPr>
          <w:p>
            <w:r>
              <w:rPr>
                <w:sz w:val="16"/>
              </w:rPr>
              <w:t>—</w:t>
            </w:r>
          </w:p>
        </w:tc>
      </w:tr>
      <w:tr>
        <w:tc>
          <w:tcPr>
            <w:tcW w:type="dxa" w:w="1701"/>
          </w:tcPr>
          <w:p>
            <w:r>
              <w:rPr>
                <w:b/>
                <w:sz w:val="16"/>
              </w:rPr>
              <w:t>Key terms</w:t>
            </w:r>
          </w:p>
        </w:tc>
        <w:tc>
          <w:tcPr>
            <w:tcW w:type="dxa" w:w="8164"/>
          </w:tcPr>
          <w:p>
            <w:r>
              <w:rPr>
                <w:sz w:val="16"/>
              </w:rPr>
              <w:t>hybrid model</w:t>
            </w:r>
          </w:p>
        </w:tc>
      </w:tr>
      <w:tr>
        <w:tc>
          <w:tcPr>
            <w:tcW w:type="dxa" w:w="1701"/>
          </w:tcPr>
          <w:p>
            <w:r>
              <w:rPr>
                <w:b/>
                <w:sz w:val="16"/>
              </w:rPr>
              <w:t>Strengths</w:t>
            </w:r>
          </w:p>
        </w:tc>
        <w:tc>
          <w:tcPr>
            <w:tcW w:type="dxa" w:w="8164"/>
          </w:tcPr>
          <w:p>
            <w:r>
              <w:rPr>
                <w:sz w:val="16"/>
              </w:rPr>
              <w:t>Widely cited.</w:t>
            </w:r>
          </w:p>
        </w:tc>
      </w:tr>
      <w:tr>
        <w:tc>
          <w:tcPr>
            <w:tcW w:type="dxa" w:w="1701"/>
          </w:tcPr>
          <w:p>
            <w:r>
              <w:rPr>
                <w:b/>
                <w:sz w:val="16"/>
              </w:rPr>
              <w:t>Weaknesses / critique</w:t>
            </w:r>
          </w:p>
        </w:tc>
        <w:tc>
          <w:tcPr>
            <w:tcW w:type="dxa" w:w="8164"/>
          </w:tcPr>
          <w:p>
            <w:r>
              <w:rPr>
                <w:sz w:val="16"/>
              </w:rPr>
              <w:t>Confirm details.</w:t>
            </w:r>
          </w:p>
        </w:tc>
      </w:tr>
      <w:tr>
        <w:tc>
          <w:tcPr>
            <w:tcW w:type="dxa" w:w="1701"/>
            <w:shd w:val="clear" w:color="auto" w:fill="EAF1FB"/>
          </w:tcPr>
          <w:p>
            <w:r>
              <w:rPr>
                <w:b/>
                <w:sz w:val="16"/>
              </w:rPr>
              <w:t>Use it as · where</w:t>
            </w:r>
          </w:p>
        </w:tc>
        <w:tc>
          <w:tcPr>
            <w:tcW w:type="dxa" w:w="8164"/>
            <w:shd w:val="clear" w:color="auto" w:fill="EAF1FB"/>
          </w:tcPr>
          <w:p>
            <w:r>
              <w:rPr>
                <w:sz w:val="16"/>
              </w:rPr>
              <w:t>Support · 2.5</w:t>
            </w:r>
          </w:p>
        </w:tc>
      </w:tr>
    </w:tbl>
    <w:p>
      <w:pPr>
        <w:spacing w:after="80"/>
      </w:pPr>
    </w:p>
    <w:tbl>
      <w:tblPr>
        <w:tblStyle w:val="TableGrid"/>
        <w:tblW w:type="auto" w:w="0"/>
        <w:jc w:val="center"/>
        <w:tblLook w:firstColumn="1" w:firstRow="1" w:lastColumn="0" w:lastRow="0" w:noHBand="0" w:noVBand="1" w:val="04A0"/>
      </w:tblPr>
      <w:tblGrid>
        <w:gridCol w:w="5100"/>
        <w:gridCol w:w="5100"/>
      </w:tblGrid>
      <w:tr>
        <w:tc>
          <w:tcPr>
            <w:tcW w:type="dxa" w:w="8164"/>
            <w:gridSpan w:val="2"/>
            <w:shd w:val="clear" w:color="auto" w:fill="1F4E79"/>
          </w:tcPr>
          <w:p>
            <w:r>
              <w:rPr>
                <w:b/>
                <w:color w:val="FFFFFF"/>
                <w:sz w:val="19"/>
              </w:rPr>
              <w:t>Bucci, A. (2020) Realized volatility forecasting with neural networks. JFEC, 18(3), 502–531.</w:t>
            </w:r>
          </w:p>
        </w:tc>
      </w:tr>
      <w:tr>
        <w:tc>
          <w:tcPr>
            <w:tcW w:type="dxa" w:w="1701"/>
            <w:shd w:val="clear" w:color="auto" w:fill="D9EAD3"/>
          </w:tcPr>
          <w:p>
            <w:r>
              <w:rPr>
                <w:b/>
                <w:sz w:val="16"/>
              </w:rPr>
              <w:t>Source basis</w:t>
            </w:r>
          </w:p>
        </w:tc>
        <w:tc>
          <w:tcPr>
            <w:tcW w:type="dxa" w:w="8164"/>
            <w:shd w:val="clear" w:color="auto" w:fill="D9EAD3"/>
          </w:tcPr>
          <w:p>
            <w:r>
              <w:rPr>
                <w:sz w:val="16"/>
              </w:rPr>
              <w:t>FULL TEXT read in this session; page numbers refer to the open-access version in Part G</w:t>
            </w:r>
          </w:p>
        </w:tc>
      </w:tr>
      <w:tr>
        <w:tc>
          <w:tcPr>
            <w:tcW w:type="dxa" w:w="1701"/>
          </w:tcPr>
          <w:p>
            <w:r>
              <w:rPr>
                <w:b/>
                <w:sz w:val="16"/>
              </w:rPr>
              <w:t>Summary</w:t>
            </w:r>
          </w:p>
        </w:tc>
        <w:tc>
          <w:tcPr>
            <w:tcW w:type="dxa" w:w="8164"/>
          </w:tcPr>
          <w:p>
            <w:r>
              <w:rPr>
                <w:sz w:val="16"/>
              </w:rPr>
              <w:t>Compares feed-forward and recurrent networks with econometric models for realised volatility.</w:t>
            </w:r>
          </w:p>
        </w:tc>
      </w:tr>
      <w:tr>
        <w:tc>
          <w:tcPr>
            <w:tcW w:type="dxa" w:w="1701"/>
          </w:tcPr>
          <w:p>
            <w:r>
              <w:rPr>
                <w:b/>
                <w:sz w:val="16"/>
              </w:rPr>
              <w:t>Dataset</w:t>
            </w:r>
          </w:p>
        </w:tc>
        <w:tc>
          <w:tcPr>
            <w:tcW w:type="dxa" w:w="8164"/>
          </w:tcPr>
          <w:p>
            <w:r>
              <w:rPr>
                <w:sz w:val="16"/>
              </w:rPr>
              <w:t>Monthly S&amp;P 500, Feb 1950 – Dec 2017 (815 obs.); log RV from daily squared returns; macro and financial predictors (Table 1).</w:t>
            </w:r>
          </w:p>
        </w:tc>
      </w:tr>
      <w:tr>
        <w:tc>
          <w:tcPr>
            <w:tcW w:type="dxa" w:w="1701"/>
          </w:tcPr>
          <w:p>
            <w:r>
              <w:rPr>
                <w:b/>
                <w:sz w:val="16"/>
              </w:rPr>
              <w:t>Methodology</w:t>
            </w:r>
          </w:p>
        </w:tc>
        <w:tc>
          <w:tcPr>
            <w:tcW w:type="dxa" w:w="8164"/>
          </w:tcPr>
          <w:p>
            <w:r>
              <w:rPr>
                <w:sz w:val="16"/>
              </w:rPr>
              <w:t>FNN, Elman, Jordan, LSTM, NARX vs ARFIMA(X), LSTAR(X); rolling window; 245 out-of-sample forecasts (1997–2017), 22 in the 2007–09 subsample; MSE and QLIKE; Model Confidence Set; DM tests.</w:t>
            </w:r>
          </w:p>
        </w:tc>
      </w:tr>
      <w:tr>
        <w:tc>
          <w:tcPr>
            <w:tcW w:type="dxa" w:w="1701"/>
          </w:tcPr>
          <w:p>
            <w:r>
              <w:rPr>
                <w:b/>
                <w:sz w:val="16"/>
              </w:rPr>
              <w:t>Results</w:t>
            </w:r>
          </w:p>
        </w:tc>
        <w:tc>
          <w:tcPr>
            <w:tcW w:type="dxa" w:w="8164"/>
          </w:tcPr>
          <w:p>
            <w:r>
              <w:rPr>
                <w:sz w:val="16"/>
              </w:rPr>
              <w:t>• Recurrent networks outperform traditional econometric methods.</w:t>
            </w:r>
          </w:p>
          <w:p>
            <w:r>
              <w:rPr>
                <w:sz w:val="16"/>
              </w:rPr>
              <w:t>• LSTM and NARX are best and beat FNN, Elman, Jordan.</w:t>
            </w:r>
          </w:p>
          <w:p>
            <w:r>
              <w:rPr>
                <w:sz w:val="16"/>
              </w:rPr>
              <w:t>• Advantage also in 2007–09.</w:t>
            </w:r>
          </w:p>
        </w:tc>
      </w:tr>
      <w:tr>
        <w:tc>
          <w:tcPr>
            <w:tcW w:type="dxa" w:w="1701"/>
            <w:shd w:val="clear" w:color="auto" w:fill="EAF1FB"/>
          </w:tcPr>
          <w:p>
            <w:r>
              <w:rPr>
                <w:b/>
                <w:sz w:val="16"/>
              </w:rPr>
              <w:t>How it relates to MY study</w:t>
            </w:r>
          </w:p>
        </w:tc>
        <w:tc>
          <w:tcPr>
            <w:tcW w:type="dxa" w:w="8164"/>
            <w:shd w:val="clear" w:color="auto" w:fill="EAF1FB"/>
          </w:tcPr>
          <w:p>
            <w:r>
              <w:rPr>
                <w:sz w:val="16"/>
              </w:rPr>
              <w:t>Main support for H1; but monthly data and only 22 crisis forecasts — your daily/weekly, three-crisis design is a clear improvement.</w:t>
            </w:r>
          </w:p>
        </w:tc>
      </w:tr>
      <w:tr>
        <w:tc>
          <w:tcPr>
            <w:tcW w:type="dxa" w:w="1701"/>
            <w:shd w:val="clear" w:color="auto" w:fill="EAF1FB"/>
          </w:tcPr>
          <w:p>
            <w:r>
              <w:rPr>
                <w:b/>
                <w:sz w:val="16"/>
              </w:rPr>
              <w:t>Must read in the original</w:t>
            </w:r>
          </w:p>
        </w:tc>
        <w:tc>
          <w:tcPr>
            <w:tcW w:type="dxa" w:w="8164"/>
            <w:shd w:val="clear" w:color="auto" w:fill="EAF1FB"/>
          </w:tcPr>
          <w:p>
            <w:r>
              <w:rPr>
                <w:sz w:val="16"/>
              </w:rPr>
              <w:t>Data (pp.4–6); LSTM description (p.11, Figure 6); forecast accuracy (pp.18–26, Tables 4–6 pp.21–22); conclusions (p.27).</w:t>
            </w:r>
          </w:p>
        </w:tc>
      </w:tr>
      <w:tr>
        <w:tc>
          <w:tcPr>
            <w:tcW w:type="dxa" w:w="1701"/>
          </w:tcPr>
          <w:p>
            <w:r>
              <w:rPr>
                <w:b/>
                <w:sz w:val="16"/>
              </w:rPr>
              <w:t>Can skim / skip</w:t>
            </w:r>
          </w:p>
        </w:tc>
        <w:tc>
          <w:tcPr>
            <w:tcW w:type="dxa" w:w="8164"/>
          </w:tcPr>
          <w:p>
            <w:r>
              <w:rPr>
                <w:sz w:val="16"/>
              </w:rPr>
              <w:t>Other network architectures (pp.7–10, 12–13).</w:t>
            </w:r>
          </w:p>
        </w:tc>
      </w:tr>
      <w:tr>
        <w:tc>
          <w:tcPr>
            <w:tcW w:type="dxa" w:w="1701"/>
          </w:tcPr>
          <w:p>
            <w:r>
              <w:rPr>
                <w:b/>
                <w:sz w:val="16"/>
              </w:rPr>
              <w:t>Key terms</w:t>
            </w:r>
          </w:p>
        </w:tc>
        <w:tc>
          <w:tcPr>
            <w:tcW w:type="dxa" w:w="8164"/>
          </w:tcPr>
          <w:p>
            <w:r>
              <w:rPr>
                <w:sz w:val="16"/>
              </w:rPr>
              <w:t>NARX; Model Confidence Set; ARFIMA</w:t>
            </w:r>
          </w:p>
        </w:tc>
      </w:tr>
      <w:tr>
        <w:tc>
          <w:tcPr>
            <w:tcW w:type="dxa" w:w="1701"/>
          </w:tcPr>
          <w:p>
            <w:r>
              <w:rPr>
                <w:b/>
                <w:sz w:val="16"/>
              </w:rPr>
              <w:t>Strengths</w:t>
            </w:r>
          </w:p>
        </w:tc>
        <w:tc>
          <w:tcPr>
            <w:tcW w:type="dxa" w:w="8164"/>
          </w:tcPr>
          <w:p>
            <w:r>
              <w:rPr>
                <w:sz w:val="16"/>
              </w:rPr>
              <w:t>Careful comparison; robust losses.</w:t>
            </w:r>
          </w:p>
        </w:tc>
      </w:tr>
      <w:tr>
        <w:tc>
          <w:tcPr>
            <w:tcW w:type="dxa" w:w="1701"/>
          </w:tcPr>
          <w:p>
            <w:r>
              <w:rPr>
                <w:b/>
                <w:sz w:val="16"/>
              </w:rPr>
              <w:t>Weaknesses / critique</w:t>
            </w:r>
          </w:p>
        </w:tc>
        <w:tc>
          <w:tcPr>
            <w:tcW w:type="dxa" w:w="8164"/>
          </w:tcPr>
          <w:p>
            <w:r>
              <w:rPr>
                <w:sz w:val="16"/>
              </w:rPr>
              <w:t>Monthly; tiny crisis sample; no explanations.</w:t>
            </w:r>
          </w:p>
        </w:tc>
      </w:tr>
      <w:tr>
        <w:tc>
          <w:tcPr>
            <w:tcW w:type="dxa" w:w="1701"/>
            <w:shd w:val="clear" w:color="auto" w:fill="EAF1FB"/>
          </w:tcPr>
          <w:p>
            <w:r>
              <w:rPr>
                <w:b/>
                <w:sz w:val="16"/>
              </w:rPr>
              <w:t>Use it as · where</w:t>
            </w:r>
          </w:p>
        </w:tc>
        <w:tc>
          <w:tcPr>
            <w:tcW w:type="dxa" w:w="8164"/>
            <w:shd w:val="clear" w:color="auto" w:fill="EAF1FB"/>
          </w:tcPr>
          <w:p>
            <w:r>
              <w:rPr>
                <w:sz w:val="16"/>
              </w:rPr>
              <w:t>Support + contrast · 2.5; H1; gap</w:t>
            </w:r>
          </w:p>
        </w:tc>
      </w:tr>
    </w:tbl>
    <w:p>
      <w:pPr>
        <w:spacing w:after="80"/>
      </w:pPr>
    </w:p>
    <w:tbl>
      <w:tblPr>
        <w:tblStyle w:val="TableGrid"/>
        <w:tblW w:type="auto" w:w="0"/>
        <w:jc w:val="center"/>
        <w:tblLook w:firstColumn="1" w:firstRow="1" w:lastColumn="0" w:lastRow="0" w:noHBand="0" w:noVBand="1" w:val="04A0"/>
      </w:tblPr>
      <w:tblGrid>
        <w:gridCol w:w="5100"/>
        <w:gridCol w:w="5100"/>
      </w:tblGrid>
      <w:tr>
        <w:tc>
          <w:tcPr>
            <w:tcW w:type="dxa" w:w="8164"/>
            <w:gridSpan w:val="2"/>
            <w:shd w:val="clear" w:color="auto" w:fill="1F4E79"/>
          </w:tcPr>
          <w:p>
            <w:r>
              <w:rPr>
                <w:b/>
                <w:color w:val="FFFFFF"/>
                <w:sz w:val="19"/>
              </w:rPr>
              <w:t>Christensen, K., Siggaard, M. &amp; Veliyev, B. (2023) A machine learning approach to volatility forecasting. JFEC, 21(5), 1680–1727.</w:t>
            </w:r>
          </w:p>
        </w:tc>
      </w:tr>
      <w:tr>
        <w:tc>
          <w:tcPr>
            <w:tcW w:type="dxa" w:w="1701"/>
            <w:shd w:val="clear" w:color="auto" w:fill="D9EAD3"/>
          </w:tcPr>
          <w:p>
            <w:r>
              <w:rPr>
                <w:b/>
                <w:sz w:val="16"/>
              </w:rPr>
              <w:t>Source basis</w:t>
            </w:r>
          </w:p>
        </w:tc>
        <w:tc>
          <w:tcPr>
            <w:tcW w:type="dxa" w:w="8164"/>
            <w:shd w:val="clear" w:color="auto" w:fill="D9EAD3"/>
          </w:tcPr>
          <w:p>
            <w:r>
              <w:rPr>
                <w:sz w:val="16"/>
              </w:rPr>
              <w:t>FULL TEXT read in this session; page numbers refer to the open-access version in Part G</w:t>
            </w:r>
          </w:p>
        </w:tc>
      </w:tr>
      <w:tr>
        <w:tc>
          <w:tcPr>
            <w:tcW w:type="dxa" w:w="1701"/>
          </w:tcPr>
          <w:p>
            <w:r>
              <w:rPr>
                <w:b/>
                <w:sz w:val="16"/>
              </w:rPr>
              <w:t>Summary</w:t>
            </w:r>
          </w:p>
        </w:tc>
        <w:tc>
          <w:tcPr>
            <w:tcW w:type="dxa" w:w="8164"/>
          </w:tcPr>
          <w:p>
            <w:r>
              <w:rPr>
                <w:sz w:val="16"/>
              </w:rPr>
              <w:t>Large comparison of machine-learning methods with HAR models for realised variance.</w:t>
            </w:r>
          </w:p>
        </w:tc>
      </w:tr>
      <w:tr>
        <w:tc>
          <w:tcPr>
            <w:tcW w:type="dxa" w:w="1701"/>
          </w:tcPr>
          <w:p>
            <w:r>
              <w:rPr>
                <w:b/>
                <w:sz w:val="16"/>
              </w:rPr>
              <w:t>Dataset</w:t>
            </w:r>
          </w:p>
        </w:tc>
        <w:tc>
          <w:tcPr>
            <w:tcW w:type="dxa" w:w="8164"/>
          </w:tcPr>
          <w:p>
            <w:r>
              <w:rPr>
                <w:sz w:val="16"/>
              </w:rPr>
              <w:t>DJIA constituents, 29 Jan 2001 – 31 Dec 2017 (4,257 days); intraday RV; many predictors (Table 1 p.16).</w:t>
            </w:r>
          </w:p>
        </w:tc>
      </w:tr>
      <w:tr>
        <w:tc>
          <w:tcPr>
            <w:tcW w:type="dxa" w:w="1701"/>
          </w:tcPr>
          <w:p>
            <w:r>
              <w:rPr>
                <w:b/>
                <w:sz w:val="16"/>
              </w:rPr>
              <w:t>Methodology</w:t>
            </w:r>
          </w:p>
        </w:tc>
        <w:tc>
          <w:tcPr>
            <w:tcW w:type="dxa" w:w="8164"/>
          </w:tcPr>
          <w:p>
            <w:r>
              <w:rPr>
                <w:sz w:val="16"/>
              </w:rPr>
              <w:t>Regularisation, trees, random forest, boosting, neural networks vs HAR family; minimal tuning; 1-day, 1-week, 1-month horizons; rolling HAR; fixed window for neural networks (compute cost); accumulated local effects (ALE) for importance.</w:t>
            </w:r>
          </w:p>
        </w:tc>
      </w:tr>
      <w:tr>
        <w:tc>
          <w:tcPr>
            <w:tcW w:type="dxa" w:w="1701"/>
          </w:tcPr>
          <w:p>
            <w:r>
              <w:rPr>
                <w:b/>
                <w:sz w:val="16"/>
              </w:rPr>
              <w:t>Results</w:t>
            </w:r>
          </w:p>
        </w:tc>
        <w:tc>
          <w:tcPr>
            <w:tcW w:type="dxa" w:w="8164"/>
          </w:tcPr>
          <w:p>
            <w:r>
              <w:rPr>
                <w:sz w:val="16"/>
              </w:rPr>
              <w:t>• ML competitive and beats HAR even with only HAR lags.</w:t>
            </w:r>
          </w:p>
          <w:p>
            <w:r>
              <w:rPr>
                <w:sz w:val="16"/>
              </w:rPr>
              <w:t>• Gains small at 1 day, larger at weekly and monthly horizons.</w:t>
            </w:r>
          </w:p>
          <w:p>
            <w:r>
              <w:rPr>
                <w:sz w:val="16"/>
              </w:rPr>
              <w:t>• Random forest and neural networks best.</w:t>
            </w:r>
          </w:p>
          <w:p>
            <w:r>
              <w:rPr>
                <w:sz w:val="16"/>
              </w:rPr>
              <w:t>• Models agree on the top predictors but disagree on their ranking.</w:t>
            </w:r>
          </w:p>
        </w:tc>
      </w:tr>
      <w:tr>
        <w:tc>
          <w:tcPr>
            <w:tcW w:type="dxa" w:w="1701"/>
            <w:shd w:val="clear" w:color="auto" w:fill="EAF1FB"/>
          </w:tcPr>
          <w:p>
            <w:r>
              <w:rPr>
                <w:b/>
                <w:sz w:val="16"/>
              </w:rPr>
              <w:t>How it relates to MY study</w:t>
            </w:r>
          </w:p>
        </w:tc>
        <w:tc>
          <w:tcPr>
            <w:tcW w:type="dxa" w:w="8164"/>
            <w:shd w:val="clear" w:color="auto" w:fill="EAF1FB"/>
          </w:tcPr>
          <w:p>
            <w:r>
              <w:rPr>
                <w:sz w:val="16"/>
              </w:rPr>
              <w:t>Supports H1 and your weekly target; ranking disagreement motivates RQ4; fixed-window NN supports your annual refits.</w:t>
            </w:r>
          </w:p>
        </w:tc>
      </w:tr>
      <w:tr>
        <w:tc>
          <w:tcPr>
            <w:tcW w:type="dxa" w:w="1701"/>
            <w:shd w:val="clear" w:color="auto" w:fill="EAF1FB"/>
          </w:tcPr>
          <w:p>
            <w:r>
              <w:rPr>
                <w:b/>
                <w:sz w:val="16"/>
              </w:rPr>
              <w:t>Must read in the original</w:t>
            </w:r>
          </w:p>
        </w:tc>
        <w:tc>
          <w:tcPr>
            <w:tcW w:type="dxa" w:w="8164"/>
            <w:shd w:val="clear" w:color="auto" w:fill="EAF1FB"/>
          </w:tcPr>
          <w:p>
            <w:r>
              <w:rPr>
                <w:sz w:val="16"/>
              </w:rPr>
              <w:t>Introduction (pp.2–3); HAR (pp.4–5); data (Table 1 p.16); 1-day results (Tables 2–3 pp.17–19); ALE and importance (Figures 6–7 pp.25–26); weekly results (Tables 4–5 pp.28–29); conclusion (end).</w:t>
            </w:r>
          </w:p>
        </w:tc>
      </w:tr>
      <w:tr>
        <w:tc>
          <w:tcPr>
            <w:tcW w:type="dxa" w:w="1701"/>
          </w:tcPr>
          <w:p>
            <w:r>
              <w:rPr>
                <w:b/>
                <w:sz w:val="16"/>
              </w:rPr>
              <w:t>Can skim / skip</w:t>
            </w:r>
          </w:p>
        </w:tc>
        <w:tc>
          <w:tcPr>
            <w:tcW w:type="dxa" w:w="8164"/>
          </w:tcPr>
          <w:p>
            <w:r>
              <w:rPr>
                <w:sz w:val="16"/>
              </w:rPr>
              <w:t>Individual ML algorithm descriptions you already know; appendices.</w:t>
            </w:r>
          </w:p>
        </w:tc>
      </w:tr>
      <w:tr>
        <w:tc>
          <w:tcPr>
            <w:tcW w:type="dxa" w:w="1701"/>
          </w:tcPr>
          <w:p>
            <w:r>
              <w:rPr>
                <w:b/>
                <w:sz w:val="16"/>
              </w:rPr>
              <w:t>Key terms</w:t>
            </w:r>
          </w:p>
        </w:tc>
        <w:tc>
          <w:tcPr>
            <w:tcW w:type="dxa" w:w="8164"/>
          </w:tcPr>
          <w:p>
            <w:r>
              <w:rPr>
                <w:sz w:val="16"/>
              </w:rPr>
              <w:t>HAR-X; accumulated local effects; relative MSE</w:t>
            </w:r>
          </w:p>
        </w:tc>
      </w:tr>
      <w:tr>
        <w:tc>
          <w:tcPr>
            <w:tcW w:type="dxa" w:w="1701"/>
          </w:tcPr>
          <w:p>
            <w:r>
              <w:rPr>
                <w:b/>
                <w:sz w:val="16"/>
              </w:rPr>
              <w:t>Strengths</w:t>
            </w:r>
          </w:p>
        </w:tc>
        <w:tc>
          <w:tcPr>
            <w:tcW w:type="dxa" w:w="8164"/>
          </w:tcPr>
          <w:p>
            <w:r>
              <w:rPr>
                <w:sz w:val="16"/>
              </w:rPr>
              <w:t>Broad, careful.</w:t>
            </w:r>
          </w:p>
        </w:tc>
      </w:tr>
      <w:tr>
        <w:tc>
          <w:tcPr>
            <w:tcW w:type="dxa" w:w="1701"/>
          </w:tcPr>
          <w:p>
            <w:r>
              <w:rPr>
                <w:b/>
                <w:sz w:val="16"/>
              </w:rPr>
              <w:t>Weaknesses / critique</w:t>
            </w:r>
          </w:p>
        </w:tc>
        <w:tc>
          <w:tcPr>
            <w:tcW w:type="dxa" w:w="8164"/>
          </w:tcPr>
          <w:p>
            <w:r>
              <w:rPr>
                <w:sz w:val="16"/>
              </w:rPr>
              <w:t>US large caps; intraday data.</w:t>
            </w:r>
          </w:p>
        </w:tc>
      </w:tr>
      <w:tr>
        <w:tc>
          <w:tcPr>
            <w:tcW w:type="dxa" w:w="1701"/>
            <w:shd w:val="clear" w:color="auto" w:fill="EAF1FB"/>
          </w:tcPr>
          <w:p>
            <w:r>
              <w:rPr>
                <w:b/>
                <w:sz w:val="16"/>
              </w:rPr>
              <w:t>Use it as · where</w:t>
            </w:r>
          </w:p>
        </w:tc>
        <w:tc>
          <w:tcPr>
            <w:tcW w:type="dxa" w:w="8164"/>
            <w:shd w:val="clear" w:color="auto" w:fill="EAF1FB"/>
          </w:tcPr>
          <w:p>
            <w:r>
              <w:rPr>
                <w:sz w:val="16"/>
              </w:rPr>
              <w:t>Support · 2.5–2.6; H1; H4</w:t>
            </w:r>
          </w:p>
        </w:tc>
      </w:tr>
    </w:tbl>
    <w:p>
      <w:pPr>
        <w:spacing w:after="80"/>
      </w:pPr>
    </w:p>
    <w:tbl>
      <w:tblPr>
        <w:tblStyle w:val="TableGrid"/>
        <w:tblW w:type="auto" w:w="0"/>
        <w:jc w:val="center"/>
        <w:tblLook w:firstColumn="1" w:firstRow="1" w:lastColumn="0" w:lastRow="0" w:noHBand="0" w:noVBand="1" w:val="04A0"/>
      </w:tblPr>
      <w:tblGrid>
        <w:gridCol w:w="5100"/>
        <w:gridCol w:w="5100"/>
      </w:tblGrid>
      <w:tr>
        <w:tc>
          <w:tcPr>
            <w:tcW w:type="dxa" w:w="8164"/>
            <w:gridSpan w:val="2"/>
            <w:shd w:val="clear" w:color="auto" w:fill="1F4E79"/>
          </w:tcPr>
          <w:p>
            <w:r>
              <w:rPr>
                <w:b/>
                <w:color w:val="FFFFFF"/>
                <w:sz w:val="19"/>
              </w:rPr>
              <w:t>Bergmeir &amp; Benítez (2012) Information Sciences, 191.</w:t>
            </w:r>
          </w:p>
        </w:tc>
      </w:tr>
      <w:tr>
        <w:tc>
          <w:tcPr>
            <w:tcW w:type="dxa" w:w="1701"/>
            <w:shd w:val="clear" w:color="auto" w:fill="EFEFEF"/>
          </w:tcPr>
          <w:p>
            <w:r>
              <w:rPr>
                <w:b/>
                <w:sz w:val="16"/>
              </w:rPr>
              <w:t>Source basis</w:t>
            </w:r>
          </w:p>
        </w:tc>
        <w:tc>
          <w:tcPr>
            <w:tcW w:type="dxa" w:w="8164"/>
            <w:shd w:val="clear" w:color="auto" w:fill="EFEFEF"/>
          </w:tcPr>
          <w:p>
            <w:r>
              <w:rPr>
                <w:sz w:val="16"/>
              </w:rPr>
              <w:t>STANDARD KNOWLEDGE, not re-read this session; confirm every detail and page before citing</w:t>
            </w:r>
          </w:p>
        </w:tc>
      </w:tr>
      <w:tr>
        <w:tc>
          <w:tcPr>
            <w:tcW w:type="dxa" w:w="1701"/>
          </w:tcPr>
          <w:p>
            <w:r>
              <w:rPr>
                <w:b/>
                <w:sz w:val="16"/>
              </w:rPr>
              <w:t>Summary</w:t>
            </w:r>
          </w:p>
        </w:tc>
        <w:tc>
          <w:tcPr>
            <w:tcW w:type="dxa" w:w="8164"/>
          </w:tcPr>
          <w:p>
            <w:r>
              <w:rPr>
                <w:sz w:val="16"/>
              </w:rPr>
              <w:t>How to validate forecasting models on time series.</w:t>
            </w:r>
          </w:p>
        </w:tc>
      </w:tr>
      <w:tr>
        <w:tc>
          <w:tcPr>
            <w:tcW w:type="dxa" w:w="1701"/>
          </w:tcPr>
          <w:p>
            <w:r>
              <w:rPr>
                <w:b/>
                <w:sz w:val="16"/>
              </w:rPr>
              <w:t>Dataset</w:t>
            </w:r>
          </w:p>
        </w:tc>
        <w:tc>
          <w:tcPr>
            <w:tcW w:type="dxa" w:w="8164"/>
          </w:tcPr>
          <w:p>
            <w:r>
              <w:rPr>
                <w:sz w:val="16"/>
              </w:rPr>
              <w:t>Simulations and real series.</w:t>
            </w:r>
          </w:p>
        </w:tc>
      </w:tr>
      <w:tr>
        <w:tc>
          <w:tcPr>
            <w:tcW w:type="dxa" w:w="1701"/>
          </w:tcPr>
          <w:p>
            <w:r>
              <w:rPr>
                <w:b/>
                <w:sz w:val="16"/>
              </w:rPr>
              <w:t>Methodology</w:t>
            </w:r>
          </w:p>
        </w:tc>
        <w:tc>
          <w:tcPr>
            <w:tcW w:type="dxa" w:w="8164"/>
          </w:tcPr>
          <w:p>
            <w:r>
              <w:rPr>
                <w:sz w:val="16"/>
              </w:rPr>
              <w:t>Compare validation schemes.</w:t>
            </w:r>
          </w:p>
        </w:tc>
      </w:tr>
      <w:tr>
        <w:tc>
          <w:tcPr>
            <w:tcW w:type="dxa" w:w="1701"/>
          </w:tcPr>
          <w:p>
            <w:r>
              <w:rPr>
                <w:b/>
                <w:sz w:val="16"/>
              </w:rPr>
              <w:t>Results</w:t>
            </w:r>
          </w:p>
        </w:tc>
        <w:tc>
          <w:tcPr>
            <w:tcW w:type="dxa" w:w="8164"/>
          </w:tcPr>
          <w:p>
            <w:r>
              <w:rPr>
                <w:sz w:val="16"/>
              </w:rPr>
              <w:t>• Keep time order; use blocked or forward schemes.</w:t>
            </w:r>
          </w:p>
        </w:tc>
      </w:tr>
      <w:tr>
        <w:tc>
          <w:tcPr>
            <w:tcW w:type="dxa" w:w="1701"/>
            <w:shd w:val="clear" w:color="auto" w:fill="EAF1FB"/>
          </w:tcPr>
          <w:p>
            <w:r>
              <w:rPr>
                <w:b/>
                <w:sz w:val="16"/>
              </w:rPr>
              <w:t>How it relates to MY study</w:t>
            </w:r>
          </w:p>
        </w:tc>
        <w:tc>
          <w:tcPr>
            <w:tcW w:type="dxa" w:w="8164"/>
            <w:shd w:val="clear" w:color="auto" w:fill="EAF1FB"/>
          </w:tcPr>
          <w:p>
            <w:r>
              <w:rPr>
                <w:sz w:val="16"/>
              </w:rPr>
              <w:t>Justifies walk-forward evaluation.</w:t>
            </w:r>
          </w:p>
        </w:tc>
      </w:tr>
      <w:tr>
        <w:tc>
          <w:tcPr>
            <w:tcW w:type="dxa" w:w="1701"/>
            <w:shd w:val="clear" w:color="auto" w:fill="EAF1FB"/>
          </w:tcPr>
          <w:p>
            <w:r>
              <w:rPr>
                <w:b/>
                <w:sz w:val="16"/>
              </w:rPr>
              <w:t>Must read in the original</w:t>
            </w:r>
          </w:p>
        </w:tc>
        <w:tc>
          <w:tcPr>
            <w:tcW w:type="dxa" w:w="8164"/>
            <w:shd w:val="clear" w:color="auto" w:fill="EAF1FB"/>
          </w:tcPr>
          <w:p>
            <w:r>
              <w:rPr>
                <w:sz w:val="16"/>
              </w:rPr>
              <w:t>Introduction and conclusions.</w:t>
            </w:r>
          </w:p>
        </w:tc>
      </w:tr>
      <w:tr>
        <w:tc>
          <w:tcPr>
            <w:tcW w:type="dxa" w:w="1701"/>
          </w:tcPr>
          <w:p>
            <w:r>
              <w:rPr>
                <w:b/>
                <w:sz w:val="16"/>
              </w:rPr>
              <w:t>Can skim / skip</w:t>
            </w:r>
          </w:p>
        </w:tc>
        <w:tc>
          <w:tcPr>
            <w:tcW w:type="dxa" w:w="8164"/>
          </w:tcPr>
          <w:p>
            <w:r>
              <w:rPr>
                <w:sz w:val="16"/>
              </w:rPr>
              <w:t>—</w:t>
            </w:r>
          </w:p>
        </w:tc>
      </w:tr>
      <w:tr>
        <w:tc>
          <w:tcPr>
            <w:tcW w:type="dxa" w:w="1701"/>
          </w:tcPr>
          <w:p>
            <w:r>
              <w:rPr>
                <w:b/>
                <w:sz w:val="16"/>
              </w:rPr>
              <w:t>Key terms</w:t>
            </w:r>
          </w:p>
        </w:tc>
        <w:tc>
          <w:tcPr>
            <w:tcW w:type="dxa" w:w="8164"/>
          </w:tcPr>
          <w:p>
            <w:r>
              <w:rPr>
                <w:sz w:val="16"/>
              </w:rPr>
              <w:t>blocked cross-validation</w:t>
            </w:r>
          </w:p>
        </w:tc>
      </w:tr>
      <w:tr>
        <w:tc>
          <w:tcPr>
            <w:tcW w:type="dxa" w:w="1701"/>
          </w:tcPr>
          <w:p>
            <w:r>
              <w:rPr>
                <w:b/>
                <w:sz w:val="16"/>
              </w:rPr>
              <w:t>Strengths</w:t>
            </w:r>
          </w:p>
        </w:tc>
        <w:tc>
          <w:tcPr>
            <w:tcW w:type="dxa" w:w="8164"/>
          </w:tcPr>
          <w:p>
            <w:r>
              <w:rPr>
                <w:sz w:val="16"/>
              </w:rPr>
              <w:t>Practical.</w:t>
            </w:r>
          </w:p>
        </w:tc>
      </w:tr>
      <w:tr>
        <w:tc>
          <w:tcPr>
            <w:tcW w:type="dxa" w:w="1701"/>
          </w:tcPr>
          <w:p>
            <w:r>
              <w:rPr>
                <w:b/>
                <w:sz w:val="16"/>
              </w:rPr>
              <w:t>Weaknesses / critique</w:t>
            </w:r>
          </w:p>
        </w:tc>
        <w:tc>
          <w:tcPr>
            <w:tcW w:type="dxa" w:w="8164"/>
          </w:tcPr>
          <w:p>
            <w:r>
              <w:rPr>
                <w:sz w:val="16"/>
              </w:rPr>
              <w:t>Confirm details.</w:t>
            </w:r>
          </w:p>
        </w:tc>
      </w:tr>
      <w:tr>
        <w:tc>
          <w:tcPr>
            <w:tcW w:type="dxa" w:w="1701"/>
            <w:shd w:val="clear" w:color="auto" w:fill="EAF1FB"/>
          </w:tcPr>
          <w:p>
            <w:r>
              <w:rPr>
                <w:b/>
                <w:sz w:val="16"/>
              </w:rPr>
              <w:t>Use it as · where</w:t>
            </w:r>
          </w:p>
        </w:tc>
        <w:tc>
          <w:tcPr>
            <w:tcW w:type="dxa" w:w="8164"/>
            <w:shd w:val="clear" w:color="auto" w:fill="EAF1FB"/>
          </w:tcPr>
          <w:p>
            <w:r>
              <w:rPr>
                <w:sz w:val="16"/>
              </w:rPr>
              <w:t>Method · 2.5; Chapter 3</w:t>
            </w:r>
          </w:p>
        </w:tc>
      </w:tr>
    </w:tbl>
    <w:p>
      <w:pPr>
        <w:spacing w:after="80"/>
      </w:pPr>
    </w:p>
    <w:tbl>
      <w:tblPr>
        <w:tblStyle w:val="TableGrid"/>
        <w:tblW w:type="auto" w:w="0"/>
        <w:jc w:val="center"/>
        <w:tblLook w:firstColumn="1" w:firstRow="1" w:lastColumn="0" w:lastRow="0" w:noHBand="0" w:noVBand="1" w:val="04A0"/>
      </w:tblPr>
      <w:tblGrid>
        <w:gridCol w:w="5100"/>
        <w:gridCol w:w="5100"/>
      </w:tblGrid>
      <w:tr>
        <w:tc>
          <w:tcPr>
            <w:tcW w:type="dxa" w:w="8164"/>
            <w:gridSpan w:val="2"/>
            <w:shd w:val="clear" w:color="auto" w:fill="1F4E79"/>
          </w:tcPr>
          <w:p>
            <w:r>
              <w:rPr>
                <w:color w:val="FFFFFF"/>
                <w:sz w:val="19"/>
                <w:b/>
              </w:rPr>
              <w:t xml:space="preserve">Brini, A. (2026) Forecasting realized volatility with time series foundation models: a comparison with econometric benchmarks. arXiv 2607.05291 (preprint).</w:t>
            </w:r>
          </w:p>
        </w:tc>
      </w:tr>
      <w:tr>
        <w:tc>
          <w:tcPr>
            <w:tcW w:type="dxa" w:w="1701"/>
            <w:shd w:val="clear" w:color="auto" w:fill="FFF2CC"/>
          </w:tcPr>
          <w:p>
            <w:r>
              <w:rPr>
                <w:b/>
                <w:sz w:val="16"/>
              </w:rPr>
              <w:t>Source basis</w:t>
            </w:r>
          </w:p>
        </w:tc>
        <w:tc>
          <w:tcPr>
            <w:tcW w:type="dxa" w:w="8164"/>
            <w:shd w:val="clear" w:color="auto" w:fill="FFF2CC"/>
          </w:tcPr>
          <w:p>
            <w:r>
              <w:rPr>
                <w:sz w:val="16"/>
              </w:rPr>
              <w:t>ABSTRACT / summary read in this session; read the full paper before relying on details</w:t>
            </w:r>
          </w:p>
        </w:tc>
      </w:tr>
      <w:tr>
        <w:tc>
          <w:tcPr>
            <w:tcW w:type="dxa" w:w="1701"/>
          </w:tcPr>
          <w:p>
            <w:r>
              <w:rPr>
                <w:b/>
                <w:sz w:val="16"/>
              </w:rPr>
              <w:t>Summary</w:t>
            </w:r>
          </w:p>
        </w:tc>
        <w:tc>
          <w:tcPr>
            <w:tcW w:type="dxa" w:w="8164"/>
          </w:tcPr>
          <w:p>
            <w:r>
              <w:rPr>
                <w:sz w:val="16"/>
                <w:b w:val="0"/>
              </w:rPr>
              <w:t xml:space="preserve">Tests nine pre-trained ‘foundation’ time-series models, used zero-shot, against eight HAR-family econometric benchmarks for realised-volatility forecasting.</w:t>
            </w:r>
          </w:p>
        </w:tc>
      </w:tr>
      <w:tr>
        <w:tc>
          <w:tcPr>
            <w:tcW w:type="dxa" w:w="1701"/>
          </w:tcPr>
          <w:p>
            <w:r>
              <w:rPr>
                <w:b/>
                <w:sz w:val="16"/>
              </w:rPr>
              <w:t>Dataset</w:t>
            </w:r>
          </w:p>
        </w:tc>
        <w:tc>
          <w:tcPr>
            <w:tcW w:type="dxa" w:w="8164"/>
          </w:tcPr>
          <w:p>
            <w:r>
              <w:rPr>
                <w:sz w:val="16"/>
                <w:b w:val="0"/>
              </w:rPr>
              <w:t xml:space="preserve">VOLARE dataset: 50 assets in equities, foreign exchange and futures; three forecast horizons.</w:t>
            </w:r>
          </w:p>
        </w:tc>
      </w:tr>
      <w:tr>
        <w:tc>
          <w:tcPr>
            <w:tcW w:type="dxa" w:w="1701"/>
          </w:tcPr>
          <w:p>
            <w:r>
              <w:rPr>
                <w:b/>
                <w:sz w:val="16"/>
              </w:rPr>
              <w:t>Methodology</w:t>
            </w:r>
          </w:p>
        </w:tc>
        <w:tc>
          <w:tcPr>
            <w:tcW w:type="dxa" w:w="8164"/>
          </w:tcPr>
          <w:p>
            <w:r>
              <w:rPr>
                <w:sz w:val="16"/>
                <w:b w:val="0"/>
              </w:rPr>
              <w:t xml:space="preserve">Zero-shot forecasts vs HAR, Log-HAR and related models; Model Confidence Set.</w:t>
            </w:r>
          </w:p>
        </w:tc>
      </w:tr>
      <w:tr>
        <w:tc>
          <w:tcPr>
            <w:tcW w:type="dxa" w:w="1701"/>
          </w:tcPr>
          <w:p>
            <w:r>
              <w:rPr>
                <w:b/>
                <w:sz w:val="16"/>
              </w:rPr>
              <w:t>Results</w:t>
            </w:r>
          </w:p>
        </w:tc>
        <w:tc>
          <w:tcPr>
            <w:tcW w:type="dxa" w:w="8164"/>
          </w:tcPr>
          <w:p>
            <w:r>
              <w:rPr>
                <w:sz w:val="16"/>
                <w:b w:val="0"/>
              </w:rPr>
              <w:t xml:space="preserve">• No universal advantage for foundation models.</w:t>
            </w:r>
          </w:p>
          <w:p>
            <w:r>
              <w:rPr>
                <w:sz w:val="16"/>
                <w:b w:val="0"/>
              </w:rPr>
              <w:t xml:space="preserve">• Only one small model (Tiny Time Mixers) beats the benchmark at every horizon, narrowly.</w:t>
            </w:r>
          </w:p>
          <w:p>
            <w:r>
              <w:rPr>
                <w:sz w:val="16"/>
                <w:b w:val="0"/>
              </w:rPr>
              <w:t xml:space="preserve">• Much of the short-horizon gain reflects better-scaled forecasts, not better dynamics.</w:t>
            </w:r>
          </w:p>
          <w:p>
            <w:r>
              <w:rPr>
                <w:sz w:val="16"/>
                <w:b w:val="0"/>
              </w:rPr>
              <w:t xml:space="preserve">• An equal-weight average of TTM and Log-HAR matches the best single model (in the Model Confidence Set for 98–100% of assets).</w:t>
            </w:r>
          </w:p>
        </w:tc>
      </w:tr>
      <w:tr>
        <w:tc>
          <w:tcPr>
            <w:tcW w:type="dxa" w:w="1701"/>
            <w:shd w:val="clear" w:color="auto" w:fill="EAF1FB"/>
          </w:tcPr>
          <w:p>
            <w:r>
              <w:rPr>
                <w:b/>
                <w:sz w:val="16"/>
              </w:rPr>
              <w:t>How it relates to MY study</w:t>
            </w:r>
          </w:p>
        </w:tc>
        <w:tc>
          <w:tcPr>
            <w:tcW w:type="dxa" w:w="8164"/>
            <w:shd w:val="clear" w:color="auto" w:fill="EAF1FB"/>
          </w:tcPr>
          <w:p>
            <w:r>
              <w:rPr>
                <w:sz w:val="16"/>
                <w:b w:val="0"/>
              </w:rPr>
              <w:t xml:space="preserve">Up-to-date support for your H1 result: newer and larger ML models still struggle to beat HAR-type benchmarks.</w:t>
            </w:r>
          </w:p>
        </w:tc>
      </w:tr>
      <w:tr>
        <w:tc>
          <w:tcPr>
            <w:tcW w:type="dxa" w:w="1701"/>
            <w:shd w:val="clear" w:color="auto" w:fill="EAF1FB"/>
          </w:tcPr>
          <w:p>
            <w:r>
              <w:rPr>
                <w:b/>
                <w:sz w:val="16"/>
              </w:rPr>
              <w:t>Must read in the original</w:t>
            </w:r>
          </w:p>
        </w:tc>
        <w:tc>
          <w:tcPr>
            <w:tcW w:type="dxa" w:w="8164"/>
            <w:shd w:val="clear" w:color="auto" w:fill="EAF1FB"/>
          </w:tcPr>
          <w:p>
            <w:r>
              <w:rPr>
                <w:sz w:val="16"/>
                <w:b w:val="0"/>
              </w:rPr>
              <w:t xml:space="preserve">Abstract, introduction and the main results tables.</w:t>
            </w:r>
          </w:p>
        </w:tc>
      </w:tr>
      <w:tr>
        <w:tc>
          <w:tcPr>
            <w:tcW w:type="dxa" w:w="1701"/>
          </w:tcPr>
          <w:p>
            <w:r>
              <w:rPr>
                <w:b/>
                <w:sz w:val="16"/>
              </w:rPr>
              <w:t>Can skim / skip</w:t>
            </w:r>
          </w:p>
        </w:tc>
        <w:tc>
          <w:tcPr>
            <w:tcW w:type="dxa" w:w="8164"/>
          </w:tcPr>
          <w:p>
            <w:r>
              <w:rPr>
                <w:sz w:val="16"/>
                <w:b w:val="0"/>
              </w:rPr>
              <w:t xml:space="preserve">Descriptions of the individual foundation models.</w:t>
            </w:r>
          </w:p>
        </w:tc>
      </w:tr>
      <w:tr>
        <w:tc>
          <w:tcPr>
            <w:tcW w:type="dxa" w:w="1701"/>
          </w:tcPr>
          <w:p>
            <w:r>
              <w:rPr>
                <w:b/>
                <w:sz w:val="16"/>
              </w:rPr>
              <w:t>Key terms</w:t>
            </w:r>
          </w:p>
        </w:tc>
        <w:tc>
          <w:tcPr>
            <w:tcW w:type="dxa" w:w="8164"/>
          </w:tcPr>
          <w:p>
            <w:r>
              <w:rPr>
                <w:sz w:val="16"/>
                <w:b w:val="0"/>
              </w:rPr>
              <w:t xml:space="preserve">foundation model; zero-shot; Log-HAR; Model Confidence Set</w:t>
            </w:r>
          </w:p>
        </w:tc>
      </w:tr>
      <w:tr>
        <w:tc>
          <w:tcPr>
            <w:tcW w:type="dxa" w:w="1701"/>
          </w:tcPr>
          <w:p>
            <w:r>
              <w:rPr>
                <w:b/>
                <w:sz w:val="16"/>
              </w:rPr>
              <w:t>Strengths</w:t>
            </w:r>
          </w:p>
        </w:tc>
        <w:tc>
          <w:tcPr>
            <w:tcW w:type="dxa" w:w="8164"/>
          </w:tcPr>
          <w:p>
            <w:r>
              <w:rPr>
                <w:sz w:val="16"/>
                <w:b w:val="0"/>
              </w:rPr>
              <w:t xml:space="preserve">Many assets; strong benchmarks; very recent.</w:t>
            </w:r>
          </w:p>
        </w:tc>
      </w:tr>
      <w:tr>
        <w:tc>
          <w:tcPr>
            <w:tcW w:type="dxa" w:w="1701"/>
          </w:tcPr>
          <w:p>
            <w:r>
              <w:rPr>
                <w:b/>
                <w:sz w:val="16"/>
              </w:rPr>
              <w:t>Weaknesses / critique</w:t>
            </w:r>
          </w:p>
        </w:tc>
        <w:tc>
          <w:tcPr>
            <w:tcW w:type="dxa" w:w="8164"/>
          </w:tcPr>
          <w:p>
            <w:r>
              <w:rPr>
                <w:sz w:val="16"/>
                <w:b w:val="0"/>
              </w:rPr>
              <w:t xml:space="preserve">Preprint (not peer-reviewed); no crisis-by-crisis or explanation analysis.</w:t>
            </w:r>
          </w:p>
        </w:tc>
      </w:tr>
      <w:tr>
        <w:tc>
          <w:tcPr>
            <w:tcW w:type="dxa" w:w="1701"/>
            <w:shd w:val="clear" w:color="auto" w:fill="EAF1FB"/>
          </w:tcPr>
          <w:p>
            <w:r>
              <w:rPr>
                <w:b/>
                <w:sz w:val="16"/>
              </w:rPr>
              <w:t>Use it as · where</w:t>
            </w:r>
          </w:p>
        </w:tc>
        <w:tc>
          <w:tcPr>
            <w:tcW w:type="dxa" w:w="8164"/>
            <w:shd w:val="clear" w:color="auto" w:fill="EAF1FB"/>
          </w:tcPr>
          <w:p>
            <w:r>
              <w:rPr>
                <w:sz w:val="16"/>
                <w:b w:val="0"/>
              </w:rPr>
              <w:t xml:space="preserve">Evidence · 2.5; Discussion of H1</w:t>
            </w:r>
          </w:p>
        </w:tc>
      </w:tr>
    </w:tbl>
    <w:p>
      <w:pPr>
        <w:spacing w:after="80"/>
      </w:pPr>
    </w:p>
    <w:p>
      <w:pPr>
        <w:pStyle w:val="Heading2"/>
      </w:pPr>
      <w:r>
        <w:rPr>
          <w:color w:val="1F4E79"/>
        </w:rPr>
        <w:t>D5. Section 2.6 — Explaining ML forecasts</w:t>
      </w:r>
    </w:p>
    <w:tbl>
      <w:tblPr>
        <w:tblStyle w:val="TableGrid"/>
        <w:tblW w:type="auto" w:w="0"/>
        <w:jc w:val="center"/>
        <w:tblLook w:firstColumn="1" w:firstRow="1" w:lastColumn="0" w:lastRow="0" w:noHBand="0" w:noVBand="1" w:val="04A0"/>
      </w:tblPr>
      <w:tblGrid>
        <w:gridCol w:w="5100"/>
        <w:gridCol w:w="5100"/>
      </w:tblGrid>
      <w:tr>
        <w:tc>
          <w:tcPr>
            <w:tcW w:type="dxa" w:w="8164"/>
            <w:gridSpan w:val="2"/>
            <w:shd w:val="clear" w:color="auto" w:fill="1F4E79"/>
          </w:tcPr>
          <w:p>
            <w:r>
              <w:rPr>
                <w:b/>
                <w:color w:val="FFFFFF"/>
                <w:sz w:val="19"/>
              </w:rPr>
              <w:t>Lundberg, S. &amp; Lee, S.-I. (2017) A unified approach to interpreting model predictions. NeurIPS 30.</w:t>
            </w:r>
          </w:p>
        </w:tc>
      </w:tr>
      <w:tr>
        <w:tc>
          <w:tcPr>
            <w:tcW w:type="dxa" w:w="1701"/>
            <w:shd w:val="clear" w:color="auto" w:fill="D9EAD3"/>
          </w:tcPr>
          <w:p>
            <w:r>
              <w:rPr>
                <w:b/>
                <w:sz w:val="16"/>
              </w:rPr>
              <w:t>Source basis</w:t>
            </w:r>
          </w:p>
        </w:tc>
        <w:tc>
          <w:tcPr>
            <w:tcW w:type="dxa" w:w="8164"/>
            <w:shd w:val="clear" w:color="auto" w:fill="D9EAD3"/>
          </w:tcPr>
          <w:p>
            <w:r>
              <w:rPr>
                <w:sz w:val="16"/>
              </w:rPr>
              <w:t>FULL TEXT read in this session; page numbers refer to the open-access version in Part G</w:t>
            </w:r>
          </w:p>
        </w:tc>
      </w:tr>
      <w:tr>
        <w:tc>
          <w:tcPr>
            <w:tcW w:type="dxa" w:w="1701"/>
          </w:tcPr>
          <w:p>
            <w:r>
              <w:rPr>
                <w:b/>
                <w:sz w:val="16"/>
              </w:rPr>
              <w:t>Summary</w:t>
            </w:r>
          </w:p>
        </w:tc>
        <w:tc>
          <w:tcPr>
            <w:tcW w:type="dxa" w:w="8164"/>
          </w:tcPr>
          <w:p>
            <w:r>
              <w:rPr>
                <w:sz w:val="16"/>
              </w:rPr>
              <w:t>Unifies six explanation methods and shows SHAP is the unique method with three desirable properties.</w:t>
            </w:r>
          </w:p>
        </w:tc>
      </w:tr>
      <w:tr>
        <w:tc>
          <w:tcPr>
            <w:tcW w:type="dxa" w:w="1701"/>
          </w:tcPr>
          <w:p>
            <w:r>
              <w:rPr>
                <w:b/>
                <w:sz w:val="16"/>
              </w:rPr>
              <w:t>Dataset</w:t>
            </w:r>
          </w:p>
        </w:tc>
        <w:tc>
          <w:tcPr>
            <w:tcW w:type="dxa" w:w="8164"/>
          </w:tcPr>
          <w:p>
            <w:r>
              <w:rPr>
                <w:sz w:val="16"/>
              </w:rPr>
              <w:t>Theory; computational and user studies.</w:t>
            </w:r>
          </w:p>
        </w:tc>
      </w:tr>
      <w:tr>
        <w:tc>
          <w:tcPr>
            <w:tcW w:type="dxa" w:w="1701"/>
          </w:tcPr>
          <w:p>
            <w:r>
              <w:rPr>
                <w:b/>
                <w:sz w:val="16"/>
              </w:rPr>
              <w:t>Methodology</w:t>
            </w:r>
          </w:p>
        </w:tc>
        <w:tc>
          <w:tcPr>
            <w:tcW w:type="dxa" w:w="8164"/>
          </w:tcPr>
          <w:p>
            <w:r>
              <w:rPr>
                <w:sz w:val="16"/>
              </w:rPr>
              <w:t>Additive feature attribution; Shapley values.</w:t>
            </w:r>
          </w:p>
        </w:tc>
      </w:tr>
      <w:tr>
        <w:tc>
          <w:tcPr>
            <w:tcW w:type="dxa" w:w="1701"/>
          </w:tcPr>
          <w:p>
            <w:r>
              <w:rPr>
                <w:b/>
                <w:sz w:val="16"/>
              </w:rPr>
              <w:t>Results</w:t>
            </w:r>
          </w:p>
        </w:tc>
        <w:tc>
          <w:tcPr>
            <w:tcW w:type="dxa" w:w="8164"/>
          </w:tcPr>
          <w:p>
            <w:r>
              <w:rPr>
                <w:sz w:val="16"/>
              </w:rPr>
              <w:t>• Local accuracy, missingness, consistency uniquely define SHAP values.</w:t>
            </w:r>
          </w:p>
          <w:p>
            <w:r>
              <w:rPr>
                <w:sz w:val="16"/>
              </w:rPr>
              <w:t>• Kernel SHAP (any model) and Deep SHAP (neural networks) estimators.</w:t>
            </w:r>
          </w:p>
        </w:tc>
      </w:tr>
      <w:tr>
        <w:tc>
          <w:tcPr>
            <w:tcW w:type="dxa" w:w="1701"/>
            <w:shd w:val="clear" w:color="auto" w:fill="EAF1FB"/>
          </w:tcPr>
          <w:p>
            <w:r>
              <w:rPr>
                <w:b/>
                <w:sz w:val="16"/>
              </w:rPr>
              <w:t>How it relates to MY study</w:t>
            </w:r>
          </w:p>
        </w:tc>
        <w:tc>
          <w:tcPr>
            <w:tcW w:type="dxa" w:w="8164"/>
            <w:shd w:val="clear" w:color="auto" w:fill="EAF1FB"/>
          </w:tcPr>
          <w:p>
            <w:r>
              <w:rPr>
                <w:sz w:val="16"/>
              </w:rPr>
              <w:t>Definition of what you compute.</w:t>
            </w:r>
          </w:p>
        </w:tc>
      </w:tr>
      <w:tr>
        <w:tc>
          <w:tcPr>
            <w:tcW w:type="dxa" w:w="1701"/>
            <w:shd w:val="clear" w:color="auto" w:fill="EAF1FB"/>
          </w:tcPr>
          <w:p>
            <w:r>
              <w:rPr>
                <w:b/>
                <w:sz w:val="16"/>
              </w:rPr>
              <w:t>Must read in the original</w:t>
            </w:r>
          </w:p>
        </w:tc>
        <w:tc>
          <w:tcPr>
            <w:tcW w:type="dxa" w:w="8164"/>
            <w:shd w:val="clear" w:color="auto" w:fill="EAF1FB"/>
          </w:tcPr>
          <w:p>
            <w:r>
              <w:rPr>
                <w:sz w:val="16"/>
              </w:rPr>
              <w:t>1 Introduction (p.1); 3 properties (p.4); 4 SHAP values (pp.4–5); 4.1–4.2 approximations (pp.5–8); conclusion (p.9).</w:t>
            </w:r>
          </w:p>
        </w:tc>
      </w:tr>
      <w:tr>
        <w:tc>
          <w:tcPr>
            <w:tcW w:type="dxa" w:w="1701"/>
          </w:tcPr>
          <w:p>
            <w:r>
              <w:rPr>
                <w:b/>
                <w:sz w:val="16"/>
              </w:rPr>
              <w:t>Can skim / skip</w:t>
            </w:r>
          </w:p>
        </w:tc>
        <w:tc>
          <w:tcPr>
            <w:tcW w:type="dxa" w:w="8164"/>
          </w:tcPr>
          <w:p>
            <w:r>
              <w:rPr>
                <w:sz w:val="16"/>
              </w:rPr>
              <w:t>5 user studies (p.8).</w:t>
            </w:r>
          </w:p>
        </w:tc>
      </w:tr>
      <w:tr>
        <w:tc>
          <w:tcPr>
            <w:tcW w:type="dxa" w:w="1701"/>
          </w:tcPr>
          <w:p>
            <w:r>
              <w:rPr>
                <w:b/>
                <w:sz w:val="16"/>
              </w:rPr>
              <w:t>Key terms</w:t>
            </w:r>
          </w:p>
        </w:tc>
        <w:tc>
          <w:tcPr>
            <w:tcW w:type="dxa" w:w="8164"/>
          </w:tcPr>
          <w:p>
            <w:r>
              <w:rPr>
                <w:sz w:val="16"/>
              </w:rPr>
              <w:t>additive feature attribution; local accuracy; missingness; consistency</w:t>
            </w:r>
          </w:p>
        </w:tc>
      </w:tr>
      <w:tr>
        <w:tc>
          <w:tcPr>
            <w:tcW w:type="dxa" w:w="1701"/>
          </w:tcPr>
          <w:p>
            <w:r>
              <w:rPr>
                <w:b/>
                <w:sz w:val="16"/>
              </w:rPr>
              <w:t>Strengths</w:t>
            </w:r>
          </w:p>
        </w:tc>
        <w:tc>
          <w:tcPr>
            <w:tcW w:type="dxa" w:w="8164"/>
          </w:tcPr>
          <w:p>
            <w:r>
              <w:rPr>
                <w:sz w:val="16"/>
              </w:rPr>
              <w:t>Theoretical foundation.</w:t>
            </w:r>
          </w:p>
        </w:tc>
      </w:tr>
      <w:tr>
        <w:tc>
          <w:tcPr>
            <w:tcW w:type="dxa" w:w="1701"/>
          </w:tcPr>
          <w:p>
            <w:r>
              <w:rPr>
                <w:b/>
                <w:sz w:val="16"/>
              </w:rPr>
              <w:t>Weaknesses / critique</w:t>
            </w:r>
          </w:p>
        </w:tc>
        <w:tc>
          <w:tcPr>
            <w:tcW w:type="dxa" w:w="8164"/>
          </w:tcPr>
          <w:p>
            <w:r>
              <w:rPr>
                <w:sz w:val="16"/>
              </w:rPr>
              <w:t>Estimators assume feature independence.</w:t>
            </w:r>
          </w:p>
        </w:tc>
      </w:tr>
      <w:tr>
        <w:tc>
          <w:tcPr>
            <w:tcW w:type="dxa" w:w="1701"/>
            <w:shd w:val="clear" w:color="auto" w:fill="EAF1FB"/>
          </w:tcPr>
          <w:p>
            <w:r>
              <w:rPr>
                <w:b/>
                <w:sz w:val="16"/>
              </w:rPr>
              <w:t>Use it as · where</w:t>
            </w:r>
          </w:p>
        </w:tc>
        <w:tc>
          <w:tcPr>
            <w:tcW w:type="dxa" w:w="8164"/>
            <w:shd w:val="clear" w:color="auto" w:fill="EAF1FB"/>
          </w:tcPr>
          <w:p>
            <w:r>
              <w:rPr>
                <w:sz w:val="16"/>
              </w:rPr>
              <w:t>Method · 2.6; Chapter 3</w:t>
            </w:r>
          </w:p>
        </w:tc>
      </w:tr>
    </w:tbl>
    <w:p>
      <w:pPr>
        <w:spacing w:after="80"/>
      </w:pPr>
    </w:p>
    <w:tbl>
      <w:tblPr>
        <w:tblStyle w:val="TableGrid"/>
        <w:tblW w:type="auto" w:w="0"/>
        <w:jc w:val="center"/>
        <w:tblLook w:firstColumn="1" w:firstRow="1" w:lastColumn="0" w:lastRow="0" w:noHBand="0" w:noVBand="1" w:val="04A0"/>
      </w:tblPr>
      <w:tblGrid>
        <w:gridCol w:w="5100"/>
        <w:gridCol w:w="5100"/>
      </w:tblGrid>
      <w:tr>
        <w:tc>
          <w:tcPr>
            <w:tcW w:type="dxa" w:w="8164"/>
            <w:gridSpan w:val="2"/>
            <w:shd w:val="clear" w:color="auto" w:fill="1F4E79"/>
          </w:tcPr>
          <w:p>
            <w:r>
              <w:rPr>
                <w:b/>
                <w:color w:val="FFFFFF"/>
                <w:sz w:val="19"/>
              </w:rPr>
              <w:t>Sundararajan, M., Taly, A. &amp; Yan, Q. (2017) Axiomatic attribution for deep networks. ICML.</w:t>
            </w:r>
          </w:p>
        </w:tc>
      </w:tr>
      <w:tr>
        <w:tc>
          <w:tcPr>
            <w:tcW w:type="dxa" w:w="1701"/>
            <w:shd w:val="clear" w:color="auto" w:fill="D9EAD3"/>
          </w:tcPr>
          <w:p>
            <w:r>
              <w:rPr>
                <w:b/>
                <w:sz w:val="16"/>
              </w:rPr>
              <w:t>Source basis</w:t>
            </w:r>
          </w:p>
        </w:tc>
        <w:tc>
          <w:tcPr>
            <w:tcW w:type="dxa" w:w="8164"/>
            <w:shd w:val="clear" w:color="auto" w:fill="D9EAD3"/>
          </w:tcPr>
          <w:p>
            <w:r>
              <w:rPr>
                <w:sz w:val="16"/>
              </w:rPr>
              <w:t>FULL TEXT read in this session; page numbers refer to the open-access version in Part G</w:t>
            </w:r>
          </w:p>
        </w:tc>
      </w:tr>
      <w:tr>
        <w:tc>
          <w:tcPr>
            <w:tcW w:type="dxa" w:w="1701"/>
          </w:tcPr>
          <w:p>
            <w:r>
              <w:rPr>
                <w:b/>
                <w:sz w:val="16"/>
              </w:rPr>
              <w:t>Summary</w:t>
            </w:r>
          </w:p>
        </w:tc>
        <w:tc>
          <w:tcPr>
            <w:tcW w:type="dxa" w:w="8164"/>
          </w:tcPr>
          <w:p>
            <w:r>
              <w:rPr>
                <w:sz w:val="16"/>
              </w:rPr>
              <w:t>Proposes Integrated Gradients from two axioms.</w:t>
            </w:r>
          </w:p>
        </w:tc>
      </w:tr>
      <w:tr>
        <w:tc>
          <w:tcPr>
            <w:tcW w:type="dxa" w:w="1701"/>
          </w:tcPr>
          <w:p>
            <w:r>
              <w:rPr>
                <w:b/>
                <w:sz w:val="16"/>
              </w:rPr>
              <w:t>Dataset</w:t>
            </w:r>
          </w:p>
        </w:tc>
        <w:tc>
          <w:tcPr>
            <w:tcW w:type="dxa" w:w="8164"/>
          </w:tcPr>
          <w:p>
            <w:r>
              <w:rPr>
                <w:sz w:val="16"/>
              </w:rPr>
              <w:t>Image, text, chemistry models.</w:t>
            </w:r>
          </w:p>
        </w:tc>
      </w:tr>
      <w:tr>
        <w:tc>
          <w:tcPr>
            <w:tcW w:type="dxa" w:w="1701"/>
          </w:tcPr>
          <w:p>
            <w:r>
              <w:rPr>
                <w:b/>
                <w:sz w:val="16"/>
              </w:rPr>
              <w:t>Methodology</w:t>
            </w:r>
          </w:p>
        </w:tc>
        <w:tc>
          <w:tcPr>
            <w:tcW w:type="dxa" w:w="8164"/>
          </w:tcPr>
          <w:p>
            <w:r>
              <w:rPr>
                <w:sz w:val="16"/>
              </w:rPr>
              <w:t>Axioms; path integral of gradients.</w:t>
            </w:r>
          </w:p>
        </w:tc>
      </w:tr>
      <w:tr>
        <w:tc>
          <w:tcPr>
            <w:tcW w:type="dxa" w:w="1701"/>
          </w:tcPr>
          <w:p>
            <w:r>
              <w:rPr>
                <w:b/>
                <w:sz w:val="16"/>
              </w:rPr>
              <w:t>Results</w:t>
            </w:r>
          </w:p>
        </w:tc>
        <w:tc>
          <w:tcPr>
            <w:tcW w:type="dxa" w:w="8164"/>
          </w:tcPr>
          <w:p>
            <w:r>
              <w:rPr>
                <w:sz w:val="16"/>
              </w:rPr>
              <w:t>• Sensitivity and implementation invariance violated by most earlier methods.</w:t>
            </w:r>
          </w:p>
          <w:p>
            <w:r>
              <w:rPr>
                <w:sz w:val="16"/>
              </w:rPr>
              <w:t>• IG satisfies them; simple to implement.</w:t>
            </w:r>
          </w:p>
          <w:p>
            <w:r>
              <w:rPr>
                <w:sz w:val="16"/>
              </w:rPr>
              <w:t>• Does not explain interactions.</w:t>
            </w:r>
          </w:p>
        </w:tc>
      </w:tr>
      <w:tr>
        <w:tc>
          <w:tcPr>
            <w:tcW w:type="dxa" w:w="1701"/>
            <w:shd w:val="clear" w:color="auto" w:fill="EAF1FB"/>
          </w:tcPr>
          <w:p>
            <w:r>
              <w:rPr>
                <w:b/>
                <w:sz w:val="16"/>
              </w:rPr>
              <w:t>How it relates to MY study</w:t>
            </w:r>
          </w:p>
        </w:tc>
        <w:tc>
          <w:tcPr>
            <w:tcW w:type="dxa" w:w="8164"/>
            <w:shd w:val="clear" w:color="auto" w:fill="EAF1FB"/>
          </w:tcPr>
          <w:p>
            <w:r>
              <w:rPr>
                <w:sz w:val="16"/>
              </w:rPr>
              <w:t>Basis of gradient-based SHAP; baseline choice matters.</w:t>
            </w:r>
          </w:p>
        </w:tc>
      </w:tr>
      <w:tr>
        <w:tc>
          <w:tcPr>
            <w:tcW w:type="dxa" w:w="1701"/>
            <w:shd w:val="clear" w:color="auto" w:fill="EAF1FB"/>
          </w:tcPr>
          <w:p>
            <w:r>
              <w:rPr>
                <w:b/>
                <w:sz w:val="16"/>
              </w:rPr>
              <w:t>Must read in the original</w:t>
            </w:r>
          </w:p>
        </w:tc>
        <w:tc>
          <w:tcPr>
            <w:tcW w:type="dxa" w:w="8164"/>
            <w:shd w:val="clear" w:color="auto" w:fill="EAF1FB"/>
          </w:tcPr>
          <w:p>
            <w:r>
              <w:rPr>
                <w:sz w:val="16"/>
              </w:rPr>
              <w:t>2 axioms (p.2); 3 method (p.3); 5 applying IG — choosing baselines (p.5); conclusion (p.8).</w:t>
            </w:r>
          </w:p>
        </w:tc>
      </w:tr>
      <w:tr>
        <w:tc>
          <w:tcPr>
            <w:tcW w:type="dxa" w:w="1701"/>
          </w:tcPr>
          <w:p>
            <w:r>
              <w:rPr>
                <w:b/>
                <w:sz w:val="16"/>
              </w:rPr>
              <w:t>Can skim / skip</w:t>
            </w:r>
          </w:p>
        </w:tc>
        <w:tc>
          <w:tcPr>
            <w:tcW w:type="dxa" w:w="8164"/>
          </w:tcPr>
          <w:p>
            <w:r>
              <w:rPr>
                <w:sz w:val="16"/>
              </w:rPr>
              <w:t>6 applications (pp.6–8).</w:t>
            </w:r>
          </w:p>
        </w:tc>
      </w:tr>
      <w:tr>
        <w:tc>
          <w:tcPr>
            <w:tcW w:type="dxa" w:w="1701"/>
          </w:tcPr>
          <w:p>
            <w:r>
              <w:rPr>
                <w:b/>
                <w:sz w:val="16"/>
              </w:rPr>
              <w:t>Key terms</w:t>
            </w:r>
          </w:p>
        </w:tc>
        <w:tc>
          <w:tcPr>
            <w:tcW w:type="dxa" w:w="8164"/>
          </w:tcPr>
          <w:p>
            <w:r>
              <w:rPr>
                <w:sz w:val="16"/>
              </w:rPr>
              <w:t>baseline; completeness; path method</w:t>
            </w:r>
          </w:p>
        </w:tc>
      </w:tr>
      <w:tr>
        <w:tc>
          <w:tcPr>
            <w:tcW w:type="dxa" w:w="1701"/>
          </w:tcPr>
          <w:p>
            <w:r>
              <w:rPr>
                <w:b/>
                <w:sz w:val="16"/>
              </w:rPr>
              <w:t>Strengths</w:t>
            </w:r>
          </w:p>
        </w:tc>
        <w:tc>
          <w:tcPr>
            <w:tcW w:type="dxa" w:w="8164"/>
          </w:tcPr>
          <w:p>
            <w:r>
              <w:rPr>
                <w:sz w:val="16"/>
              </w:rPr>
              <w:t>Axiomatic.</w:t>
            </w:r>
          </w:p>
        </w:tc>
      </w:tr>
      <w:tr>
        <w:tc>
          <w:tcPr>
            <w:tcW w:type="dxa" w:w="1701"/>
          </w:tcPr>
          <w:p>
            <w:r>
              <w:rPr>
                <w:b/>
                <w:sz w:val="16"/>
              </w:rPr>
              <w:t>Weaknesses / critique</w:t>
            </w:r>
          </w:p>
        </w:tc>
        <w:tc>
          <w:tcPr>
            <w:tcW w:type="dxa" w:w="8164"/>
          </w:tcPr>
          <w:p>
            <w:r>
              <w:rPr>
                <w:sz w:val="16"/>
              </w:rPr>
              <w:t>Baseline-dependent.</w:t>
            </w:r>
          </w:p>
        </w:tc>
      </w:tr>
      <w:tr>
        <w:tc>
          <w:tcPr>
            <w:tcW w:type="dxa" w:w="1701"/>
            <w:shd w:val="clear" w:color="auto" w:fill="EAF1FB"/>
          </w:tcPr>
          <w:p>
            <w:r>
              <w:rPr>
                <w:b/>
                <w:sz w:val="16"/>
              </w:rPr>
              <w:t>Use it as · where</w:t>
            </w:r>
          </w:p>
        </w:tc>
        <w:tc>
          <w:tcPr>
            <w:tcW w:type="dxa" w:w="8164"/>
            <w:shd w:val="clear" w:color="auto" w:fill="EAF1FB"/>
          </w:tcPr>
          <w:p>
            <w:r>
              <w:rPr>
                <w:sz w:val="16"/>
              </w:rPr>
              <w:t>Method · 2.6; Chapter 3</w:t>
            </w:r>
          </w:p>
        </w:tc>
      </w:tr>
    </w:tbl>
    <w:p>
      <w:pPr>
        <w:spacing w:after="80"/>
      </w:pPr>
    </w:p>
    <w:tbl>
      <w:tblPr>
        <w:tblStyle w:val="TableGrid"/>
        <w:tblW w:type="auto" w:w="0"/>
        <w:jc w:val="center"/>
        <w:tblLook w:firstColumn="1" w:firstRow="1" w:lastColumn="0" w:lastRow="0" w:noHBand="0" w:noVBand="1" w:val="04A0"/>
      </w:tblPr>
      <w:tblGrid>
        <w:gridCol w:w="5100"/>
        <w:gridCol w:w="5100"/>
      </w:tblGrid>
      <w:tr>
        <w:tc>
          <w:tcPr>
            <w:tcW w:type="dxa" w:w="8164"/>
            <w:gridSpan w:val="2"/>
            <w:shd w:val="clear" w:color="auto" w:fill="1F4E79"/>
          </w:tcPr>
          <w:p>
            <w:r>
              <w:rPr>
                <w:b/>
                <w:color w:val="FFFFFF"/>
                <w:sz w:val="19"/>
              </w:rPr>
              <w:t>Erion, G. et al. (2021) Expected gradients. Nature Machine Intelligence, 3, 620–631.</w:t>
            </w:r>
          </w:p>
        </w:tc>
      </w:tr>
      <w:tr>
        <w:tc>
          <w:tcPr>
            <w:tcW w:type="dxa" w:w="1701"/>
            <w:shd w:val="clear" w:color="auto" w:fill="D9EAD3"/>
          </w:tcPr>
          <w:p>
            <w:r>
              <w:rPr>
                <w:b/>
                <w:sz w:val="16"/>
              </w:rPr>
              <w:t>Source basis</w:t>
            </w:r>
          </w:p>
        </w:tc>
        <w:tc>
          <w:tcPr>
            <w:tcW w:type="dxa" w:w="8164"/>
            <w:shd w:val="clear" w:color="auto" w:fill="D9EAD3"/>
          </w:tcPr>
          <w:p>
            <w:r>
              <w:rPr>
                <w:sz w:val="16"/>
              </w:rPr>
              <w:t>FULL TEXT read in this session; page numbers refer to the open-access version in Part G</w:t>
            </w:r>
          </w:p>
        </w:tc>
      </w:tr>
      <w:tr>
        <w:tc>
          <w:tcPr>
            <w:tcW w:type="dxa" w:w="1701"/>
          </w:tcPr>
          <w:p>
            <w:r>
              <w:rPr>
                <w:b/>
                <w:sz w:val="16"/>
              </w:rPr>
              <w:t>Summary</w:t>
            </w:r>
          </w:p>
        </w:tc>
        <w:tc>
          <w:tcPr>
            <w:tcW w:type="dxa" w:w="8164"/>
          </w:tcPr>
          <w:p>
            <w:r>
              <w:rPr>
                <w:sz w:val="16"/>
              </w:rPr>
              <w:t>Introduces expected gradients (IG averaged over data baselines).</w:t>
            </w:r>
          </w:p>
        </w:tc>
      </w:tr>
      <w:tr>
        <w:tc>
          <w:tcPr>
            <w:tcW w:type="dxa" w:w="1701"/>
          </w:tcPr>
          <w:p>
            <w:r>
              <w:rPr>
                <w:b/>
                <w:sz w:val="16"/>
              </w:rPr>
              <w:t>Dataset</w:t>
            </w:r>
          </w:p>
        </w:tc>
        <w:tc>
          <w:tcPr>
            <w:tcW w:type="dxa" w:w="8164"/>
          </w:tcPr>
          <w:p>
            <w:r>
              <w:rPr>
                <w:sz w:val="16"/>
              </w:rPr>
              <w:t>Images, genomics, health.</w:t>
            </w:r>
          </w:p>
        </w:tc>
      </w:tr>
      <w:tr>
        <w:tc>
          <w:tcPr>
            <w:tcW w:type="dxa" w:w="1701"/>
          </w:tcPr>
          <w:p>
            <w:r>
              <w:rPr>
                <w:b/>
                <w:sz w:val="16"/>
              </w:rPr>
              <w:t>Methodology</w:t>
            </w:r>
          </w:p>
        </w:tc>
        <w:tc>
          <w:tcPr>
            <w:tcW w:type="dxa" w:w="8164"/>
          </w:tcPr>
          <w:p>
            <w:r>
              <w:rPr>
                <w:sz w:val="16"/>
              </w:rPr>
              <w:t>Expected gradients; attribution priors.</w:t>
            </w:r>
          </w:p>
        </w:tc>
      </w:tr>
      <w:tr>
        <w:tc>
          <w:tcPr>
            <w:tcW w:type="dxa" w:w="1701"/>
          </w:tcPr>
          <w:p>
            <w:r>
              <w:rPr>
                <w:b/>
                <w:sz w:val="16"/>
              </w:rPr>
              <w:t>Results</w:t>
            </w:r>
          </w:p>
        </w:tc>
        <w:tc>
          <w:tcPr>
            <w:tcW w:type="dxa" w:w="8164"/>
          </w:tcPr>
          <w:p>
            <w:r>
              <w:rPr>
                <w:sz w:val="16"/>
              </w:rPr>
              <w:t>• Satisfies key axioms; improves training when used as a prior.</w:t>
            </w:r>
          </w:p>
        </w:tc>
      </w:tr>
      <w:tr>
        <w:tc>
          <w:tcPr>
            <w:tcW w:type="dxa" w:w="1701"/>
            <w:shd w:val="clear" w:color="auto" w:fill="EAF1FB"/>
          </w:tcPr>
          <w:p>
            <w:r>
              <w:rPr>
                <w:b/>
                <w:sz w:val="16"/>
              </w:rPr>
              <w:t>How it relates to MY study</w:t>
            </w:r>
          </w:p>
        </w:tc>
        <w:tc>
          <w:tcPr>
            <w:tcW w:type="dxa" w:w="8164"/>
            <w:shd w:val="clear" w:color="auto" w:fill="EAF1FB"/>
          </w:tcPr>
          <w:p>
            <w:r>
              <w:rPr>
                <w:sz w:val="16"/>
              </w:rPr>
              <w:t>Justifies Captum GradientShap with real training windows as background.</w:t>
            </w:r>
          </w:p>
        </w:tc>
      </w:tr>
      <w:tr>
        <w:tc>
          <w:tcPr>
            <w:tcW w:type="dxa" w:w="1701"/>
            <w:shd w:val="clear" w:color="auto" w:fill="EAF1FB"/>
          </w:tcPr>
          <w:p>
            <w:r>
              <w:rPr>
                <w:b/>
                <w:sz w:val="16"/>
              </w:rPr>
              <w:t>Must read in the original</w:t>
            </w:r>
          </w:p>
        </w:tc>
        <w:tc>
          <w:tcPr>
            <w:tcW w:type="dxa" w:w="8164"/>
            <w:shd w:val="clear" w:color="auto" w:fill="EAF1FB"/>
          </w:tcPr>
          <w:p>
            <w:r>
              <w:rPr>
                <w:sz w:val="16"/>
              </w:rPr>
              <w:t>Introduction and the expected-gradients formulation in the Methods section.</w:t>
            </w:r>
          </w:p>
        </w:tc>
      </w:tr>
      <w:tr>
        <w:tc>
          <w:tcPr>
            <w:tcW w:type="dxa" w:w="1701"/>
          </w:tcPr>
          <w:p>
            <w:r>
              <w:rPr>
                <w:b/>
                <w:sz w:val="16"/>
              </w:rPr>
              <w:t>Can skim / skip</w:t>
            </w:r>
          </w:p>
        </w:tc>
        <w:tc>
          <w:tcPr>
            <w:tcW w:type="dxa" w:w="8164"/>
          </w:tcPr>
          <w:p>
            <w:r>
              <w:rPr>
                <w:sz w:val="16"/>
              </w:rPr>
              <w:t>Application experiments.</w:t>
            </w:r>
          </w:p>
        </w:tc>
      </w:tr>
      <w:tr>
        <w:tc>
          <w:tcPr>
            <w:tcW w:type="dxa" w:w="1701"/>
          </w:tcPr>
          <w:p>
            <w:r>
              <w:rPr>
                <w:b/>
                <w:sz w:val="16"/>
              </w:rPr>
              <w:t>Key terms</w:t>
            </w:r>
          </w:p>
        </w:tc>
        <w:tc>
          <w:tcPr>
            <w:tcW w:type="dxa" w:w="8164"/>
          </w:tcPr>
          <w:p>
            <w:r>
              <w:rPr>
                <w:sz w:val="16"/>
              </w:rPr>
              <w:t>expected gradients; attribution prior</w:t>
            </w:r>
          </w:p>
        </w:tc>
      </w:tr>
      <w:tr>
        <w:tc>
          <w:tcPr>
            <w:tcW w:type="dxa" w:w="1701"/>
          </w:tcPr>
          <w:p>
            <w:r>
              <w:rPr>
                <w:b/>
                <w:sz w:val="16"/>
              </w:rPr>
              <w:t>Strengths</w:t>
            </w:r>
          </w:p>
        </w:tc>
        <w:tc>
          <w:tcPr>
            <w:tcW w:type="dxa" w:w="8164"/>
          </w:tcPr>
          <w:p>
            <w:r>
              <w:rPr>
                <w:sz w:val="16"/>
              </w:rPr>
              <w:t>Practical, axiomatic.</w:t>
            </w:r>
          </w:p>
        </w:tc>
      </w:tr>
      <w:tr>
        <w:tc>
          <w:tcPr>
            <w:tcW w:type="dxa" w:w="1701"/>
          </w:tcPr>
          <w:p>
            <w:r>
              <w:rPr>
                <w:b/>
                <w:sz w:val="16"/>
              </w:rPr>
              <w:t>Weaknesses / critique</w:t>
            </w:r>
          </w:p>
        </w:tc>
        <w:tc>
          <w:tcPr>
            <w:tcW w:type="dxa" w:w="8164"/>
          </w:tcPr>
          <w:p>
            <w:r>
              <w:rPr>
                <w:sz w:val="16"/>
              </w:rPr>
              <w:t>Main aim is training.</w:t>
            </w:r>
          </w:p>
        </w:tc>
      </w:tr>
      <w:tr>
        <w:tc>
          <w:tcPr>
            <w:tcW w:type="dxa" w:w="1701"/>
            <w:shd w:val="clear" w:color="auto" w:fill="EAF1FB"/>
          </w:tcPr>
          <w:p>
            <w:r>
              <w:rPr>
                <w:b/>
                <w:sz w:val="16"/>
              </w:rPr>
              <w:t>Use it as · where</w:t>
            </w:r>
          </w:p>
        </w:tc>
        <w:tc>
          <w:tcPr>
            <w:tcW w:type="dxa" w:w="8164"/>
            <w:shd w:val="clear" w:color="auto" w:fill="EAF1FB"/>
          </w:tcPr>
          <w:p>
            <w:r>
              <w:rPr>
                <w:sz w:val="16"/>
              </w:rPr>
              <w:t>Method · 2.6; Chapter 3</w:t>
            </w:r>
          </w:p>
        </w:tc>
      </w:tr>
    </w:tbl>
    <w:p>
      <w:pPr>
        <w:spacing w:after="80"/>
      </w:pPr>
    </w:p>
    <w:tbl>
      <w:tblPr>
        <w:tblStyle w:val="TableGrid"/>
        <w:tblW w:type="auto" w:w="0"/>
        <w:jc w:val="center"/>
        <w:tblLook w:firstColumn="1" w:firstRow="1" w:lastColumn="0" w:lastRow="0" w:noHBand="0" w:noVBand="1" w:val="04A0"/>
      </w:tblPr>
      <w:tblGrid>
        <w:gridCol w:w="5100"/>
        <w:gridCol w:w="5100"/>
      </w:tblGrid>
      <w:tr>
        <w:tc>
          <w:tcPr>
            <w:tcW w:type="dxa" w:w="8164"/>
            <w:gridSpan w:val="2"/>
            <w:shd w:val="clear" w:color="auto" w:fill="1F4E79"/>
          </w:tcPr>
          <w:p>
            <w:r>
              <w:rPr>
                <w:b/>
                <w:color w:val="FFFFFF"/>
                <w:sz w:val="19"/>
              </w:rPr>
              <w:t>Aas, K., Jullum, M. &amp; Løland, A. (2021) Explaining predictions when features are dependent. AI, 298.</w:t>
            </w:r>
          </w:p>
        </w:tc>
      </w:tr>
      <w:tr>
        <w:tc>
          <w:tcPr>
            <w:tcW w:type="dxa" w:w="1701"/>
            <w:shd w:val="clear" w:color="auto" w:fill="D9EAD3"/>
          </w:tcPr>
          <w:p>
            <w:r>
              <w:rPr>
                <w:b/>
                <w:sz w:val="16"/>
              </w:rPr>
              <w:t>Source basis</w:t>
            </w:r>
          </w:p>
        </w:tc>
        <w:tc>
          <w:tcPr>
            <w:tcW w:type="dxa" w:w="8164"/>
            <w:shd w:val="clear" w:color="auto" w:fill="D9EAD3"/>
          </w:tcPr>
          <w:p>
            <w:r>
              <w:rPr>
                <w:sz w:val="16"/>
              </w:rPr>
              <w:t>FULL TEXT read in this session; page numbers refer to the open-access version in Part G</w:t>
            </w:r>
          </w:p>
        </w:tc>
      </w:tr>
      <w:tr>
        <w:tc>
          <w:tcPr>
            <w:tcW w:type="dxa" w:w="1701"/>
          </w:tcPr>
          <w:p>
            <w:r>
              <w:rPr>
                <w:b/>
                <w:sz w:val="16"/>
              </w:rPr>
              <w:t>Summary</w:t>
            </w:r>
          </w:p>
        </w:tc>
        <w:tc>
          <w:tcPr>
            <w:tcW w:type="dxa" w:w="8164"/>
          </w:tcPr>
          <w:p>
            <w:r>
              <w:rPr>
                <w:sz w:val="16"/>
              </w:rPr>
              <w:t>Shows Kernel SHAP can be very wrong with correlated features and extends it.</w:t>
            </w:r>
          </w:p>
        </w:tc>
      </w:tr>
      <w:tr>
        <w:tc>
          <w:tcPr>
            <w:tcW w:type="dxa" w:w="1701"/>
          </w:tcPr>
          <w:p>
            <w:r>
              <w:rPr>
                <w:b/>
                <w:sz w:val="16"/>
              </w:rPr>
              <w:t>Dataset</w:t>
            </w:r>
          </w:p>
        </w:tc>
        <w:tc>
          <w:tcPr>
            <w:tcW w:type="dxa" w:w="8164"/>
          </w:tcPr>
          <w:p>
            <w:r>
              <w:rPr>
                <w:sz w:val="16"/>
              </w:rPr>
              <w:t>Simulated models; real credit data.</w:t>
            </w:r>
          </w:p>
        </w:tc>
      </w:tr>
      <w:tr>
        <w:tc>
          <w:tcPr>
            <w:tcW w:type="dxa" w:w="1701"/>
          </w:tcPr>
          <w:p>
            <w:r>
              <w:rPr>
                <w:b/>
                <w:sz w:val="16"/>
              </w:rPr>
              <w:t>Methodology</w:t>
            </w:r>
          </w:p>
        </w:tc>
        <w:tc>
          <w:tcPr>
            <w:tcW w:type="dxa" w:w="8164"/>
          </w:tcPr>
          <w:p>
            <w:r>
              <w:rPr>
                <w:sz w:val="16"/>
              </w:rPr>
              <w:t>Dependence-aware Kernel SHAP.</w:t>
            </w:r>
          </w:p>
        </w:tc>
      </w:tr>
      <w:tr>
        <w:tc>
          <w:tcPr>
            <w:tcW w:type="dxa" w:w="1701"/>
          </w:tcPr>
          <w:p>
            <w:r>
              <w:rPr>
                <w:b/>
                <w:sz w:val="16"/>
              </w:rPr>
              <w:t>Results</w:t>
            </w:r>
          </w:p>
        </w:tc>
        <w:tc>
          <w:tcPr>
            <w:tcW w:type="dxa" w:w="8164"/>
          </w:tcPr>
          <w:p>
            <w:r>
              <w:rPr>
                <w:sz w:val="16"/>
              </w:rPr>
              <w:t>• Independence assumption can give very wrong explanations, even for linear models.</w:t>
            </w:r>
          </w:p>
          <w:p>
            <w:r>
              <w:rPr>
                <w:sz w:val="16"/>
              </w:rPr>
              <w:t>• Dependence-aware versions are more accurate.</w:t>
            </w:r>
          </w:p>
        </w:tc>
      </w:tr>
      <w:tr>
        <w:tc>
          <w:tcPr>
            <w:tcW w:type="dxa" w:w="1701"/>
            <w:shd w:val="clear" w:color="auto" w:fill="EAF1FB"/>
          </w:tcPr>
          <w:p>
            <w:r>
              <w:rPr>
                <w:b/>
                <w:sz w:val="16"/>
              </w:rPr>
              <w:t>How it relates to MY study</w:t>
            </w:r>
          </w:p>
        </w:tc>
        <w:tc>
          <w:tcPr>
            <w:tcW w:type="dxa" w:w="8164"/>
            <w:shd w:val="clear" w:color="auto" w:fill="EAF1FB"/>
          </w:tcPr>
          <w:p>
            <w:r>
              <w:rPr>
                <w:sz w:val="16"/>
              </w:rPr>
              <w:t>Justifies keeping only three low-overlap markets (Nasdaq–S&amp;P 0.95, FTSE–DAX 0.84 in your data).</w:t>
            </w:r>
          </w:p>
        </w:tc>
      </w:tr>
      <w:tr>
        <w:tc>
          <w:tcPr>
            <w:tcW w:type="dxa" w:w="1701"/>
            <w:shd w:val="clear" w:color="auto" w:fill="EAF1FB"/>
          </w:tcPr>
          <w:p>
            <w:r>
              <w:rPr>
                <w:b/>
                <w:sz w:val="16"/>
              </w:rPr>
              <w:t>Must read in the original</w:t>
            </w:r>
          </w:p>
        </w:tc>
        <w:tc>
          <w:tcPr>
            <w:tcW w:type="dxa" w:w="8164"/>
            <w:shd w:val="clear" w:color="auto" w:fill="EAF1FB"/>
          </w:tcPr>
          <w:p>
            <w:r>
              <w:rPr>
                <w:sz w:val="16"/>
              </w:rPr>
              <w:t>1 Introduction (pp.1–2); 2 Kernel SHAP (pp.3–6); 3 dependence (pp.6–9); Figure 2 (p.13).</w:t>
            </w:r>
          </w:p>
        </w:tc>
      </w:tr>
      <w:tr>
        <w:tc>
          <w:tcPr>
            <w:tcW w:type="dxa" w:w="1701"/>
          </w:tcPr>
          <w:p>
            <w:r>
              <w:rPr>
                <w:b/>
                <w:sz w:val="16"/>
              </w:rPr>
              <w:t>Can skim / skip</w:t>
            </w:r>
          </w:p>
        </w:tc>
        <w:tc>
          <w:tcPr>
            <w:tcW w:type="dxa" w:w="8164"/>
          </w:tcPr>
          <w:p>
            <w:r>
              <w:rPr>
                <w:sz w:val="16"/>
              </w:rPr>
              <w:t>Most experiments (pp.9–18).</w:t>
            </w:r>
          </w:p>
        </w:tc>
      </w:tr>
      <w:tr>
        <w:tc>
          <w:tcPr>
            <w:tcW w:type="dxa" w:w="1701"/>
          </w:tcPr>
          <w:p>
            <w:r>
              <w:rPr>
                <w:b/>
                <w:sz w:val="16"/>
              </w:rPr>
              <w:t>Key terms</w:t>
            </w:r>
          </w:p>
        </w:tc>
        <w:tc>
          <w:tcPr>
            <w:tcW w:type="dxa" w:w="8164"/>
          </w:tcPr>
          <w:p>
            <w:r>
              <w:rPr>
                <w:sz w:val="16"/>
              </w:rPr>
              <w:t>feature dependence; conditional expectation</w:t>
            </w:r>
          </w:p>
        </w:tc>
      </w:tr>
      <w:tr>
        <w:tc>
          <w:tcPr>
            <w:tcW w:type="dxa" w:w="1701"/>
          </w:tcPr>
          <w:p>
            <w:r>
              <w:rPr>
                <w:b/>
                <w:sz w:val="16"/>
              </w:rPr>
              <w:t>Strengths</w:t>
            </w:r>
          </w:p>
        </w:tc>
        <w:tc>
          <w:tcPr>
            <w:tcW w:type="dxa" w:w="8164"/>
          </w:tcPr>
          <w:p>
            <w:r>
              <w:rPr>
                <w:sz w:val="16"/>
              </w:rPr>
              <w:t>Clear demonstration.</w:t>
            </w:r>
          </w:p>
        </w:tc>
      </w:tr>
      <w:tr>
        <w:tc>
          <w:tcPr>
            <w:tcW w:type="dxa" w:w="1701"/>
          </w:tcPr>
          <w:p>
            <w:r>
              <w:rPr>
                <w:b/>
                <w:sz w:val="16"/>
              </w:rPr>
              <w:t>Weaknesses / critique</w:t>
            </w:r>
          </w:p>
        </w:tc>
        <w:tc>
          <w:tcPr>
            <w:tcW w:type="dxa" w:w="8164"/>
          </w:tcPr>
          <w:p>
            <w:r>
              <w:rPr>
                <w:sz w:val="16"/>
              </w:rPr>
              <w:t>Heavier computation.</w:t>
            </w:r>
          </w:p>
        </w:tc>
      </w:tr>
      <w:tr>
        <w:tc>
          <w:tcPr>
            <w:tcW w:type="dxa" w:w="1701"/>
            <w:shd w:val="clear" w:color="auto" w:fill="EAF1FB"/>
          </w:tcPr>
          <w:p>
            <w:r>
              <w:rPr>
                <w:b/>
                <w:sz w:val="16"/>
              </w:rPr>
              <w:t>Use it as · where</w:t>
            </w:r>
          </w:p>
        </w:tc>
        <w:tc>
          <w:tcPr>
            <w:tcW w:type="dxa" w:w="8164"/>
            <w:shd w:val="clear" w:color="auto" w:fill="EAF1FB"/>
          </w:tcPr>
          <w:p>
            <w:r>
              <w:rPr>
                <w:sz w:val="16"/>
              </w:rPr>
              <w:t>Caution + method · 2.6; H4</w:t>
            </w:r>
          </w:p>
        </w:tc>
      </w:tr>
    </w:tbl>
    <w:p>
      <w:pPr>
        <w:spacing w:after="80"/>
      </w:pPr>
    </w:p>
    <w:tbl>
      <w:tblPr>
        <w:tblStyle w:val="TableGrid"/>
        <w:tblW w:type="auto" w:w="0"/>
        <w:jc w:val="center"/>
        <w:tblLook w:firstColumn="1" w:firstRow="1" w:lastColumn="0" w:lastRow="0" w:noHBand="0" w:noVBand="1" w:val="04A0"/>
      </w:tblPr>
      <w:tblGrid>
        <w:gridCol w:w="5100"/>
        <w:gridCol w:w="5100"/>
      </w:tblGrid>
      <w:tr>
        <w:tc>
          <w:tcPr>
            <w:tcW w:type="dxa" w:w="8164"/>
            <w:gridSpan w:val="2"/>
            <w:shd w:val="clear" w:color="auto" w:fill="1F4E79"/>
          </w:tcPr>
          <w:p>
            <w:r>
              <w:rPr>
                <w:b/>
                <w:color w:val="FFFFFF"/>
                <w:sz w:val="19"/>
              </w:rPr>
              <w:t>Kumar, I. et al. (2020) Problems with Shapley-value-based explanations. ICML.</w:t>
            </w:r>
          </w:p>
        </w:tc>
      </w:tr>
      <w:tr>
        <w:tc>
          <w:tcPr>
            <w:tcW w:type="dxa" w:w="1701"/>
            <w:shd w:val="clear" w:color="auto" w:fill="D9EAD3"/>
          </w:tcPr>
          <w:p>
            <w:r>
              <w:rPr>
                <w:b/>
                <w:sz w:val="16"/>
              </w:rPr>
              <w:t>Source basis</w:t>
            </w:r>
          </w:p>
        </w:tc>
        <w:tc>
          <w:tcPr>
            <w:tcW w:type="dxa" w:w="8164"/>
            <w:shd w:val="clear" w:color="auto" w:fill="D9EAD3"/>
          </w:tcPr>
          <w:p>
            <w:r>
              <w:rPr>
                <w:sz w:val="16"/>
              </w:rPr>
              <w:t>FULL TEXT read in this session; page numbers refer to the open-access version in Part G</w:t>
            </w:r>
          </w:p>
        </w:tc>
      </w:tr>
      <w:tr>
        <w:tc>
          <w:tcPr>
            <w:tcW w:type="dxa" w:w="1701"/>
          </w:tcPr>
          <w:p>
            <w:r>
              <w:rPr>
                <w:b/>
                <w:sz w:val="16"/>
              </w:rPr>
              <w:t>Summary</w:t>
            </w:r>
          </w:p>
        </w:tc>
        <w:tc>
          <w:tcPr>
            <w:tcW w:type="dxa" w:w="8164"/>
          </w:tcPr>
          <w:p>
            <w:r>
              <w:rPr>
                <w:sz w:val="16"/>
              </w:rPr>
              <w:t>Critique of Shapley values as feature importance.</w:t>
            </w:r>
          </w:p>
        </w:tc>
      </w:tr>
      <w:tr>
        <w:tc>
          <w:tcPr>
            <w:tcW w:type="dxa" w:w="1701"/>
          </w:tcPr>
          <w:p>
            <w:r>
              <w:rPr>
                <w:b/>
                <w:sz w:val="16"/>
              </w:rPr>
              <w:t>Dataset</w:t>
            </w:r>
          </w:p>
        </w:tc>
        <w:tc>
          <w:tcPr>
            <w:tcW w:type="dxa" w:w="8164"/>
          </w:tcPr>
          <w:p>
            <w:r>
              <w:rPr>
                <w:sz w:val="16"/>
              </w:rPr>
              <w:t>Theory.</w:t>
            </w:r>
          </w:p>
        </w:tc>
      </w:tr>
      <w:tr>
        <w:tc>
          <w:tcPr>
            <w:tcW w:type="dxa" w:w="1701"/>
          </w:tcPr>
          <w:p>
            <w:r>
              <w:rPr>
                <w:b/>
                <w:sz w:val="16"/>
              </w:rPr>
              <w:t>Methodology</w:t>
            </w:r>
          </w:p>
        </w:tc>
        <w:tc>
          <w:tcPr>
            <w:tcW w:type="dxa" w:w="8164"/>
          </w:tcPr>
          <w:p>
            <w:r>
              <w:rPr>
                <w:sz w:val="16"/>
              </w:rPr>
              <w:t>Mathematical and human-centred analysis.</w:t>
            </w:r>
          </w:p>
        </w:tc>
      </w:tr>
      <w:tr>
        <w:tc>
          <w:tcPr>
            <w:tcW w:type="dxa" w:w="1701"/>
          </w:tcPr>
          <w:p>
            <w:r>
              <w:rPr>
                <w:b/>
                <w:sz w:val="16"/>
              </w:rPr>
              <w:t>Results</w:t>
            </w:r>
          </w:p>
        </w:tc>
        <w:tc>
          <w:tcPr>
            <w:tcW w:type="dxa" w:w="8164"/>
          </w:tcPr>
          <w:p>
            <w:r>
              <w:rPr>
                <w:sz w:val="16"/>
              </w:rPr>
              <w:t>• Mathematical problems (conditional vs interventional value functions; additivity).</w:t>
            </w:r>
          </w:p>
          <w:p>
            <w:r>
              <w:rPr>
                <w:sz w:val="16"/>
              </w:rPr>
              <w:t>• Fixes need causal reasoning; poor fit with human explanation goals.</w:t>
            </w:r>
          </w:p>
        </w:tc>
      </w:tr>
      <w:tr>
        <w:tc>
          <w:tcPr>
            <w:tcW w:type="dxa" w:w="1701"/>
            <w:shd w:val="clear" w:color="auto" w:fill="EAF1FB"/>
          </w:tcPr>
          <w:p>
            <w:r>
              <w:rPr>
                <w:b/>
                <w:sz w:val="16"/>
              </w:rPr>
              <w:t>How it relates to MY study</w:t>
            </w:r>
          </w:p>
        </w:tc>
        <w:tc>
          <w:tcPr>
            <w:tcW w:type="dxa" w:w="8164"/>
            <w:shd w:val="clear" w:color="auto" w:fill="EAF1FB"/>
          </w:tcPr>
          <w:p>
            <w:r>
              <w:rPr>
                <w:sz w:val="16"/>
              </w:rPr>
              <w:t>Main ‘limits of SHAP’ source; interpretation rule.</w:t>
            </w:r>
          </w:p>
        </w:tc>
      </w:tr>
      <w:tr>
        <w:tc>
          <w:tcPr>
            <w:tcW w:type="dxa" w:w="1701"/>
            <w:shd w:val="clear" w:color="auto" w:fill="EAF1FB"/>
          </w:tcPr>
          <w:p>
            <w:r>
              <w:rPr>
                <w:b/>
                <w:sz w:val="16"/>
              </w:rPr>
              <w:t>Must read in the original</w:t>
            </w:r>
          </w:p>
        </w:tc>
        <w:tc>
          <w:tcPr>
            <w:tcW w:type="dxa" w:w="8164"/>
            <w:shd w:val="clear" w:color="auto" w:fill="EAF1FB"/>
          </w:tcPr>
          <w:p>
            <w:r>
              <w:rPr>
                <w:sz w:val="16"/>
              </w:rPr>
              <w:t>2.2 (p.2); 3.1 conditional vs interventional (pp.3–5); 3.2 additivity (p.5); 4 human-centric (pp.6–8); conclusion (p.9).</w:t>
            </w:r>
          </w:p>
        </w:tc>
      </w:tr>
      <w:tr>
        <w:tc>
          <w:tcPr>
            <w:tcW w:type="dxa" w:w="1701"/>
          </w:tcPr>
          <w:p>
            <w:r>
              <w:rPr>
                <w:b/>
                <w:sz w:val="16"/>
              </w:rPr>
              <w:t>Can skim / skip</w:t>
            </w:r>
          </w:p>
        </w:tc>
        <w:tc>
          <w:tcPr>
            <w:tcW w:type="dxa" w:w="8164"/>
          </w:tcPr>
          <w:p>
            <w:r>
              <w:rPr>
                <w:sz w:val="16"/>
              </w:rPr>
              <w:t>—</w:t>
            </w:r>
          </w:p>
        </w:tc>
      </w:tr>
      <w:tr>
        <w:tc>
          <w:tcPr>
            <w:tcW w:type="dxa" w:w="1701"/>
          </w:tcPr>
          <w:p>
            <w:r>
              <w:rPr>
                <w:b/>
                <w:sz w:val="16"/>
              </w:rPr>
              <w:t>Key terms</w:t>
            </w:r>
          </w:p>
        </w:tc>
        <w:tc>
          <w:tcPr>
            <w:tcW w:type="dxa" w:w="8164"/>
          </w:tcPr>
          <w:p>
            <w:r>
              <w:rPr>
                <w:sz w:val="16"/>
              </w:rPr>
              <w:t>value function; interventional; contrastive explanation</w:t>
            </w:r>
          </w:p>
        </w:tc>
      </w:tr>
      <w:tr>
        <w:tc>
          <w:tcPr>
            <w:tcW w:type="dxa" w:w="1701"/>
          </w:tcPr>
          <w:p>
            <w:r>
              <w:rPr>
                <w:b/>
                <w:sz w:val="16"/>
              </w:rPr>
              <w:t>Strengths</w:t>
            </w:r>
          </w:p>
        </w:tc>
        <w:tc>
          <w:tcPr>
            <w:tcW w:type="dxa" w:w="8164"/>
          </w:tcPr>
          <w:p>
            <w:r>
              <w:rPr>
                <w:sz w:val="16"/>
              </w:rPr>
              <w:t>Sharp critique.</w:t>
            </w:r>
          </w:p>
        </w:tc>
      </w:tr>
      <w:tr>
        <w:tc>
          <w:tcPr>
            <w:tcW w:type="dxa" w:w="1701"/>
          </w:tcPr>
          <w:p>
            <w:r>
              <w:rPr>
                <w:b/>
                <w:sz w:val="16"/>
              </w:rPr>
              <w:t>Weaknesses / critique</w:t>
            </w:r>
          </w:p>
        </w:tc>
        <w:tc>
          <w:tcPr>
            <w:tcW w:type="dxa" w:w="8164"/>
          </w:tcPr>
          <w:p>
            <w:r>
              <w:rPr>
                <w:sz w:val="16"/>
              </w:rPr>
              <w:t>No alternative method.</w:t>
            </w:r>
          </w:p>
        </w:tc>
      </w:tr>
      <w:tr>
        <w:tc>
          <w:tcPr>
            <w:tcW w:type="dxa" w:w="1701"/>
            <w:shd w:val="clear" w:color="auto" w:fill="EAF1FB"/>
          </w:tcPr>
          <w:p>
            <w:r>
              <w:rPr>
                <w:b/>
                <w:sz w:val="16"/>
              </w:rPr>
              <w:t>Use it as · where</w:t>
            </w:r>
          </w:p>
        </w:tc>
        <w:tc>
          <w:tcPr>
            <w:tcW w:type="dxa" w:w="8164"/>
            <w:shd w:val="clear" w:color="auto" w:fill="EAF1FB"/>
          </w:tcPr>
          <w:p>
            <w:r>
              <w:rPr>
                <w:sz w:val="16"/>
              </w:rPr>
              <w:t>Contrast · 2.6; Limitations</w:t>
            </w:r>
          </w:p>
        </w:tc>
      </w:tr>
    </w:tbl>
    <w:p>
      <w:pPr>
        <w:spacing w:after="80"/>
      </w:pPr>
    </w:p>
    <w:tbl>
      <w:tblPr>
        <w:tblStyle w:val="TableGrid"/>
        <w:tblW w:type="auto" w:w="0"/>
        <w:jc w:val="center"/>
        <w:tblLook w:firstColumn="1" w:firstRow="1" w:lastColumn="0" w:lastRow="0" w:noHBand="0" w:noVBand="1" w:val="04A0"/>
      </w:tblPr>
      <w:tblGrid>
        <w:gridCol w:w="5100"/>
        <w:gridCol w:w="5100"/>
      </w:tblGrid>
      <w:tr>
        <w:tc>
          <w:tcPr>
            <w:tcW w:type="dxa" w:w="8164"/>
            <w:gridSpan w:val="2"/>
            <w:shd w:val="clear" w:color="auto" w:fill="1F4E79"/>
          </w:tcPr>
          <w:p>
            <w:r>
              <w:rPr>
                <w:b/>
                <w:color w:val="FFFFFF"/>
                <w:sz w:val="19"/>
              </w:rPr>
              <w:t>Rudin, C. (2019) Stop explaining black box models. Nature Machine Intelligence, 1, 206–215.</w:t>
            </w:r>
          </w:p>
        </w:tc>
      </w:tr>
      <w:tr>
        <w:tc>
          <w:tcPr>
            <w:tcW w:type="dxa" w:w="1701"/>
            <w:shd w:val="clear" w:color="auto" w:fill="D9EAD3"/>
          </w:tcPr>
          <w:p>
            <w:r>
              <w:rPr>
                <w:b/>
                <w:sz w:val="16"/>
              </w:rPr>
              <w:t>Source basis</w:t>
            </w:r>
          </w:p>
        </w:tc>
        <w:tc>
          <w:tcPr>
            <w:tcW w:type="dxa" w:w="8164"/>
            <w:shd w:val="clear" w:color="auto" w:fill="D9EAD3"/>
          </w:tcPr>
          <w:p>
            <w:r>
              <w:rPr>
                <w:sz w:val="16"/>
              </w:rPr>
              <w:t>FULL TEXT read in this session; page numbers refer to the open-access version in Part G</w:t>
            </w:r>
          </w:p>
        </w:tc>
      </w:tr>
      <w:tr>
        <w:tc>
          <w:tcPr>
            <w:tcW w:type="dxa" w:w="1701"/>
          </w:tcPr>
          <w:p>
            <w:r>
              <w:rPr>
                <w:b/>
                <w:sz w:val="16"/>
              </w:rPr>
              <w:t>Summary</w:t>
            </w:r>
          </w:p>
        </w:tc>
        <w:tc>
          <w:tcPr>
            <w:tcW w:type="dxa" w:w="8164"/>
          </w:tcPr>
          <w:p>
            <w:r>
              <w:rPr>
                <w:sz w:val="16"/>
              </w:rPr>
              <w:t>Argues for inherently interpretable models in high-stakes settings.</w:t>
            </w:r>
          </w:p>
        </w:tc>
      </w:tr>
      <w:tr>
        <w:tc>
          <w:tcPr>
            <w:tcW w:type="dxa" w:w="1701"/>
          </w:tcPr>
          <w:p>
            <w:r>
              <w:rPr>
                <w:b/>
                <w:sz w:val="16"/>
              </w:rPr>
              <w:t>Dataset</w:t>
            </w:r>
          </w:p>
        </w:tc>
        <w:tc>
          <w:tcPr>
            <w:tcW w:type="dxa" w:w="8164"/>
          </w:tcPr>
          <w:p>
            <w:r>
              <w:rPr>
                <w:sz w:val="16"/>
              </w:rPr>
              <w:t>Examples from criminal justice, healthcare.</w:t>
            </w:r>
          </w:p>
        </w:tc>
      </w:tr>
      <w:tr>
        <w:tc>
          <w:tcPr>
            <w:tcW w:type="dxa" w:w="1701"/>
          </w:tcPr>
          <w:p>
            <w:r>
              <w:rPr>
                <w:b/>
                <w:sz w:val="16"/>
              </w:rPr>
              <w:t>Methodology</w:t>
            </w:r>
          </w:p>
        </w:tc>
        <w:tc>
          <w:tcPr>
            <w:tcW w:type="dxa" w:w="8164"/>
          </w:tcPr>
          <w:p>
            <w:r>
              <w:rPr>
                <w:sz w:val="16"/>
              </w:rPr>
              <w:t>Position paper.</w:t>
            </w:r>
          </w:p>
        </w:tc>
      </w:tr>
      <w:tr>
        <w:tc>
          <w:tcPr>
            <w:tcW w:type="dxa" w:w="1701"/>
          </w:tcPr>
          <w:p>
            <w:r>
              <w:rPr>
                <w:b/>
                <w:sz w:val="16"/>
              </w:rPr>
              <w:t>Results</w:t>
            </w:r>
          </w:p>
        </w:tc>
        <w:tc>
          <w:tcPr>
            <w:tcW w:type="dxa" w:w="8164"/>
          </w:tcPr>
          <w:p>
            <w:r>
              <w:rPr>
                <w:sz w:val="16"/>
              </w:rPr>
              <w:t>• Explaining black boxes can perpetuate bad practice; build interpretable models instead.</w:t>
            </w:r>
          </w:p>
        </w:tc>
      </w:tr>
      <w:tr>
        <w:tc>
          <w:tcPr>
            <w:tcW w:type="dxa" w:w="1701"/>
            <w:shd w:val="clear" w:color="auto" w:fill="EAF1FB"/>
          </w:tcPr>
          <w:p>
            <w:r>
              <w:rPr>
                <w:b/>
                <w:sz w:val="16"/>
              </w:rPr>
              <w:t>How it relates to MY study</w:t>
            </w:r>
          </w:p>
        </w:tc>
        <w:tc>
          <w:tcPr>
            <w:tcW w:type="dxa" w:w="8164"/>
            <w:shd w:val="clear" w:color="auto" w:fill="EAF1FB"/>
          </w:tcPr>
          <w:p>
            <w:r>
              <w:rPr>
                <w:sz w:val="16"/>
              </w:rPr>
              <w:t>Counter-argument: your benchmarks are interpretable; SHAP is used for research diagnosis.</w:t>
            </w:r>
          </w:p>
        </w:tc>
      </w:tr>
      <w:tr>
        <w:tc>
          <w:tcPr>
            <w:tcW w:type="dxa" w:w="1701"/>
            <w:shd w:val="clear" w:color="auto" w:fill="EAF1FB"/>
          </w:tcPr>
          <w:p>
            <w:r>
              <w:rPr>
                <w:b/>
                <w:sz w:val="16"/>
              </w:rPr>
              <w:t>Must read in the original</w:t>
            </w:r>
          </w:p>
        </w:tc>
        <w:tc>
          <w:tcPr>
            <w:tcW w:type="dxa" w:w="8164"/>
            <w:shd w:val="clear" w:color="auto" w:fill="EAF1FB"/>
          </w:tcPr>
          <w:p>
            <w:r>
              <w:rPr>
                <w:sz w:val="16"/>
              </w:rPr>
              <w:t>1 Introduction (p.1); 2 key issues with explainable ML (pp.2–6); conclusion (p.15).</w:t>
            </w:r>
          </w:p>
        </w:tc>
      </w:tr>
      <w:tr>
        <w:tc>
          <w:tcPr>
            <w:tcW w:type="dxa" w:w="1701"/>
          </w:tcPr>
          <w:p>
            <w:r>
              <w:rPr>
                <w:b/>
                <w:sz w:val="16"/>
              </w:rPr>
              <w:t>Can skim / skip</w:t>
            </w:r>
          </w:p>
        </w:tc>
        <w:tc>
          <w:tcPr>
            <w:tcW w:type="dxa" w:w="8164"/>
          </w:tcPr>
          <w:p>
            <w:r>
              <w:rPr>
                <w:sz w:val="16"/>
              </w:rPr>
              <w:t>5 algorithmic challenges (pp.9–15).</w:t>
            </w:r>
          </w:p>
        </w:tc>
      </w:tr>
      <w:tr>
        <w:tc>
          <w:tcPr>
            <w:tcW w:type="dxa" w:w="1701"/>
          </w:tcPr>
          <w:p>
            <w:r>
              <w:rPr>
                <w:b/>
                <w:sz w:val="16"/>
              </w:rPr>
              <w:t>Key terms</w:t>
            </w:r>
          </w:p>
        </w:tc>
        <w:tc>
          <w:tcPr>
            <w:tcW w:type="dxa" w:w="8164"/>
          </w:tcPr>
          <w:p>
            <w:r>
              <w:rPr>
                <w:sz w:val="16"/>
              </w:rPr>
              <w:t>interpretable vs explainable ML</w:t>
            </w:r>
          </w:p>
        </w:tc>
      </w:tr>
      <w:tr>
        <w:tc>
          <w:tcPr>
            <w:tcW w:type="dxa" w:w="1701"/>
          </w:tcPr>
          <w:p>
            <w:r>
              <w:rPr>
                <w:b/>
                <w:sz w:val="16"/>
              </w:rPr>
              <w:t>Strengths</w:t>
            </w:r>
          </w:p>
        </w:tc>
        <w:tc>
          <w:tcPr>
            <w:tcW w:type="dxa" w:w="8164"/>
          </w:tcPr>
          <w:p>
            <w:r>
              <w:rPr>
                <w:sz w:val="16"/>
              </w:rPr>
              <w:t>Influential.</w:t>
            </w:r>
          </w:p>
        </w:tc>
      </w:tr>
      <w:tr>
        <w:tc>
          <w:tcPr>
            <w:tcW w:type="dxa" w:w="1701"/>
          </w:tcPr>
          <w:p>
            <w:r>
              <w:rPr>
                <w:b/>
                <w:sz w:val="16"/>
              </w:rPr>
              <w:t>Weaknesses / critique</w:t>
            </w:r>
          </w:p>
        </w:tc>
        <w:tc>
          <w:tcPr>
            <w:tcW w:type="dxa" w:w="8164"/>
          </w:tcPr>
          <w:p>
            <w:r>
              <w:rPr>
                <w:sz w:val="16"/>
              </w:rPr>
              <w:t>Argumentative.</w:t>
            </w:r>
          </w:p>
        </w:tc>
      </w:tr>
      <w:tr>
        <w:tc>
          <w:tcPr>
            <w:tcW w:type="dxa" w:w="1701"/>
            <w:shd w:val="clear" w:color="auto" w:fill="EAF1FB"/>
          </w:tcPr>
          <w:p>
            <w:r>
              <w:rPr>
                <w:b/>
                <w:sz w:val="16"/>
              </w:rPr>
              <w:t>Use it as · where</w:t>
            </w:r>
          </w:p>
        </w:tc>
        <w:tc>
          <w:tcPr>
            <w:tcW w:type="dxa" w:w="8164"/>
            <w:shd w:val="clear" w:color="auto" w:fill="EAF1FB"/>
          </w:tcPr>
          <w:p>
            <w:r>
              <w:rPr>
                <w:sz w:val="16"/>
              </w:rPr>
              <w:t>Contrast · 2.6; Discussion</w:t>
            </w:r>
          </w:p>
        </w:tc>
      </w:tr>
    </w:tbl>
    <w:p>
      <w:pPr>
        <w:spacing w:after="80"/>
      </w:pPr>
    </w:p>
    <w:tbl>
      <w:tblPr>
        <w:tblStyle w:val="TableGrid"/>
        <w:tblW w:type="auto" w:w="0"/>
        <w:jc w:val="center"/>
        <w:tblLook w:firstColumn="1" w:firstRow="1" w:lastColumn="0" w:lastRow="0" w:noHBand="0" w:noVBand="1" w:val="04A0"/>
      </w:tblPr>
      <w:tblGrid>
        <w:gridCol w:w="5100"/>
        <w:gridCol w:w="5100"/>
      </w:tblGrid>
      <w:tr>
        <w:tc>
          <w:tcPr>
            <w:tcW w:type="dxa" w:w="8164"/>
            <w:gridSpan w:val="2"/>
            <w:shd w:val="clear" w:color="auto" w:fill="1F4E79"/>
          </w:tcPr>
          <w:p>
            <w:r>
              <w:rPr>
                <w:b/>
                <w:color w:val="FFFFFF"/>
                <w:sz w:val="19"/>
              </w:rPr>
              <w:t>Ahmed, A. (2026) LSTM-Attention-SHAP framework for volatility. SSRN preprint 6301119.</w:t>
            </w:r>
          </w:p>
        </w:tc>
      </w:tr>
      <w:tr>
        <w:tc>
          <w:tcPr>
            <w:tcW w:type="dxa" w:w="1701"/>
            <w:shd w:val="clear" w:color="auto" w:fill="FFF2CC"/>
          </w:tcPr>
          <w:p>
            <w:r>
              <w:rPr>
                <w:b/>
                <w:sz w:val="16"/>
              </w:rPr>
              <w:t>Source basis</w:t>
            </w:r>
          </w:p>
        </w:tc>
        <w:tc>
          <w:tcPr>
            <w:tcW w:type="dxa" w:w="8164"/>
            <w:shd w:val="clear" w:color="auto" w:fill="FFF2CC"/>
          </w:tcPr>
          <w:p>
            <w:r>
              <w:rPr>
                <w:sz w:val="16"/>
              </w:rPr>
              <w:t>ABSTRACT / summary read in this session; read the full paper before relying on details</w:t>
            </w:r>
          </w:p>
        </w:tc>
      </w:tr>
      <w:tr>
        <w:tc>
          <w:tcPr>
            <w:tcW w:type="dxa" w:w="1701"/>
          </w:tcPr>
          <w:p>
            <w:r>
              <w:rPr>
                <w:b/>
                <w:sz w:val="16"/>
              </w:rPr>
              <w:t>Summary</w:t>
            </w:r>
          </w:p>
        </w:tc>
        <w:tc>
          <w:tcPr>
            <w:tcW w:type="dxa" w:w="8164"/>
          </w:tcPr>
          <w:p>
            <w:r>
              <w:rPr>
                <w:sz w:val="16"/>
              </w:rPr>
              <w:t>Recent preprint combining LSTM, attention and SHAP for volatility.</w:t>
            </w:r>
          </w:p>
        </w:tc>
      </w:tr>
      <w:tr>
        <w:tc>
          <w:tcPr>
            <w:tcW w:type="dxa" w:w="1701"/>
          </w:tcPr>
          <w:p>
            <w:r>
              <w:rPr>
                <w:b/>
                <w:sz w:val="16"/>
              </w:rPr>
              <w:t>Dataset</w:t>
            </w:r>
          </w:p>
        </w:tc>
        <w:tc>
          <w:tcPr>
            <w:tcW w:type="dxa" w:w="8164"/>
          </w:tcPr>
          <w:p>
            <w:r>
              <w:rPr>
                <w:sz w:val="16"/>
              </w:rPr>
              <w:t>Five asset classes, 2018–2024.</w:t>
            </w:r>
          </w:p>
        </w:tc>
      </w:tr>
      <w:tr>
        <w:tc>
          <w:tcPr>
            <w:tcW w:type="dxa" w:w="1701"/>
          </w:tcPr>
          <w:p>
            <w:r>
              <w:rPr>
                <w:b/>
                <w:sz w:val="16"/>
              </w:rPr>
              <w:t>Methodology</w:t>
            </w:r>
          </w:p>
        </w:tc>
        <w:tc>
          <w:tcPr>
            <w:tcW w:type="dxa" w:w="8164"/>
          </w:tcPr>
          <w:p>
            <w:r>
              <w:rPr>
                <w:sz w:val="16"/>
              </w:rPr>
              <w:t>LSTM + attention + SHAP.</w:t>
            </w:r>
          </w:p>
        </w:tc>
      </w:tr>
      <w:tr>
        <w:tc>
          <w:tcPr>
            <w:tcW w:type="dxa" w:w="1701"/>
          </w:tcPr>
          <w:p>
            <w:r>
              <w:rPr>
                <w:b/>
                <w:sz w:val="16"/>
              </w:rPr>
              <w:t>Results</w:t>
            </w:r>
          </w:p>
        </w:tc>
        <w:tc>
          <w:tcPr>
            <w:tcW w:type="dxa" w:w="8164"/>
          </w:tcPr>
          <w:p>
            <w:r>
              <w:rPr>
                <w:sz w:val="16"/>
              </w:rPr>
              <w:t>• Reported ≈28.6% lower RMSE than GARCH(1,1); SHAP ranks a geopolitical-risk index then VIX (verify).</w:t>
            </w:r>
          </w:p>
        </w:tc>
      </w:tr>
      <w:tr>
        <w:tc>
          <w:tcPr>
            <w:tcW w:type="dxa" w:w="1701"/>
            <w:shd w:val="clear" w:color="auto" w:fill="EAF1FB"/>
          </w:tcPr>
          <w:p>
            <w:r>
              <w:rPr>
                <w:b/>
                <w:sz w:val="16"/>
              </w:rPr>
              <w:t>How it relates to MY study</w:t>
            </w:r>
          </w:p>
        </w:tc>
        <w:tc>
          <w:tcPr>
            <w:tcW w:type="dxa" w:w="8164"/>
            <w:shd w:val="clear" w:color="auto" w:fill="EAF1FB"/>
          </w:tcPr>
          <w:p>
            <w:r>
              <w:rPr>
                <w:sz w:val="16"/>
              </w:rPr>
              <w:t>Closest explainable-volatility work; descriptive SHAP, no cross-crisis test.</w:t>
            </w:r>
          </w:p>
        </w:tc>
      </w:tr>
      <w:tr>
        <w:tc>
          <w:tcPr>
            <w:tcW w:type="dxa" w:w="1701"/>
            <w:shd w:val="clear" w:color="auto" w:fill="EAF1FB"/>
          </w:tcPr>
          <w:p>
            <w:r>
              <w:rPr>
                <w:b/>
                <w:sz w:val="16"/>
              </w:rPr>
              <w:t>Must read in the original</w:t>
            </w:r>
          </w:p>
        </w:tc>
        <w:tc>
          <w:tcPr>
            <w:tcW w:type="dxa" w:w="8164"/>
            <w:shd w:val="clear" w:color="auto" w:fill="EAF1FB"/>
          </w:tcPr>
          <w:p>
            <w:r>
              <w:rPr>
                <w:sz w:val="16"/>
              </w:rPr>
              <w:t>Abstract, method, SHAP results.</w:t>
            </w:r>
          </w:p>
        </w:tc>
      </w:tr>
      <w:tr>
        <w:tc>
          <w:tcPr>
            <w:tcW w:type="dxa" w:w="1701"/>
          </w:tcPr>
          <w:p>
            <w:r>
              <w:rPr>
                <w:b/>
                <w:sz w:val="16"/>
              </w:rPr>
              <w:t>Can skim / skip</w:t>
            </w:r>
          </w:p>
        </w:tc>
        <w:tc>
          <w:tcPr>
            <w:tcW w:type="dxa" w:w="8164"/>
          </w:tcPr>
          <w:p>
            <w:r>
              <w:rPr>
                <w:sz w:val="16"/>
              </w:rPr>
              <w:t>—</w:t>
            </w:r>
          </w:p>
        </w:tc>
      </w:tr>
      <w:tr>
        <w:tc>
          <w:tcPr>
            <w:tcW w:type="dxa" w:w="1701"/>
          </w:tcPr>
          <w:p>
            <w:r>
              <w:rPr>
                <w:b/>
                <w:sz w:val="16"/>
              </w:rPr>
              <w:t>Key terms</w:t>
            </w:r>
          </w:p>
        </w:tc>
        <w:tc>
          <w:tcPr>
            <w:tcW w:type="dxa" w:w="8164"/>
          </w:tcPr>
          <w:p>
            <w:r>
              <w:rPr>
                <w:sz w:val="16"/>
              </w:rPr>
              <w:t>attention</w:t>
            </w:r>
          </w:p>
        </w:tc>
      </w:tr>
      <w:tr>
        <w:tc>
          <w:tcPr>
            <w:tcW w:type="dxa" w:w="1701"/>
          </w:tcPr>
          <w:p>
            <w:r>
              <w:rPr>
                <w:b/>
                <w:sz w:val="16"/>
              </w:rPr>
              <w:t>Strengths</w:t>
            </w:r>
          </w:p>
        </w:tc>
        <w:tc>
          <w:tcPr>
            <w:tcW w:type="dxa" w:w="8164"/>
          </w:tcPr>
          <w:p>
            <w:r>
              <w:rPr>
                <w:sz w:val="16"/>
              </w:rPr>
              <w:t>Recent.</w:t>
            </w:r>
          </w:p>
        </w:tc>
      </w:tr>
      <w:tr>
        <w:tc>
          <w:tcPr>
            <w:tcW w:type="dxa" w:w="1701"/>
          </w:tcPr>
          <w:p>
            <w:r>
              <w:rPr>
                <w:b/>
                <w:sz w:val="16"/>
              </w:rPr>
              <w:t>Weaknesses / critique</w:t>
            </w:r>
          </w:p>
        </w:tc>
        <w:tc>
          <w:tcPr>
            <w:tcW w:type="dxa" w:w="8164"/>
          </w:tcPr>
          <w:p>
            <w:r>
              <w:rPr>
                <w:sz w:val="16"/>
              </w:rPr>
              <w:t>Not peer-reviewed; RMSE only.</w:t>
            </w:r>
          </w:p>
        </w:tc>
      </w:tr>
      <w:tr>
        <w:tc>
          <w:tcPr>
            <w:tcW w:type="dxa" w:w="1701"/>
            <w:shd w:val="clear" w:color="auto" w:fill="EAF1FB"/>
          </w:tcPr>
          <w:p>
            <w:r>
              <w:rPr>
                <w:b/>
                <w:sz w:val="16"/>
              </w:rPr>
              <w:t>Use it as · where</w:t>
            </w:r>
          </w:p>
        </w:tc>
        <w:tc>
          <w:tcPr>
            <w:tcW w:type="dxa" w:w="8164"/>
            <w:shd w:val="clear" w:color="auto" w:fill="EAF1FB"/>
          </w:tcPr>
          <w:p>
            <w:r>
              <w:rPr>
                <w:sz w:val="16"/>
              </w:rPr>
              <w:t>Contrast · 2.6; 2.7 gap</w:t>
            </w:r>
          </w:p>
        </w:tc>
      </w:tr>
    </w:tbl>
    <w:p>
      <w:pPr>
        <w:spacing w:after="80"/>
      </w:pPr>
    </w:p>
    <w:tbl>
      <w:tblPr>
        <w:tblStyle w:val="TableGrid"/>
        <w:tblW w:type="auto" w:w="0"/>
        <w:jc w:val="center"/>
        <w:tblLook w:firstColumn="1" w:firstRow="1" w:lastColumn="0" w:lastRow="0" w:noHBand="0" w:noVBand="1" w:val="04A0"/>
      </w:tblPr>
      <w:tblGrid>
        <w:gridCol w:w="5100"/>
        <w:gridCol w:w="5100"/>
      </w:tblGrid>
      <w:tr>
        <w:tc>
          <w:tcPr>
            <w:tcW w:type="dxa" w:w="8164"/>
            <w:gridSpan w:val="2"/>
            <w:shd w:val="clear" w:color="auto" w:fill="1F4E79"/>
          </w:tcPr>
          <w:p>
            <w:r>
              <w:rPr>
                <w:color w:val="FFFFFF"/>
                <w:sz w:val="19"/>
                <w:b/>
              </w:rPr>
              <w:t xml:space="preserve">Feng, L., Shi, J. &amp; Kutan, A.M. (2026) Your fear is (partly) mine: the role of non-VIX volatility in forecasting regional stock market volatility using interpretable machine learning. JIMF, 160, 103467.</w:t>
            </w:r>
          </w:p>
        </w:tc>
      </w:tr>
      <w:tr>
        <w:tc>
          <w:tcPr>
            <w:tcW w:type="dxa" w:w="1701"/>
            <w:shd w:val="clear" w:color="auto" w:fill="FFF2CC"/>
          </w:tcPr>
          <w:p>
            <w:r>
              <w:rPr>
                <w:b/>
                <w:sz w:val="16"/>
              </w:rPr>
              <w:t>Source basis</w:t>
            </w:r>
          </w:p>
        </w:tc>
        <w:tc>
          <w:tcPr>
            <w:tcW w:type="dxa" w:w="8164"/>
            <w:shd w:val="clear" w:color="auto" w:fill="FFF2CC"/>
          </w:tcPr>
          <w:p>
            <w:r>
              <w:rPr>
                <w:sz w:val="16"/>
              </w:rPr>
              <w:t>ABSTRACT / summary read in this session; read the full paper before relying on details</w:t>
            </w:r>
          </w:p>
        </w:tc>
      </w:tr>
      <w:tr>
        <w:tc>
          <w:tcPr>
            <w:tcW w:type="dxa" w:w="1701"/>
          </w:tcPr>
          <w:p>
            <w:r>
              <w:rPr>
                <w:b/>
                <w:sz w:val="16"/>
              </w:rPr>
              <w:t>Summary</w:t>
            </w:r>
          </w:p>
        </w:tc>
        <w:tc>
          <w:tcPr>
            <w:tcW w:type="dxa" w:w="8164"/>
          </w:tcPr>
          <w:p>
            <w:r>
              <w:rPr>
                <w:sz w:val="16"/>
                <w:b w:val="0"/>
              </w:rPr>
              <w:t xml:space="preserve">Asks how much other markets’ volatility indices — not only the US VIX — help forecast a market’s volatility, using automated machine learning with interpretation.</w:t>
            </w:r>
          </w:p>
        </w:tc>
      </w:tr>
      <w:tr>
        <w:tc>
          <w:tcPr>
            <w:tcW w:type="dxa" w:w="1701"/>
          </w:tcPr>
          <w:p>
            <w:r>
              <w:rPr>
                <w:b/>
                <w:sz w:val="16"/>
              </w:rPr>
              <w:t>Dataset</w:t>
            </w:r>
          </w:p>
        </w:tc>
        <w:tc>
          <w:tcPr>
            <w:tcW w:type="dxa" w:w="8164"/>
          </w:tcPr>
          <w:p>
            <w:r>
              <w:rPr>
                <w:sz w:val="16"/>
                <w:b w:val="0"/>
              </w:rPr>
              <w:t xml:space="preserve">Five-minute data, 2 Mar 2015 – 1 Mar 2024; four developed markets (US, Germany, Japan, Hong Kong) and two emerging markets (China, India).</w:t>
            </w:r>
          </w:p>
        </w:tc>
      </w:tr>
      <w:tr>
        <w:tc>
          <w:tcPr>
            <w:tcW w:type="dxa" w:w="1701"/>
          </w:tcPr>
          <w:p>
            <w:r>
              <w:rPr>
                <w:b/>
                <w:sz w:val="16"/>
              </w:rPr>
              <w:t>Methodology</w:t>
            </w:r>
          </w:p>
        </w:tc>
        <w:tc>
          <w:tcPr>
            <w:tcW w:type="dxa" w:w="8164"/>
          </w:tcPr>
          <w:p>
            <w:r>
              <w:rPr>
                <w:sz w:val="16"/>
                <w:b w:val="0"/>
              </w:rPr>
              <w:t xml:space="preserve">Dynamic automated machine-learning models; interpretable-ML analysis of each predictor’s contribution (check the exact method when you read it).</w:t>
            </w:r>
          </w:p>
        </w:tc>
      </w:tr>
      <w:tr>
        <w:tc>
          <w:tcPr>
            <w:tcW w:type="dxa" w:w="1701"/>
          </w:tcPr>
          <w:p>
            <w:r>
              <w:rPr>
                <w:b/>
                <w:sz w:val="16"/>
              </w:rPr>
              <w:t>Results</w:t>
            </w:r>
          </w:p>
        </w:tc>
        <w:tc>
          <w:tcPr>
            <w:tcW w:type="dxa" w:w="8164"/>
          </w:tcPr>
          <w:p>
            <w:r>
              <w:rPr>
                <w:sz w:val="16"/>
                <w:b w:val="0"/>
              </w:rPr>
              <w:t xml:space="preserve">• Local volatility indices forecast domestic volatility best, especially in stable periods.</w:t>
            </w:r>
          </w:p>
          <w:p>
            <w:r>
              <w:rPr>
                <w:sz w:val="16"/>
                <w:b w:val="0"/>
              </w:rPr>
              <w:t xml:space="preserve">• The VIX spills over strongly, less so to emerging markets.</w:t>
            </w:r>
          </w:p>
          <w:p>
            <w:r>
              <w:rPr>
                <w:sz w:val="16"/>
                <w:b w:val="0"/>
              </w:rPr>
              <w:t xml:space="preserve">• After COVID-19, China’s volatility index overtook the VIX in predictive role.</w:t>
            </w:r>
          </w:p>
          <w:p>
            <w:r>
              <w:rPr>
                <w:sz w:val="16"/>
                <w:b w:val="0"/>
              </w:rPr>
              <w:t xml:space="preserve">• Spillovers are asymmetric and stronger in turbulent periods.</w:t>
            </w:r>
          </w:p>
        </w:tc>
      </w:tr>
      <w:tr>
        <w:tc>
          <w:tcPr>
            <w:tcW w:type="dxa" w:w="1701"/>
            <w:shd w:val="clear" w:color="auto" w:fill="EAF1FB"/>
          </w:tcPr>
          <w:p>
            <w:r>
              <w:rPr>
                <w:b/>
                <w:sz w:val="16"/>
              </w:rPr>
              <w:t>How it relates to MY study</w:t>
            </w:r>
          </w:p>
        </w:tc>
        <w:tc>
          <w:tcPr>
            <w:tcW w:type="dxa" w:w="8164"/>
            <w:shd w:val="clear" w:color="auto" w:fill="EAF1FB"/>
          </w:tcPr>
          <w:p>
            <w:r>
              <w:rPr>
                <w:sz w:val="16"/>
                <w:b w:val="0"/>
              </w:rPr>
              <w:t xml:space="preserve">The closest recent study to your channel shares: foreign vs domestic contributions to volatility forecasts that change with market conditions. Their ‘local dominates in calm periods’ parallels your domestic share of about 0.5.</w:t>
            </w:r>
          </w:p>
        </w:tc>
      </w:tr>
      <w:tr>
        <w:tc>
          <w:tcPr>
            <w:tcW w:type="dxa" w:w="1701"/>
            <w:shd w:val="clear" w:color="auto" w:fill="EAF1FB"/>
          </w:tcPr>
          <w:p>
            <w:r>
              <w:rPr>
                <w:b/>
                <w:sz w:val="16"/>
              </w:rPr>
              <w:t>Must read in the original</w:t>
            </w:r>
          </w:p>
        </w:tc>
        <w:tc>
          <w:tcPr>
            <w:tcW w:type="dxa" w:w="8164"/>
            <w:shd w:val="clear" w:color="auto" w:fill="EAF1FB"/>
          </w:tcPr>
          <w:p>
            <w:r>
              <w:rPr>
                <w:sz w:val="16"/>
                <w:b w:val="0"/>
              </w:rPr>
              <w:t xml:space="preserve">Abstract; data and model section; the interpretation results (full text via the DBS library).</w:t>
            </w:r>
          </w:p>
        </w:tc>
      </w:tr>
      <w:tr>
        <w:tc>
          <w:tcPr>
            <w:tcW w:type="dxa" w:w="1701"/>
          </w:tcPr>
          <w:p>
            <w:r>
              <w:rPr>
                <w:b/>
                <w:sz w:val="16"/>
              </w:rPr>
              <w:t>Can skim / skip</w:t>
            </w:r>
          </w:p>
        </w:tc>
        <w:tc>
          <w:tcPr>
            <w:tcW w:type="dxa" w:w="8164"/>
          </w:tcPr>
          <w:p>
            <w:r>
              <w:rPr>
                <w:sz w:val="16"/>
                <w:b w:val="0"/>
              </w:rPr>
              <w:t xml:space="preserve">Market-by-market detail beyond the US and Germany.</w:t>
            </w:r>
          </w:p>
        </w:tc>
      </w:tr>
      <w:tr>
        <w:tc>
          <w:tcPr>
            <w:tcW w:type="dxa" w:w="1701"/>
          </w:tcPr>
          <w:p>
            <w:r>
              <w:rPr>
                <w:b/>
                <w:sz w:val="16"/>
              </w:rPr>
              <w:t>Key terms</w:t>
            </w:r>
          </w:p>
        </w:tc>
        <w:tc>
          <w:tcPr>
            <w:tcW w:type="dxa" w:w="8164"/>
          </w:tcPr>
          <w:p>
            <w:r>
              <w:rPr>
                <w:sz w:val="16"/>
                <w:b w:val="0"/>
              </w:rPr>
              <w:t xml:space="preserve">VIX; implied-volatility index; interpretable machine learning; spillover asymmetry</w:t>
            </w:r>
          </w:p>
        </w:tc>
      </w:tr>
      <w:tr>
        <w:tc>
          <w:tcPr>
            <w:tcW w:type="dxa" w:w="1701"/>
          </w:tcPr>
          <w:p>
            <w:r>
              <w:rPr>
                <w:b/>
                <w:sz w:val="16"/>
              </w:rPr>
              <w:t>Strengths</w:t>
            </w:r>
          </w:p>
        </w:tc>
        <w:tc>
          <w:tcPr>
            <w:tcW w:type="dxa" w:w="8164"/>
          </w:tcPr>
          <w:p>
            <w:r>
              <w:rPr>
                <w:sz w:val="16"/>
                <w:b w:val="0"/>
              </w:rPr>
              <w:t xml:space="preserve">Recent; strong journal; cross-market; interpretable.</w:t>
            </w:r>
          </w:p>
        </w:tc>
      </w:tr>
      <w:tr>
        <w:tc>
          <w:tcPr>
            <w:tcW w:type="dxa" w:w="1701"/>
          </w:tcPr>
          <w:p>
            <w:r>
              <w:rPr>
                <w:b/>
                <w:sz w:val="16"/>
              </w:rPr>
              <w:t>Weaknesses / critique</w:t>
            </w:r>
          </w:p>
        </w:tc>
        <w:tc>
          <w:tcPr>
            <w:tcW w:type="dxa" w:w="8164"/>
          </w:tcPr>
          <w:p>
            <w:r>
              <w:rPr>
                <w:sz w:val="16"/>
                <w:b w:val="0"/>
              </w:rPr>
              <w:t xml:space="preserve">Uses implied-volatility indices (no Irish equivalent); only the abstract was read in this session.</w:t>
            </w:r>
          </w:p>
        </w:tc>
      </w:tr>
      <w:tr>
        <w:tc>
          <w:tcPr>
            <w:tcW w:type="dxa" w:w="1701"/>
            <w:shd w:val="clear" w:color="auto" w:fill="EAF1FB"/>
          </w:tcPr>
          <w:p>
            <w:r>
              <w:rPr>
                <w:b/>
                <w:sz w:val="16"/>
              </w:rPr>
              <w:t>Use it as · where</w:t>
            </w:r>
          </w:p>
        </w:tc>
        <w:tc>
          <w:tcPr>
            <w:tcW w:type="dxa" w:w="8164"/>
            <w:shd w:val="clear" w:color="auto" w:fill="EAF1FB"/>
          </w:tcPr>
          <w:p>
            <w:r>
              <w:rPr>
                <w:sz w:val="16"/>
                <w:b w:val="0"/>
              </w:rPr>
              <w:t xml:space="preserve">Positioning · 2.6 and 2.7 (must cite)</w:t>
            </w:r>
          </w:p>
        </w:tc>
      </w:tr>
    </w:tbl>
    <w:p>
      <w:pPr>
        <w:spacing w:after="80"/>
      </w:pPr>
    </w:p>
    <w:p>
      <w:pPr>
        <w:pStyle w:val="Heading1"/>
      </w:pPr>
      <w:r>
        <w:rPr>
          <w:color w:val="1F4E79"/>
        </w:rPr>
        <w:t xml:space="preserve">E. Reading order (about 28 hours in total)</w:t>
      </w:r>
    </w:p>
    <w:tbl>
      <w:tblPr>
        <w:tblStyle w:val="TableGrid"/>
        <w:tblW w:type="auto" w:w="0"/>
        <w:jc w:val="center"/>
        <w:tblLook w:firstColumn="1" w:firstRow="1" w:lastColumn="0" w:lastRow="0" w:noHBand="0" w:noVBand="1" w:val="04A0"/>
      </w:tblPr>
      <w:tblGrid>
        <w:gridCol w:w="3400"/>
        <w:gridCol w:w="3400"/>
        <w:gridCol w:w="3400"/>
      </w:tblGrid>
      <w:tr>
        <w:tc>
          <w:tcPr>
            <w:tcW w:type="dxa" w:w="850"/>
            <w:shd w:val="clear" w:color="auto" w:fill="1F4E79"/>
          </w:tcPr>
          <w:p>
            <w:r>
              <w:rPr>
                <w:b/>
                <w:color w:val="FFFFFF"/>
                <w:sz w:val="17"/>
              </w:rPr>
              <w:t>Week</w:t>
            </w:r>
          </w:p>
        </w:tc>
        <w:tc>
          <w:tcPr>
            <w:tcW w:type="dxa" w:w="7654"/>
            <w:shd w:val="clear" w:color="auto" w:fill="1F4E79"/>
          </w:tcPr>
          <w:p>
            <w:r>
              <w:rPr>
                <w:b/>
                <w:color w:val="FFFFFF"/>
                <w:sz w:val="17"/>
              </w:rPr>
              <w:t>Read (sections from the cards)</w:t>
            </w:r>
          </w:p>
        </w:tc>
        <w:tc>
          <w:tcPr>
            <w:tcW w:type="dxa" w:w="1361"/>
            <w:shd w:val="clear" w:color="auto" w:fill="1F4E79"/>
          </w:tcPr>
          <w:p>
            <w:r>
              <w:rPr>
                <w:b/>
                <w:color w:val="FFFFFF"/>
                <w:sz w:val="17"/>
              </w:rPr>
              <w:t>Hours</w:t>
            </w:r>
          </w:p>
        </w:tc>
      </w:tr>
      <w:tr>
        <w:tc>
          <w:tcPr>
            <w:tcW w:type="dxa" w:w="850"/>
          </w:tcPr>
          <w:p>
            <w:r>
              <w:rPr>
                <w:sz w:val="17"/>
              </w:rPr>
              <w:t>1</w:t>
            </w:r>
          </w:p>
        </w:tc>
        <w:tc>
          <w:tcPr>
            <w:tcW w:type="dxa" w:w="7654"/>
          </w:tcPr>
          <w:p>
            <w:r>
              <w:rPr>
                <w:sz w:val="17"/>
              </w:rPr>
              <w:t>Minsky (all); Reinhart &amp; Rogoff pp.2–15; Fama/Cont summaries; Kelly</w:t>
            </w:r>
          </w:p>
        </w:tc>
        <w:tc>
          <w:tcPr>
            <w:tcW w:type="dxa" w:w="1361"/>
          </w:tcPr>
          <w:p>
            <w:r>
              <w:rPr>
                <w:sz w:val="17"/>
              </w:rPr>
              <w:t>4</w:t>
            </w:r>
          </w:p>
        </w:tc>
      </w:tr>
      <w:tr>
        <w:tc>
          <w:tcPr>
            <w:tcW w:type="dxa" w:w="850"/>
          </w:tcPr>
          <w:p>
            <w:r>
              <w:rPr>
                <w:sz w:val="17"/>
              </w:rPr>
              <w:t>1–2</w:t>
            </w:r>
          </w:p>
        </w:tc>
        <w:tc>
          <w:tcPr>
            <w:tcW w:type="dxa" w:w="7654"/>
          </w:tcPr>
          <w:p>
            <w:r>
              <w:rPr>
                <w:sz w:val="17"/>
              </w:rPr>
              <w:t>Brunnermeier pp.4–30; Bekaert pp.8–12, 20–26; Acharya pp.2–4, 22–40; official report summaries</w:t>
            </w:r>
          </w:p>
        </w:tc>
        <w:tc>
          <w:tcPr>
            <w:tcW w:type="dxa" w:w="1361"/>
          </w:tcPr>
          <w:p>
            <w:r>
              <w:rPr>
                <w:sz w:val="17"/>
              </w:rPr>
              <w:t>6</w:t>
            </w:r>
          </w:p>
        </w:tc>
      </w:tr>
      <w:tr>
        <w:tc>
          <w:tcPr>
            <w:tcW w:type="dxa" w:w="850"/>
          </w:tcPr>
          <w:p>
            <w:r>
              <w:rPr>
                <w:sz w:val="17"/>
              </w:rPr>
              <w:t>2</w:t>
            </w:r>
          </w:p>
        </w:tc>
        <w:tc>
          <w:tcPr>
            <w:tcW w:type="dxa" w:w="7654"/>
          </w:tcPr>
          <w:p>
            <w:r>
              <w:rPr>
                <w:sz w:val="17"/>
              </w:rPr>
              <w:t>Corbet &amp; Twomey (all); Lane; Whelan</w:t>
            </w:r>
          </w:p>
        </w:tc>
        <w:tc>
          <w:tcPr>
            <w:tcW w:type="dxa" w:w="1361"/>
          </w:tcPr>
          <w:p>
            <w:r>
              <w:rPr>
                <w:sz w:val="17"/>
              </w:rPr>
              <w:t>3</w:t>
            </w:r>
          </w:p>
        </w:tc>
      </w:tr>
      <w:tr>
        <w:tc>
          <w:tcPr>
            <w:tcW w:type="dxa" w:w="850"/>
          </w:tcPr>
          <w:p>
            <w:r>
              <w:rPr>
                <w:sz w:val="17"/>
              </w:rPr>
              <w:t>3</w:t>
            </w:r>
          </w:p>
        </w:tc>
        <w:tc>
          <w:tcPr>
            <w:tcW w:type="dxa" w:w="7654"/>
          </w:tcPr>
          <w:p>
            <w:r>
              <w:rPr>
                <w:sz w:val="17"/>
              </w:rPr>
              <w:t>Forbes &amp; Rigobon pp.3–16, 22–24, 36–37; Diebold &amp; Yilmaz pp.3–10; Engle et al.; Hamao</w:t>
            </w:r>
          </w:p>
        </w:tc>
        <w:tc>
          <w:tcPr>
            <w:tcW w:type="dxa" w:w="1361"/>
          </w:tcPr>
          <w:p>
            <w:r>
              <w:rPr>
                <w:sz w:val="17"/>
              </w:rPr>
              <w:t>4</w:t>
            </w:r>
          </w:p>
        </w:tc>
      </w:tr>
      <w:tr>
        <w:tc>
          <w:tcPr>
            <w:tcW w:type="dxa" w:w="850"/>
          </w:tcPr>
          <w:p>
            <w:r>
              <w:rPr>
                <w:sz w:val="17"/>
              </w:rPr>
              <w:t>3–4</w:t>
            </w:r>
          </w:p>
        </w:tc>
        <w:tc>
          <w:tcPr>
            <w:tcW w:type="dxa" w:w="7654"/>
          </w:tcPr>
          <w:p>
            <w:r>
              <w:rPr>
                <w:sz w:val="17"/>
              </w:rPr>
              <w:t>Patton pp.1–8; Corsi; Hansen &amp; Lunde; Bucci pp.4–6, 18–27; Christensen pp.2–5, 16–29</w:t>
            </w:r>
          </w:p>
        </w:tc>
        <w:tc>
          <w:tcPr>
            <w:tcW w:type="dxa" w:w="1361"/>
          </w:tcPr>
          <w:p>
            <w:r>
              <w:rPr>
                <w:sz w:val="17"/>
              </w:rPr>
              <w:t>5</w:t>
            </w:r>
          </w:p>
        </w:tc>
      </w:tr>
      <w:tr>
        <w:tc>
          <w:tcPr>
            <w:tcW w:type="dxa" w:w="850"/>
          </w:tcPr>
          <w:p>
            <w:r>
              <w:rPr>
                <w:sz w:val="17"/>
              </w:rPr>
              <w:t>4–5</w:t>
            </w:r>
          </w:p>
        </w:tc>
        <w:tc>
          <w:tcPr>
            <w:tcW w:type="dxa" w:w="7654"/>
          </w:tcPr>
          <w:p>
            <w:r>
              <w:rPr>
                <w:sz w:val="17"/>
              </w:rPr>
              <w:t>Lundberg &amp; Lee pp.1–9; Sundararajan pp.2–5; Aas pp.1–9; Kumar pp.2–9; Rudin pp.1–6</w:t>
            </w:r>
          </w:p>
        </w:tc>
        <w:tc>
          <w:tcPr>
            <w:tcW w:type="dxa" w:w="1361"/>
          </w:tcPr>
          <w:p>
            <w:r>
              <w:rPr>
                <w:sz w:val="17"/>
              </w:rPr>
              <w:t>3</w:t>
            </w:r>
          </w:p>
        </w:tc>
      </w:tr>
      <w:tr>
        <w:tc>
          <w:tcPr>
            <w:tcW w:type="dxa" w:w="850"/>
          </w:tcPr>
          <w:p>
            <w:r>
              <w:rPr>
                <w:sz w:val="17"/>
                <w:b w:val="0"/>
              </w:rPr>
              <w:t xml:space="preserve">Now</w:t>
            </w:r>
          </w:p>
        </w:tc>
        <w:tc>
          <w:tcPr>
            <w:tcW w:type="dxa" w:w="7654"/>
          </w:tcPr>
          <w:p>
            <w:r>
              <w:rPr>
                <w:sz w:val="17"/>
                <w:b w:val="0"/>
              </w:rPr>
              <w:t xml:space="preserve">Diebold &amp; Yilmaz (2012) pp.58–61; Danielsson et al. (2018) pp.3–6, 13–14, 19–22; Pesaran &amp; Shin (1998); Feng et al. (2026); Brini (2026)</w:t>
            </w:r>
          </w:p>
        </w:tc>
        <w:tc>
          <w:tcPr>
            <w:tcW w:type="dxa" w:w="1361"/>
          </w:tcPr>
          <w:p>
            <w:r>
              <w:rPr>
                <w:sz w:val="17"/>
                <w:b w:val="0"/>
              </w:rPr>
              <w:t xml:space="preserve">3</w:t>
            </w:r>
          </w:p>
        </w:tc>
      </w:tr>
    </w:tbl>
    <w:p>
      <w:pPr>
        <w:spacing w:after="40"/>
      </w:pPr>
    </w:p>
    <w:p>
      <w:pPr>
        <w:pStyle w:val="Heading1"/>
      </w:pPr>
      <w:r>
        <w:rPr>
          <w:color w:val="1F4E79"/>
        </w:rPr>
        <w:t>F. From notes to your own paragraph</w:t>
      </w:r>
    </w:p>
    <w:tbl>
      <w:tblPr>
        <w:tblStyle w:val="TableGrid"/>
        <w:tblW w:type="auto" w:w="0"/>
        <w:jc w:val="center"/>
        <w:tblLook w:firstColumn="1" w:firstRow="1" w:lastColumn="0" w:lastRow="0" w:noHBand="0" w:noVBand="1" w:val="04A0"/>
      </w:tblPr>
      <w:tblGrid>
        <w:gridCol w:w="3400"/>
        <w:gridCol w:w="3400"/>
        <w:gridCol w:w="3400"/>
      </w:tblGrid>
      <w:tr>
        <w:tc>
          <w:tcPr>
            <w:tcW w:type="dxa" w:w="1247"/>
            <w:shd w:val="clear" w:color="auto" w:fill="1F4E79"/>
          </w:tcPr>
          <w:p>
            <w:r>
              <w:rPr>
                <w:b/>
                <w:color w:val="FFFFFF"/>
                <w:sz w:val="17"/>
              </w:rPr>
              <w:t>Part</w:t>
            </w:r>
          </w:p>
        </w:tc>
        <w:tc>
          <w:tcPr>
            <w:tcW w:type="dxa" w:w="2041"/>
            <w:shd w:val="clear" w:color="auto" w:fill="1F4E79"/>
          </w:tcPr>
          <w:p>
            <w:r>
              <w:rPr>
                <w:b/>
                <w:color w:val="FFFFFF"/>
                <w:sz w:val="17"/>
              </w:rPr>
              <w:t>What it does</w:t>
            </w:r>
          </w:p>
        </w:tc>
        <w:tc>
          <w:tcPr>
            <w:tcW w:type="dxa" w:w="6576"/>
            <w:shd w:val="clear" w:color="auto" w:fill="1F4E79"/>
          </w:tcPr>
          <w:p>
            <w:r>
              <w:rPr>
                <w:b/>
                <w:color w:val="FFFFFF"/>
                <w:sz w:val="17"/>
              </w:rPr>
              <w:t>Planning example (bullet notes, not text to copy)</w:t>
            </w:r>
          </w:p>
        </w:tc>
      </w:tr>
      <w:tr>
        <w:tc>
          <w:tcPr>
            <w:tcW w:type="dxa" w:w="1247"/>
          </w:tcPr>
          <w:p>
            <w:r>
              <w:rPr>
                <w:sz w:val="17"/>
              </w:rPr>
              <w:t>1 Point</w:t>
            </w:r>
          </w:p>
        </w:tc>
        <w:tc>
          <w:tcPr>
            <w:tcW w:type="dxa" w:w="2041"/>
          </w:tcPr>
          <w:p>
            <w:r>
              <w:rPr>
                <w:sz w:val="17"/>
              </w:rPr>
              <w:t>Your claim</w:t>
            </w:r>
          </w:p>
        </w:tc>
        <w:tc>
          <w:tcPr>
            <w:tcW w:type="dxa" w:w="6576"/>
          </w:tcPr>
          <w:p>
            <w:r>
              <w:rPr>
                <w:sz w:val="17"/>
              </w:rPr>
              <w:t>GFC reached Ireland through both a US and a domestic channel</w:t>
            </w:r>
          </w:p>
        </w:tc>
      </w:tr>
      <w:tr>
        <w:tc>
          <w:tcPr>
            <w:tcW w:type="dxa" w:w="1247"/>
          </w:tcPr>
          <w:p>
            <w:r>
              <w:rPr>
                <w:sz w:val="17"/>
              </w:rPr>
              <w:t>2 Evidence</w:t>
            </w:r>
          </w:p>
        </w:tc>
        <w:tc>
          <w:tcPr>
            <w:tcW w:type="dxa" w:w="2041"/>
          </w:tcPr>
          <w:p>
            <w:r>
              <w:rPr>
                <w:sz w:val="17"/>
              </w:rPr>
              <w:t>Two or more sources</w:t>
            </w:r>
          </w:p>
        </w:tc>
        <w:tc>
          <w:tcPr>
            <w:tcW w:type="dxa" w:w="6576"/>
          </w:tcPr>
          <w:p>
            <w:r>
              <w:rPr>
                <w:sz w:val="17"/>
              </w:rPr>
              <w:t>Bekaert et al. (domestic contagion, p.25); Kelly (7×/11× lending); Figure H1 (ISEQ fell further than others after Lehman)</w:t>
            </w:r>
          </w:p>
        </w:tc>
      </w:tr>
      <w:tr>
        <w:tc>
          <w:tcPr>
            <w:tcW w:type="dxa" w:w="1247"/>
          </w:tcPr>
          <w:p>
            <w:r>
              <w:rPr>
                <w:sz w:val="17"/>
              </w:rPr>
              <w:t>3 Contrast</w:t>
            </w:r>
          </w:p>
        </w:tc>
        <w:tc>
          <w:tcPr>
            <w:tcW w:type="dxa" w:w="2041"/>
          </w:tcPr>
          <w:p>
            <w:r>
              <w:rPr>
                <w:sz w:val="17"/>
              </w:rPr>
              <w:t>A complicating source</w:t>
            </w:r>
          </w:p>
        </w:tc>
        <w:tc>
          <w:tcPr>
            <w:tcW w:type="dxa" w:w="6576"/>
          </w:tcPr>
          <w:p>
            <w:r>
              <w:rPr>
                <w:sz w:val="17"/>
              </w:rPr>
              <w:t>Reinhart &amp; Rogoff — crises start in financial centres</w:t>
            </w:r>
          </w:p>
        </w:tc>
      </w:tr>
      <w:tr>
        <w:tc>
          <w:tcPr>
            <w:tcW w:type="dxa" w:w="1247"/>
          </w:tcPr>
          <w:p>
            <w:r>
              <w:rPr>
                <w:sz w:val="17"/>
              </w:rPr>
              <w:t>4 Critique</w:t>
            </w:r>
          </w:p>
        </w:tc>
        <w:tc>
          <w:tcPr>
            <w:tcW w:type="dxa" w:w="2041"/>
          </w:tcPr>
          <w:p>
            <w:r>
              <w:rPr>
                <w:sz w:val="17"/>
              </w:rPr>
              <w:t>Limits of the evidence</w:t>
            </w:r>
          </w:p>
        </w:tc>
        <w:tc>
          <w:tcPr>
            <w:tcW w:type="dxa" w:w="6576"/>
          </w:tcPr>
          <w:p>
            <w:r>
              <w:rPr>
                <w:sz w:val="17"/>
              </w:rPr>
              <w:t>Factor-model definition; Forbes &amp; Rigobon volatility bias</w:t>
            </w:r>
          </w:p>
        </w:tc>
      </w:tr>
      <w:tr>
        <w:tc>
          <w:tcPr>
            <w:tcW w:type="dxa" w:w="1247"/>
          </w:tcPr>
          <w:p>
            <w:r>
              <w:rPr>
                <w:sz w:val="17"/>
              </w:rPr>
              <w:t>5 So what</w:t>
            </w:r>
          </w:p>
        </w:tc>
        <w:tc>
          <w:tcPr>
            <w:tcW w:type="dxa" w:w="2041"/>
          </w:tcPr>
          <w:p>
            <w:r>
              <w:rPr>
                <w:sz w:val="17"/>
              </w:rPr>
              <w:t>Link to your study</w:t>
            </w:r>
          </w:p>
        </w:tc>
        <w:tc>
          <w:tcPr>
            <w:tcW w:type="dxa" w:w="6576"/>
          </w:tcPr>
          <w:p>
            <w:r>
              <w:rPr>
                <w:sz w:val="17"/>
              </w:rPr>
              <w:t>Expect US and domestic shares to rise in the GFC window (H2a)</w:t>
            </w:r>
          </w:p>
        </w:tc>
      </w:tr>
    </w:tbl>
    <w:p>
      <w:pPr>
        <w:spacing w:after="40"/>
      </w:pPr>
    </w:p>
    <w:p>
      <w:pPr>
        <w:pStyle w:val="Heading1"/>
      </w:pPr>
      <w:r>
        <w:rPr>
          <w:color w:val="1F4E79"/>
        </w:rPr>
        <w:t>G. Where to read the originals</w:t>
      </w:r>
    </w:p>
    <w:tbl>
      <w:tblPr>
        <w:tblStyle w:val="TableGrid"/>
        <w:tblW w:type="auto" w:w="0"/>
        <w:jc w:val="center"/>
        <w:tblLook w:firstColumn="1" w:firstRow="1" w:lastColumn="0" w:lastRow="0" w:noHBand="0" w:noVBand="1" w:val="04A0"/>
      </w:tblPr>
      <w:tblGrid>
        <w:gridCol w:w="5100"/>
        <w:gridCol w:w="5100"/>
      </w:tblGrid>
      <w:tr>
        <w:tc>
          <w:tcPr>
            <w:tcW w:type="dxa" w:w="2835"/>
            <w:shd w:val="clear" w:color="auto" w:fill="1F4E79"/>
          </w:tcPr>
          <w:p>
            <w:r>
              <w:rPr>
                <w:b/>
                <w:color w:val="FFFFFF"/>
                <w:sz w:val="17"/>
              </w:rPr>
              <w:t>Source</w:t>
            </w:r>
          </w:p>
        </w:tc>
        <w:tc>
          <w:tcPr>
            <w:tcW w:type="dxa" w:w="7030"/>
            <w:shd w:val="clear" w:color="auto" w:fill="1F4E79"/>
          </w:tcPr>
          <w:p>
            <w:r>
              <w:rPr>
                <w:b/>
                <w:color w:val="FFFFFF"/>
                <w:sz w:val="17"/>
              </w:rPr>
              <w:t>Open-access version used for page numbers</w:t>
            </w:r>
          </w:p>
        </w:tc>
      </w:tr>
      <w:tr>
        <w:tc>
          <w:tcPr>
            <w:tcW w:type="dxa" w:w="2835"/>
          </w:tcPr>
          <w:p>
            <w:r>
              <w:rPr>
                <w:sz w:val="17"/>
              </w:rPr>
              <w:t>Minsky (1992)</w:t>
            </w:r>
          </w:p>
        </w:tc>
        <w:tc>
          <w:tcPr>
            <w:tcW w:type="dxa" w:w="7030"/>
          </w:tcPr>
          <w:p>
            <w:r>
              <w:rPr>
                <w:sz w:val="17"/>
              </w:rPr>
              <w:t>levyinstitute.org/pubs/wp74.pdf</w:t>
            </w:r>
          </w:p>
        </w:tc>
      </w:tr>
      <w:tr>
        <w:tc>
          <w:tcPr>
            <w:tcW w:type="dxa" w:w="2835"/>
          </w:tcPr>
          <w:p>
            <w:r>
              <w:rPr>
                <w:sz w:val="17"/>
              </w:rPr>
              <w:t>Reinhart &amp; Rogoff</w:t>
            </w:r>
          </w:p>
        </w:tc>
        <w:tc>
          <w:tcPr>
            <w:tcW w:type="dxa" w:w="7030"/>
          </w:tcPr>
          <w:p>
            <w:r>
              <w:rPr>
                <w:sz w:val="17"/>
              </w:rPr>
              <w:t>nber.org/papers/w13882</w:t>
            </w:r>
          </w:p>
        </w:tc>
      </w:tr>
      <w:tr>
        <w:tc>
          <w:tcPr>
            <w:tcW w:type="dxa" w:w="2835"/>
          </w:tcPr>
          <w:p>
            <w:r>
              <w:rPr>
                <w:sz w:val="17"/>
              </w:rPr>
              <w:t>Brunnermeier</w:t>
            </w:r>
          </w:p>
        </w:tc>
        <w:tc>
          <w:tcPr>
            <w:tcW w:type="dxa" w:w="7030"/>
          </w:tcPr>
          <w:p>
            <w:r>
              <w:rPr>
                <w:sz w:val="17"/>
              </w:rPr>
              <w:t>nber.org/papers/w14612</w:t>
            </w:r>
          </w:p>
        </w:tc>
      </w:tr>
      <w:tr>
        <w:tc>
          <w:tcPr>
            <w:tcW w:type="dxa" w:w="2835"/>
          </w:tcPr>
          <w:p>
            <w:r>
              <w:rPr>
                <w:sz w:val="17"/>
              </w:rPr>
              <w:t>Bekaert et al.</w:t>
            </w:r>
          </w:p>
        </w:tc>
        <w:tc>
          <w:tcPr>
            <w:tcW w:type="dxa" w:w="7030"/>
          </w:tcPr>
          <w:p>
            <w:r>
              <w:rPr>
                <w:sz w:val="17"/>
              </w:rPr>
              <w:t>ecb.europa.eu/pub/pdf/scpwps/ecbwp1381.pdf</w:t>
            </w:r>
          </w:p>
        </w:tc>
      </w:tr>
      <w:tr>
        <w:tc>
          <w:tcPr>
            <w:tcW w:type="dxa" w:w="2835"/>
          </w:tcPr>
          <w:p>
            <w:r>
              <w:rPr>
                <w:sz w:val="17"/>
              </w:rPr>
              <w:t>Acharya et al.</w:t>
            </w:r>
          </w:p>
        </w:tc>
        <w:tc>
          <w:tcPr>
            <w:tcW w:type="dxa" w:w="7030"/>
          </w:tcPr>
          <w:p>
            <w:r>
              <w:rPr>
                <w:sz w:val="17"/>
              </w:rPr>
              <w:t>pages.stern.nyu.edu/~pschnabl/research/AcharyaDrechslerSchnabl_final.pdf</w:t>
            </w:r>
          </w:p>
        </w:tc>
      </w:tr>
      <w:tr>
        <w:tc>
          <w:tcPr>
            <w:tcW w:type="dxa" w:w="2835"/>
          </w:tcPr>
          <w:p>
            <w:r>
              <w:rPr>
                <w:sz w:val="17"/>
              </w:rPr>
              <w:t>Baker et al.</w:t>
            </w:r>
          </w:p>
        </w:tc>
        <w:tc>
          <w:tcPr>
            <w:tcW w:type="dxa" w:w="7030"/>
          </w:tcPr>
          <w:p>
            <w:r>
              <w:rPr>
                <w:sz w:val="17"/>
              </w:rPr>
              <w:t>nber.org/papers/w26945</w:t>
            </w:r>
          </w:p>
        </w:tc>
      </w:tr>
      <w:tr>
        <w:tc>
          <w:tcPr>
            <w:tcW w:type="dxa" w:w="2835"/>
          </w:tcPr>
          <w:p>
            <w:r>
              <w:rPr>
                <w:sz w:val="17"/>
              </w:rPr>
              <w:t>Akhtaruzzaman et al.</w:t>
            </w:r>
          </w:p>
        </w:tc>
        <w:tc>
          <w:tcPr>
            <w:tcW w:type="dxa" w:w="7030"/>
          </w:tcPr>
          <w:p>
            <w:r>
              <w:rPr>
                <w:sz w:val="17"/>
              </w:rPr>
              <w:t>ideas.repec.org/a/eee/finlet/v38y2021ics1544612320305754.html</w:t>
            </w:r>
          </w:p>
        </w:tc>
      </w:tr>
      <w:tr>
        <w:tc>
          <w:tcPr>
            <w:tcW w:type="dxa" w:w="2835"/>
          </w:tcPr>
          <w:p>
            <w:r>
              <w:rPr>
                <w:sz w:val="17"/>
              </w:rPr>
              <w:t>Li, Ahmed &amp; Chevapatrakul</w:t>
            </w:r>
          </w:p>
        </w:tc>
        <w:tc>
          <w:tcPr>
            <w:tcW w:type="dxa" w:w="7030"/>
          </w:tcPr>
          <w:p>
            <w:r>
              <w:rPr>
                <w:sz w:val="17"/>
              </w:rPr>
              <w:t>nottingham.ac.uk/cfcm/news/papers/1606.aspx</w:t>
            </w:r>
          </w:p>
        </w:tc>
      </w:tr>
      <w:tr>
        <w:tc>
          <w:tcPr>
            <w:tcW w:type="dxa" w:w="2835"/>
          </w:tcPr>
          <w:p>
            <w:r>
              <w:rPr>
                <w:sz w:val="17"/>
              </w:rPr>
              <w:t>Forbes &amp; Rigobon</w:t>
            </w:r>
          </w:p>
        </w:tc>
        <w:tc>
          <w:tcPr>
            <w:tcW w:type="dxa" w:w="7030"/>
          </w:tcPr>
          <w:p>
            <w:r>
              <w:rPr>
                <w:sz w:val="17"/>
              </w:rPr>
              <w:t>nber.org/papers/w7267</w:t>
            </w:r>
          </w:p>
        </w:tc>
      </w:tr>
      <w:tr>
        <w:tc>
          <w:tcPr>
            <w:tcW w:type="dxa" w:w="2835"/>
          </w:tcPr>
          <w:p>
            <w:r>
              <w:rPr>
                <w:sz w:val="17"/>
              </w:rPr>
              <w:t>Engle, Ito &amp; Lin</w:t>
            </w:r>
          </w:p>
        </w:tc>
        <w:tc>
          <w:tcPr>
            <w:tcW w:type="dxa" w:w="7030"/>
          </w:tcPr>
          <w:p>
            <w:r>
              <w:rPr>
                <w:sz w:val="17"/>
              </w:rPr>
              <w:t>nber.org/papers/w2609</w:t>
            </w:r>
          </w:p>
        </w:tc>
      </w:tr>
      <w:tr>
        <w:tc>
          <w:tcPr>
            <w:tcW w:type="dxa" w:w="2835"/>
          </w:tcPr>
          <w:p>
            <w:r>
              <w:rPr>
                <w:sz w:val="17"/>
              </w:rPr>
              <w:t>Diebold &amp; Yilmaz (2009)</w:t>
            </w:r>
          </w:p>
        </w:tc>
        <w:tc>
          <w:tcPr>
            <w:tcW w:type="dxa" w:w="7030"/>
          </w:tcPr>
          <w:p>
            <w:r>
              <w:rPr>
                <w:sz w:val="17"/>
              </w:rPr>
              <w:t>nber.org/papers/w13811</w:t>
            </w:r>
          </w:p>
        </w:tc>
      </w:tr>
      <w:tr>
        <w:tc>
          <w:tcPr>
            <w:tcW w:type="dxa" w:w="2835"/>
          </w:tcPr>
          <w:p>
            <w:r>
              <w:rPr>
                <w:sz w:val="17"/>
              </w:rPr>
              <w:t>Patton (2011)</w:t>
            </w:r>
          </w:p>
        </w:tc>
        <w:tc>
          <w:tcPr>
            <w:tcW w:type="dxa" w:w="7030"/>
          </w:tcPr>
          <w:p>
            <w:r>
              <w:rPr>
                <w:sz w:val="17"/>
              </w:rPr>
              <w:t>public.econ.duke.edu/~ap172/Patton_vol_proxies_JoE_2011.pdf</w:t>
            </w:r>
          </w:p>
        </w:tc>
      </w:tr>
      <w:tr>
        <w:tc>
          <w:tcPr>
            <w:tcW w:type="dxa" w:w="2835"/>
          </w:tcPr>
          <w:p>
            <w:r>
              <w:rPr>
                <w:sz w:val="17"/>
              </w:rPr>
              <w:t>Bucci (2020)</w:t>
            </w:r>
          </w:p>
        </w:tc>
        <w:tc>
          <w:tcPr>
            <w:tcW w:type="dxa" w:w="7030"/>
          </w:tcPr>
          <w:p>
            <w:r>
              <w:rPr>
                <w:sz w:val="17"/>
              </w:rPr>
              <w:t>mpra.ub.uni-muenchen.de/95443/</w:t>
            </w:r>
          </w:p>
        </w:tc>
      </w:tr>
      <w:tr>
        <w:tc>
          <w:tcPr>
            <w:tcW w:type="dxa" w:w="2835"/>
          </w:tcPr>
          <w:p>
            <w:r>
              <w:rPr>
                <w:sz w:val="17"/>
              </w:rPr>
              <w:t>Christensen et al.</w:t>
            </w:r>
          </w:p>
        </w:tc>
        <w:tc>
          <w:tcPr>
            <w:tcW w:type="dxa" w:w="7030"/>
          </w:tcPr>
          <w:p>
            <w:r>
              <w:rPr>
                <w:sz w:val="17"/>
              </w:rPr>
              <w:t>arxiv.org/abs/2601.13014</w:t>
            </w:r>
          </w:p>
        </w:tc>
      </w:tr>
      <w:tr>
        <w:tc>
          <w:tcPr>
            <w:tcW w:type="dxa" w:w="2835"/>
          </w:tcPr>
          <w:p>
            <w:r>
              <w:rPr>
                <w:sz w:val="17"/>
              </w:rPr>
              <w:t>Hochreiter &amp; Schmidhuber</w:t>
            </w:r>
          </w:p>
        </w:tc>
        <w:tc>
          <w:tcPr>
            <w:tcW w:type="dxa" w:w="7030"/>
          </w:tcPr>
          <w:p>
            <w:r>
              <w:rPr>
                <w:sz w:val="17"/>
              </w:rPr>
              <w:t>bioinf.jku.at/publications/older/2604.pdf</w:t>
            </w:r>
          </w:p>
        </w:tc>
      </w:tr>
      <w:tr>
        <w:tc>
          <w:tcPr>
            <w:tcW w:type="dxa" w:w="2835"/>
          </w:tcPr>
          <w:p>
            <w:r>
              <w:rPr>
                <w:sz w:val="17"/>
              </w:rPr>
              <w:t>Lundberg &amp; Lee</w:t>
            </w:r>
          </w:p>
        </w:tc>
        <w:tc>
          <w:tcPr>
            <w:tcW w:type="dxa" w:w="7030"/>
          </w:tcPr>
          <w:p>
            <w:r>
              <w:rPr>
                <w:sz w:val="17"/>
              </w:rPr>
              <w:t>arxiv.org/abs/1705.07874</w:t>
            </w:r>
          </w:p>
        </w:tc>
      </w:tr>
      <w:tr>
        <w:tc>
          <w:tcPr>
            <w:tcW w:type="dxa" w:w="2835"/>
          </w:tcPr>
          <w:p>
            <w:r>
              <w:rPr>
                <w:sz w:val="17"/>
              </w:rPr>
              <w:t>Sundararajan et al.</w:t>
            </w:r>
          </w:p>
        </w:tc>
        <w:tc>
          <w:tcPr>
            <w:tcW w:type="dxa" w:w="7030"/>
          </w:tcPr>
          <w:p>
            <w:r>
              <w:rPr>
                <w:sz w:val="17"/>
              </w:rPr>
              <w:t>arxiv.org/abs/1703.01365</w:t>
            </w:r>
          </w:p>
        </w:tc>
      </w:tr>
      <w:tr>
        <w:tc>
          <w:tcPr>
            <w:tcW w:type="dxa" w:w="2835"/>
          </w:tcPr>
          <w:p>
            <w:r>
              <w:rPr>
                <w:sz w:val="17"/>
              </w:rPr>
              <w:t>Erion et al.</w:t>
            </w:r>
          </w:p>
        </w:tc>
        <w:tc>
          <w:tcPr>
            <w:tcW w:type="dxa" w:w="7030"/>
          </w:tcPr>
          <w:p>
            <w:r>
              <w:rPr>
                <w:sz w:val="17"/>
              </w:rPr>
              <w:t>arxiv.org/abs/1906.10670</w:t>
            </w:r>
          </w:p>
        </w:tc>
      </w:tr>
      <w:tr>
        <w:tc>
          <w:tcPr>
            <w:tcW w:type="dxa" w:w="2835"/>
          </w:tcPr>
          <w:p>
            <w:r>
              <w:rPr>
                <w:sz w:val="17"/>
              </w:rPr>
              <w:t>Aas et al.</w:t>
            </w:r>
          </w:p>
        </w:tc>
        <w:tc>
          <w:tcPr>
            <w:tcW w:type="dxa" w:w="7030"/>
          </w:tcPr>
          <w:p>
            <w:r>
              <w:rPr>
                <w:sz w:val="17"/>
              </w:rPr>
              <w:t>arxiv.org/abs/1903.10464</w:t>
            </w:r>
          </w:p>
        </w:tc>
      </w:tr>
      <w:tr>
        <w:tc>
          <w:tcPr>
            <w:tcW w:type="dxa" w:w="2835"/>
          </w:tcPr>
          <w:p>
            <w:r>
              <w:rPr>
                <w:sz w:val="17"/>
              </w:rPr>
              <w:t>Kumar et al.</w:t>
            </w:r>
          </w:p>
        </w:tc>
        <w:tc>
          <w:tcPr>
            <w:tcW w:type="dxa" w:w="7030"/>
          </w:tcPr>
          <w:p>
            <w:r>
              <w:rPr>
                <w:sz w:val="17"/>
              </w:rPr>
              <w:t>arxiv.org/abs/2002.11097</w:t>
            </w:r>
          </w:p>
        </w:tc>
      </w:tr>
      <w:tr>
        <w:tc>
          <w:tcPr>
            <w:tcW w:type="dxa" w:w="2835"/>
          </w:tcPr>
          <w:p>
            <w:r>
              <w:rPr>
                <w:sz w:val="17"/>
              </w:rPr>
              <w:t>Rudin</w:t>
            </w:r>
          </w:p>
        </w:tc>
        <w:tc>
          <w:tcPr>
            <w:tcW w:type="dxa" w:w="7030"/>
          </w:tcPr>
          <w:p>
            <w:r>
              <w:rPr>
                <w:sz w:val="17"/>
              </w:rPr>
              <w:t>arxiv.org/abs/1811.10154</w:t>
            </w:r>
          </w:p>
        </w:tc>
      </w:tr>
      <w:tr>
        <w:tc>
          <w:tcPr>
            <w:tcW w:type="dxa" w:w="2835"/>
          </w:tcPr>
          <w:p>
            <w:r>
              <w:rPr>
                <w:sz w:val="17"/>
              </w:rPr>
              <w:t>Kelly; Whelan</w:t>
            </w:r>
          </w:p>
        </w:tc>
        <w:tc>
          <w:tcPr>
            <w:tcW w:type="dxa" w:w="7030"/>
          </w:tcPr>
          <w:p>
            <w:r>
              <w:rPr>
                <w:sz w:val="17"/>
              </w:rPr>
              <w:t>ideas.repec.org/p/ucn/wpaper/200932.html; ideas.repec.org/p/ucn/wpaper/201306.html</w:t>
            </w:r>
          </w:p>
        </w:tc>
      </w:tr>
      <w:tr>
        <w:tc>
          <w:tcPr>
            <w:tcW w:type="dxa" w:w="2835"/>
          </w:tcPr>
          <w:p>
            <w:r>
              <w:rPr>
                <w:sz w:val="17"/>
              </w:rPr>
              <w:t>Lane; Brunnermeier (journal)</w:t>
            </w:r>
          </w:p>
        </w:tc>
        <w:tc>
          <w:tcPr>
            <w:tcW w:type="dxa" w:w="7030"/>
          </w:tcPr>
          <w:p>
            <w:r>
              <w:rPr>
                <w:sz w:val="17"/>
              </w:rPr>
              <w:t>aeaweb.org (JEP is free to read)</w:t>
            </w:r>
          </w:p>
        </w:tc>
      </w:tr>
      <w:tr>
        <w:tc>
          <w:tcPr>
            <w:tcW w:type="dxa" w:w="2835"/>
          </w:tcPr>
          <w:p>
            <w:r>
              <w:rPr>
                <w:sz w:val="17"/>
              </w:rPr>
              <w:t>Corbet &amp; Twomey</w:t>
            </w:r>
          </w:p>
        </w:tc>
        <w:tc>
          <w:tcPr>
            <w:tcW w:type="dxa" w:w="7030"/>
          </w:tcPr>
          <w:p>
            <w:r>
              <w:rPr>
                <w:sz w:val="17"/>
              </w:rPr>
              <w:t>ideas.repec.org/a/prg/jnlefa/v2015y2015i3id143p15-34.html</w:t>
            </w:r>
          </w:p>
        </w:tc>
      </w:tr>
      <w:tr>
        <w:tc>
          <w:tcPr>
            <w:tcW w:type="dxa" w:w="2835"/>
          </w:tcPr>
          <w:p>
            <w:r>
              <w:rPr>
                <w:sz w:val="17"/>
              </w:rPr>
              <w:t>Sahiner; Li (2020); Boungou &amp; Yatié</w:t>
            </w:r>
          </w:p>
        </w:tc>
        <w:tc>
          <w:tcPr>
            <w:tcW w:type="dxa" w:w="7030"/>
          </w:tcPr>
          <w:p>
            <w:r>
              <w:rPr>
                <w:sz w:val="17"/>
              </w:rPr>
              <w:t>via DBS library / IDEAS</w:t>
            </w:r>
          </w:p>
        </w:tc>
      </w:tr>
      <w:tr>
        <w:tc>
          <w:tcPr>
            <w:tcW w:type="dxa" w:w="2835"/>
          </w:tcPr>
          <w:p>
            <w:r>
              <w:rPr>
                <w:sz w:val="17"/>
                <w:b w:val="0"/>
              </w:rPr>
              <w:t xml:space="preserve">Diebold &amp; Yilmaz (2012)</w:t>
            </w:r>
          </w:p>
        </w:tc>
        <w:tc>
          <w:tcPr>
            <w:tcW w:type="dxa" w:w="7030"/>
          </w:tcPr>
          <w:p>
            <w:r>
              <w:rPr>
                <w:sz w:val="17"/>
                <w:b w:val="0"/>
              </w:rPr>
              <w:t xml:space="preserve">sas.upenn.edu/~fdiebold/papers/paper99/DirectionofSpillovers_Mar10.pdf (journal version)</w:t>
            </w:r>
          </w:p>
        </w:tc>
      </w:tr>
      <w:tr>
        <w:tc>
          <w:tcPr>
            <w:tcW w:type="dxa" w:w="2835"/>
          </w:tcPr>
          <w:p>
            <w:r>
              <w:rPr>
                <w:sz w:val="17"/>
                <w:b w:val="0"/>
              </w:rPr>
              <w:t xml:space="preserve">Danielsson et al. (2018)</w:t>
            </w:r>
          </w:p>
        </w:tc>
        <w:tc>
          <w:tcPr>
            <w:tcW w:type="dxa" w:w="7030"/>
          </w:tcPr>
          <w:p>
            <w:r>
              <w:rPr>
                <w:sz w:val="17"/>
                <w:b w:val="0"/>
              </w:rPr>
              <w:t xml:space="preserve">eprints.lse.ac.uk/91136 (accepted version; page numbers above refer to it)</w:t>
            </w:r>
          </w:p>
        </w:tc>
      </w:tr>
      <w:tr>
        <w:tc>
          <w:tcPr>
            <w:tcW w:type="dxa" w:w="2835"/>
          </w:tcPr>
          <w:p>
            <w:r>
              <w:rPr>
                <w:sz w:val="17"/>
                <w:b w:val="0"/>
              </w:rPr>
              <w:t xml:space="preserve">Gallagher &amp; Twomey (1998)</w:t>
            </w:r>
          </w:p>
        </w:tc>
        <w:tc>
          <w:tcPr>
            <w:tcW w:type="dxa" w:w="7030"/>
          </w:tcPr>
          <w:p>
            <w:r>
              <w:rPr>
                <w:sz w:val="17"/>
                <w:b w:val="0"/>
              </w:rPr>
              <w:t xml:space="preserve">The Economic and Social Review 29(4) — via the DBS library or the ESR archive</w:t>
            </w:r>
          </w:p>
        </w:tc>
      </w:tr>
      <w:tr>
        <w:tc>
          <w:tcPr>
            <w:tcW w:type="dxa" w:w="2835"/>
          </w:tcPr>
          <w:p>
            <w:r>
              <w:rPr>
                <w:sz w:val="17"/>
                <w:b w:val="0"/>
              </w:rPr>
              <w:t xml:space="preserve">Pesaran &amp; Shin (1998)</w:t>
            </w:r>
          </w:p>
        </w:tc>
        <w:tc>
          <w:tcPr>
            <w:tcW w:type="dxa" w:w="7030"/>
          </w:tcPr>
          <w:p>
            <w:r>
              <w:rPr>
                <w:sz w:val="17"/>
                <w:b w:val="0"/>
              </w:rPr>
              <w:t xml:space="preserve">Economics Letters — via the DBS library</w:t>
            </w:r>
          </w:p>
        </w:tc>
      </w:tr>
      <w:tr>
        <w:tc>
          <w:tcPr>
            <w:tcW w:type="dxa" w:w="2835"/>
          </w:tcPr>
          <w:p>
            <w:r>
              <w:rPr>
                <w:sz w:val="17"/>
                <w:b w:val="0"/>
              </w:rPr>
              <w:t xml:space="preserve">Brini (2026)</w:t>
            </w:r>
          </w:p>
        </w:tc>
        <w:tc>
          <w:tcPr>
            <w:tcW w:type="dxa" w:w="7030"/>
          </w:tcPr>
          <w:p>
            <w:r>
              <w:rPr>
                <w:sz w:val="17"/>
                <w:b w:val="0"/>
              </w:rPr>
              <w:t xml:space="preserve">arxiv.org/abs/2607.05291</w:t>
            </w:r>
          </w:p>
        </w:tc>
      </w:tr>
      <w:tr>
        <w:tc>
          <w:tcPr>
            <w:tcW w:type="dxa" w:w="2835"/>
          </w:tcPr>
          <w:p>
            <w:r>
              <w:rPr>
                <w:sz w:val="17"/>
                <w:b w:val="0"/>
              </w:rPr>
              <w:t xml:space="preserve">Feng, Shi &amp; Kutan (2026)</w:t>
            </w:r>
          </w:p>
        </w:tc>
        <w:tc>
          <w:tcPr>
            <w:tcW w:type="dxa" w:w="7030"/>
          </w:tcPr>
          <w:p>
            <w:r>
              <w:rPr>
                <w:sz w:val="17"/>
                <w:b w:val="0"/>
              </w:rPr>
              <w:t xml:space="preserve">ideas.repec.org/a/eee/jimfin/v160y2026ics0261560625002025.html (full text via the DBS library)</w:t>
            </w:r>
          </w:p>
        </w:tc>
      </w:tr>
    </w:tbl>
    <w:p>
      <w:pPr>
        <w:spacing w:after="40"/>
      </w:pPr>
    </w:p>
    <w:p>
      <w:pPr>
        <w:spacing w:after="80"/>
      </w:pPr>
      <w:r>
        <w:rPr>
          <w:i/>
          <w:sz w:val="18"/>
        </w:rPr>
        <w:t>Journal versions are paginated differently from working papers: when you cite a page, use the version you actually read, and prefer the published journal version for the reference list.</w:t>
      </w: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