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52"/>
        </w:rPr>
        <w:t>Literature Handbook</w:t>
      </w:r>
    </w:p>
    <w:p>
      <w:r>
        <w:rPr>
          <w:color w:val="1F4E79"/>
          <w:sz w:val="28"/>
        </w:rPr>
        <w:t>Everything to know before writing Chapter 2 of ‘This Time Is Different?’</w:t>
      </w:r>
    </w:p>
    <w:p>
      <w:pPr>
        <w:spacing w:after="80"/>
      </w:pPr>
      <w:r>
        <w:rPr>
          <w:i/>
        </w:rPr>
        <w:t>Study notes: 47 paper cards covering about 55 sources, concept primers, key numbers, Irish crisis timeline and a note-to-paragraph method · 24 September 2026</w:t>
      </w:r>
    </w:p>
    <w:tbl>
      <w:tblPr>
        <w:tblW w:type="auto" w:w="0"/>
        <w:tblLook w:firstColumn="1" w:firstRow="1" w:lastColumn="0" w:lastRow="0" w:noHBand="0" w:noVBand="1" w:val="04A0"/>
      </w:tblPr>
      <w:tblGrid>
        <w:gridCol w:w="9972"/>
      </w:tblGrid>
      <w:tr>
        <w:tc>
          <w:tcPr>
            <w:tcW w:type="dxa" w:w="9972"/>
            <w:shd w:val="clear" w:color="auto" w:fill="FFF2CC"/>
          </w:tcPr>
          <w:p>
            <w:r>
              <w:rPr>
                <w:b/>
              </w:rPr>
              <w:t xml:space="preserve">Read this first: </w:t>
            </w:r>
            <w:r>
              <w:t>These are study notes written in my own words from the sources, with the facts and numbers each paper reports. They contain no copied paragraphs, and they are not dissertation text. Two reasons: the papers are copyrighted, and pasting source paragraphs (or these notes) into your dissertation would be plagiarism. Use the notes to understand each paper and decide where it fits, then read the original (links in Part F) and write your own sentences, citing the original, never this handbook.</w:t>
            </w:r>
          </w:p>
        </w:tc>
      </w:tr>
    </w:tbl>
    <w:p>
      <w:pPr>
        <w:spacing w:after="40"/>
      </w:pPr>
    </w:p>
    <w:p>
      <w:pPr>
        <w:spacing w:after="80"/>
      </w:pPr>
      <w:r>
        <w:rPr>
          <w:b/>
        </w:rPr>
        <w:t>Colour code on every paper card:</w:t>
      </w:r>
      <w:r>
        <w:rPr>
          <w:i w:val="0"/>
        </w:rPr>
      </w:r>
    </w:p>
    <w:tbl>
      <w:tblPr>
        <w:tblStyle w:val="TableGrid"/>
        <w:tblW w:type="auto" w:w="0"/>
        <w:jc w:val="center"/>
        <w:tblLook w:firstColumn="1" w:firstRow="1" w:lastColumn="0" w:lastRow="0" w:noHBand="0" w:noVBand="1" w:val="04A0"/>
      </w:tblPr>
      <w:tblGrid>
        <w:gridCol w:w="4986"/>
        <w:gridCol w:w="4986"/>
      </w:tblGrid>
      <w:tr>
        <w:tc>
          <w:tcPr>
            <w:tcW w:type="dxa" w:w="1417"/>
            <w:shd w:val="clear" w:color="auto" w:fill="1F4E79"/>
          </w:tcPr>
          <w:p>
            <w:r>
              <w:rPr>
                <w:b/>
                <w:color w:val="FFFFFF"/>
                <w:sz w:val="17"/>
              </w:rPr>
              <w:t>Basis</w:t>
            </w:r>
          </w:p>
        </w:tc>
        <w:tc>
          <w:tcPr>
            <w:tcW w:type="dxa" w:w="8220"/>
            <w:shd w:val="clear" w:color="auto" w:fill="1F4E79"/>
          </w:tcPr>
          <w:p>
            <w:r>
              <w:rPr>
                <w:b/>
                <w:color w:val="FFFFFF"/>
                <w:sz w:val="17"/>
              </w:rPr>
              <w:t>Meaning</w:t>
            </w:r>
          </w:p>
        </w:tc>
      </w:tr>
      <w:tr>
        <w:tc>
          <w:tcPr>
            <w:tcW w:type="dxa" w:w="1417"/>
          </w:tcPr>
          <w:p>
            <w:r>
              <w:rPr>
                <w:sz w:val="17"/>
              </w:rPr>
              <w:t>FULL</w:t>
            </w:r>
          </w:p>
        </w:tc>
        <w:tc>
          <w:tcPr>
            <w:tcW w:type="dxa" w:w="8220"/>
          </w:tcPr>
          <w:p>
            <w:r>
              <w:rPr>
                <w:sz w:val="17"/>
              </w:rPr>
              <w:t>Full text read in this session — facts checked against the paper</w:t>
            </w:r>
          </w:p>
        </w:tc>
      </w:tr>
      <w:tr>
        <w:tc>
          <w:tcPr>
            <w:tcW w:type="dxa" w:w="1417"/>
          </w:tcPr>
          <w:p>
            <w:r>
              <w:rPr>
                <w:sz w:val="17"/>
              </w:rPr>
              <w:t>ABSTRACT</w:t>
            </w:r>
          </w:p>
        </w:tc>
        <w:tc>
          <w:tcPr>
            <w:tcW w:type="dxa" w:w="8220"/>
          </w:tcPr>
          <w:p>
            <w:r>
              <w:rPr>
                <w:sz w:val="17"/>
              </w:rPr>
              <w:t>Abstract / official summary read in this session — read the full paper for details</w:t>
            </w:r>
          </w:p>
        </w:tc>
      </w:tr>
      <w:tr>
        <w:tc>
          <w:tcPr>
            <w:tcW w:type="dxa" w:w="1417"/>
          </w:tcPr>
          <w:p>
            <w:r>
              <w:rPr>
                <w:sz w:val="17"/>
              </w:rPr>
              <w:t>STANDARD</w:t>
            </w:r>
          </w:p>
        </w:tc>
        <w:tc>
          <w:tcPr>
            <w:tcW w:type="dxa" w:w="8220"/>
          </w:tcPr>
          <w:p>
            <w:r>
              <w:rPr>
                <w:sz w:val="17"/>
              </w:rPr>
              <w:t>Standard textbook knowledge, not re-read this session — confirm every detail before citing</w:t>
            </w:r>
          </w:p>
        </w:tc>
      </w:tr>
    </w:tbl>
    <w:p>
      <w:pPr>
        <w:spacing w:after="40"/>
      </w:pPr>
    </w:p>
    <w:p>
      <w:pPr>
        <w:spacing w:after="80"/>
      </w:pPr>
      <w:r>
        <w:rPr>
          <w:i w:val="0"/>
        </w:rPr>
        <w:t>Structure: A. Key numbers · B. Irish crisis timeline · C. Concept primers · D. Paper cards (by Chapter 2 section) · E. From notes to your own paragraph · F. Where to read the originals.</w:t>
      </w:r>
    </w:p>
    <w:p>
      <w:pPr>
        <w:pStyle w:val="Heading1"/>
      </w:pPr>
      <w:r>
        <w:rPr>
          <w:color w:val="1F4E79"/>
        </w:rPr>
        <w:t>A. Key numbers to remember</w:t>
      </w:r>
    </w:p>
    <w:p>
      <w:pPr>
        <w:spacing w:after="80"/>
      </w:pPr>
      <w:r>
        <w:rPr>
          <w:i w:val="0"/>
        </w:rPr>
        <w:t>Numbers marked ‘your data’ come from your own pipeline (Yahoo ^ISEQ closes) — they are your results and can be reported as such in Chapter 4, with the source stated.</w:t>
      </w:r>
    </w:p>
    <w:tbl>
      <w:tblPr>
        <w:tblStyle w:val="TableGrid"/>
        <w:tblW w:type="auto" w:w="0"/>
        <w:jc w:val="center"/>
        <w:tblLook w:firstColumn="1" w:firstRow="1" w:lastColumn="0" w:lastRow="0" w:noHBand="0" w:noVBand="1" w:val="04A0"/>
      </w:tblPr>
      <w:tblGrid>
        <w:gridCol w:w="3324"/>
        <w:gridCol w:w="3324"/>
        <w:gridCol w:w="3324"/>
      </w:tblGrid>
      <w:tr>
        <w:tc>
          <w:tcPr>
            <w:tcW w:type="dxa" w:w="3402"/>
            <w:shd w:val="clear" w:color="auto" w:fill="1F4E79"/>
          </w:tcPr>
          <w:p>
            <w:r>
              <w:rPr>
                <w:b/>
                <w:color w:val="FFFFFF"/>
                <w:sz w:val="17"/>
              </w:rPr>
              <w:t>Fact</w:t>
            </w:r>
          </w:p>
        </w:tc>
        <w:tc>
          <w:tcPr>
            <w:tcW w:type="dxa" w:w="4252"/>
            <w:shd w:val="clear" w:color="auto" w:fill="1F4E79"/>
          </w:tcPr>
          <w:p>
            <w:r>
              <w:rPr>
                <w:b/>
                <w:color w:val="FFFFFF"/>
                <w:sz w:val="17"/>
              </w:rPr>
              <w:t>Number</w:t>
            </w:r>
          </w:p>
        </w:tc>
        <w:tc>
          <w:tcPr>
            <w:tcW w:type="dxa" w:w="1984"/>
            <w:shd w:val="clear" w:color="auto" w:fill="1F4E79"/>
          </w:tcPr>
          <w:p>
            <w:r>
              <w:rPr>
                <w:b/>
                <w:color w:val="FFFFFF"/>
                <w:sz w:val="17"/>
              </w:rPr>
              <w:t>Source</w:t>
            </w:r>
          </w:p>
        </w:tc>
      </w:tr>
      <w:tr>
        <w:tc>
          <w:tcPr>
            <w:tcW w:type="dxa" w:w="3402"/>
          </w:tcPr>
          <w:p>
            <w:r>
              <w:rPr>
                <w:sz w:val="17"/>
              </w:rPr>
              <w:t>ISEQ pre-GFC peak → trough</w:t>
            </w:r>
          </w:p>
        </w:tc>
        <w:tc>
          <w:tcPr>
            <w:tcW w:type="dxa" w:w="4252"/>
          </w:tcPr>
          <w:p>
            <w:r>
              <w:rPr>
                <w:sz w:val="17"/>
              </w:rPr>
              <w:t>9,981 (20 Feb 2007) → 1,916 (9 Mar 2009): −80.8%</w:t>
            </w:r>
          </w:p>
        </w:tc>
        <w:tc>
          <w:tcPr>
            <w:tcW w:type="dxa" w:w="1984"/>
          </w:tcPr>
          <w:p>
            <w:r>
              <w:rPr>
                <w:sz w:val="17"/>
              </w:rPr>
              <w:t>Your data</w:t>
            </w:r>
          </w:p>
        </w:tc>
      </w:tr>
      <w:tr>
        <w:tc>
          <w:tcPr>
            <w:tcW w:type="dxa" w:w="3402"/>
          </w:tcPr>
          <w:p>
            <w:r>
              <w:rPr>
                <w:sz w:val="17"/>
              </w:rPr>
              <w:t>ISEQ on 29 Sep 2008 (day before the bank guarantee)</w:t>
            </w:r>
          </w:p>
        </w:tc>
        <w:tc>
          <w:tcPr>
            <w:tcW w:type="dxa" w:w="4252"/>
          </w:tcPr>
          <w:p>
            <w:r>
              <w:rPr>
                <w:sz w:val="17"/>
              </w:rPr>
              <w:t>−13.0%</w:t>
            </w:r>
          </w:p>
        </w:tc>
        <w:tc>
          <w:tcPr>
            <w:tcW w:type="dxa" w:w="1984"/>
          </w:tcPr>
          <w:p>
            <w:r>
              <w:rPr>
                <w:sz w:val="17"/>
              </w:rPr>
              <w:t>Your data</w:t>
            </w:r>
          </w:p>
        </w:tc>
      </w:tr>
      <w:tr>
        <w:tc>
          <w:tcPr>
            <w:tcW w:type="dxa" w:w="3402"/>
          </w:tcPr>
          <w:p>
            <w:r>
              <w:rPr>
                <w:sz w:val="17"/>
              </w:rPr>
              <w:t>ISEQ on 30 Sep 2008 (guarantee announced)</w:t>
            </w:r>
          </w:p>
        </w:tc>
        <w:tc>
          <w:tcPr>
            <w:tcW w:type="dxa" w:w="4252"/>
          </w:tcPr>
          <w:p>
            <w:r>
              <w:rPr>
                <w:sz w:val="17"/>
              </w:rPr>
              <w:t>+7.9%</w:t>
            </w:r>
          </w:p>
        </w:tc>
        <w:tc>
          <w:tcPr>
            <w:tcW w:type="dxa" w:w="1984"/>
          </w:tcPr>
          <w:p>
            <w:r>
              <w:rPr>
                <w:sz w:val="17"/>
              </w:rPr>
              <w:t>Your data</w:t>
            </w:r>
          </w:p>
        </w:tc>
      </w:tr>
      <w:tr>
        <w:tc>
          <w:tcPr>
            <w:tcW w:type="dxa" w:w="3402"/>
          </w:tcPr>
          <w:p>
            <w:r>
              <w:rPr>
                <w:sz w:val="17"/>
              </w:rPr>
              <w:t>Irish bank CDS on guarantee day</w:t>
            </w:r>
          </w:p>
        </w:tc>
        <w:tc>
          <w:tcPr>
            <w:tcW w:type="dxa" w:w="4252"/>
          </w:tcPr>
          <w:p>
            <w:r>
              <w:rPr>
                <w:sz w:val="17"/>
              </w:rPr>
              <w:t>fell overnight from ~400 to ~150 basis points while the Irish sovereign CDS rose sharply</w:t>
            </w:r>
          </w:p>
        </w:tc>
        <w:tc>
          <w:tcPr>
            <w:tcW w:type="dxa" w:w="1984"/>
          </w:tcPr>
          <w:p>
            <w:r>
              <w:rPr>
                <w:sz w:val="17"/>
              </w:rPr>
              <w:t>Acharya et al. (2014)</w:t>
            </w:r>
          </w:p>
        </w:tc>
      </w:tr>
      <w:tr>
        <w:tc>
          <w:tcPr>
            <w:tcW w:type="dxa" w:w="3402"/>
          </w:tcPr>
          <w:p>
            <w:r>
              <w:rPr>
                <w:sz w:val="17"/>
              </w:rPr>
              <w:t>European sample average CDS, bank / sovereign</w:t>
            </w:r>
          </w:p>
        </w:tc>
        <w:tc>
          <w:tcPr>
            <w:tcW w:type="dxa" w:w="4252"/>
          </w:tcPr>
          <w:p>
            <w:r>
              <w:rPr>
                <w:sz w:val="17"/>
              </w:rPr>
              <w:t>pre-bailout 63 / 14 bp; bailout period 148 / 48 bp; post-bailout 184 / 112 bp</w:t>
            </w:r>
          </w:p>
        </w:tc>
        <w:tc>
          <w:tcPr>
            <w:tcW w:type="dxa" w:w="1984"/>
          </w:tcPr>
          <w:p>
            <w:r>
              <w:rPr>
                <w:sz w:val="17"/>
              </w:rPr>
              <w:t>Acharya et al. (2014)</w:t>
            </w:r>
          </w:p>
        </w:tc>
      </w:tr>
      <w:tr>
        <w:tc>
          <w:tcPr>
            <w:tcW w:type="dxa" w:w="3402"/>
          </w:tcPr>
          <w:p>
            <w:r>
              <w:rPr>
                <w:sz w:val="17"/>
              </w:rPr>
              <w:t>Irish mortgage lending, 1997 → 2008</w:t>
            </w:r>
          </w:p>
        </w:tc>
        <w:tc>
          <w:tcPr>
            <w:tcW w:type="dxa" w:w="4252"/>
          </w:tcPr>
          <w:p>
            <w:r>
              <w:rPr>
                <w:sz w:val="17"/>
              </w:rPr>
              <w:t>rose to about 7 times its 1997 value</w:t>
            </w:r>
          </w:p>
        </w:tc>
        <w:tc>
          <w:tcPr>
            <w:tcW w:type="dxa" w:w="1984"/>
          </w:tcPr>
          <w:p>
            <w:r>
              <w:rPr>
                <w:sz w:val="17"/>
              </w:rPr>
              <w:t>Kelly (2009)</w:t>
            </w:r>
          </w:p>
        </w:tc>
      </w:tr>
      <w:tr>
        <w:tc>
          <w:tcPr>
            <w:tcW w:type="dxa" w:w="3402"/>
          </w:tcPr>
          <w:p>
            <w:r>
              <w:rPr>
                <w:sz w:val="17"/>
              </w:rPr>
              <w:t>Irish lending to developers, 1997 → 2008</w:t>
            </w:r>
          </w:p>
        </w:tc>
        <w:tc>
          <w:tcPr>
            <w:tcW w:type="dxa" w:w="4252"/>
          </w:tcPr>
          <w:p>
            <w:r>
              <w:rPr>
                <w:sz w:val="17"/>
              </w:rPr>
              <w:t>about 11 times its 1997 value</w:t>
            </w:r>
          </w:p>
        </w:tc>
        <w:tc>
          <w:tcPr>
            <w:tcW w:type="dxa" w:w="1984"/>
          </w:tcPr>
          <w:p>
            <w:r>
              <w:rPr>
                <w:sz w:val="17"/>
              </w:rPr>
              <w:t>Kelly (2009)</w:t>
            </w:r>
          </w:p>
        </w:tc>
      </w:tr>
      <w:tr>
        <w:tc>
          <w:tcPr>
            <w:tcW w:type="dxa" w:w="3402"/>
          </w:tcPr>
          <w:p>
            <w:r>
              <w:rPr>
                <w:sz w:val="17"/>
              </w:rPr>
              <w:t>EU/IMF programme for Ireland (28 Nov 2010)</w:t>
            </w:r>
          </w:p>
        </w:tc>
        <w:tc>
          <w:tcPr>
            <w:tcW w:type="dxa" w:w="4252"/>
          </w:tcPr>
          <w:p>
            <w:r>
              <w:rPr>
                <w:sz w:val="17"/>
              </w:rPr>
              <w:t>€85bn in total; €67.5bn external (€45bn EU and bilateral, €22.5bn IMF)</w:t>
            </w:r>
          </w:p>
        </w:tc>
        <w:tc>
          <w:tcPr>
            <w:tcW w:type="dxa" w:w="1984"/>
          </w:tcPr>
          <w:p>
            <w:r>
              <w:rPr>
                <w:sz w:val="17"/>
              </w:rPr>
              <w:t>European Commission / press reports</w:t>
            </w:r>
          </w:p>
        </w:tc>
      </w:tr>
      <w:tr>
        <w:tc>
          <w:tcPr>
            <w:tcW w:type="dxa" w:w="3402"/>
          </w:tcPr>
          <w:p>
            <w:r>
              <w:rPr>
                <w:sz w:val="17"/>
              </w:rPr>
              <w:t>Ireland exits the programme</w:t>
            </w:r>
          </w:p>
        </w:tc>
        <w:tc>
          <w:tcPr>
            <w:tcW w:type="dxa" w:w="4252"/>
          </w:tcPr>
          <w:p>
            <w:r>
              <w:rPr>
                <w:sz w:val="17"/>
              </w:rPr>
              <w:t>15 December 2013</w:t>
            </w:r>
          </w:p>
        </w:tc>
        <w:tc>
          <w:tcPr>
            <w:tcW w:type="dxa" w:w="1984"/>
          </w:tcPr>
          <w:p>
            <w:r>
              <w:rPr>
                <w:sz w:val="17"/>
              </w:rPr>
              <w:t>European Commission / press reports</w:t>
            </w:r>
          </w:p>
        </w:tc>
      </w:tr>
      <w:tr>
        <w:tc>
          <w:tcPr>
            <w:tcW w:type="dxa" w:w="3402"/>
          </w:tcPr>
          <w:p>
            <w:r>
              <w:rPr>
                <w:sz w:val="17"/>
              </w:rPr>
              <w:t>Brexit: ISEQ on 24 and 27 Jun 2016</w:t>
            </w:r>
          </w:p>
        </w:tc>
        <w:tc>
          <w:tcPr>
            <w:tcW w:type="dxa" w:w="4252"/>
          </w:tcPr>
          <w:p>
            <w:r>
              <w:rPr>
                <w:sz w:val="17"/>
              </w:rPr>
              <w:t>−7.7% and −9.9%</w:t>
            </w:r>
          </w:p>
        </w:tc>
        <w:tc>
          <w:tcPr>
            <w:tcW w:type="dxa" w:w="1984"/>
          </w:tcPr>
          <w:p>
            <w:r>
              <w:rPr>
                <w:sz w:val="17"/>
              </w:rPr>
              <w:t>Your data</w:t>
            </w:r>
          </w:p>
        </w:tc>
      </w:tr>
      <w:tr>
        <w:tc>
          <w:tcPr>
            <w:tcW w:type="dxa" w:w="3402"/>
          </w:tcPr>
          <w:p>
            <w:r>
              <w:rPr>
                <w:sz w:val="17"/>
              </w:rPr>
              <w:t>COVID: ISEQ on 12 Mar 2020</w:t>
            </w:r>
          </w:p>
        </w:tc>
        <w:tc>
          <w:tcPr>
            <w:tcW w:type="dxa" w:w="4252"/>
          </w:tcPr>
          <w:p>
            <w:r>
              <w:rPr>
                <w:sz w:val="17"/>
              </w:rPr>
              <w:t>−9.9%</w:t>
            </w:r>
          </w:p>
        </w:tc>
        <w:tc>
          <w:tcPr>
            <w:tcW w:type="dxa" w:w="1984"/>
          </w:tcPr>
          <w:p>
            <w:r>
              <w:rPr>
                <w:sz w:val="17"/>
              </w:rPr>
              <w:t>Your data</w:t>
            </w:r>
          </w:p>
        </w:tc>
      </w:tr>
      <w:tr>
        <w:tc>
          <w:tcPr>
            <w:tcW w:type="dxa" w:w="3402"/>
          </w:tcPr>
          <w:p>
            <w:r>
              <w:rPr>
                <w:sz w:val="17"/>
              </w:rPr>
              <w:t>War: ISEQ on 24 Feb 2022</w:t>
            </w:r>
          </w:p>
        </w:tc>
        <w:tc>
          <w:tcPr>
            <w:tcW w:type="dxa" w:w="4252"/>
          </w:tcPr>
          <w:p>
            <w:r>
              <w:rPr>
                <w:sz w:val="17"/>
              </w:rPr>
              <w:t>−4.6%</w:t>
            </w:r>
          </w:p>
        </w:tc>
        <w:tc>
          <w:tcPr>
            <w:tcW w:type="dxa" w:w="1984"/>
          </w:tcPr>
          <w:p>
            <w:r>
              <w:rPr>
                <w:sz w:val="17"/>
              </w:rPr>
              <w:t>Your data</w:t>
            </w:r>
          </w:p>
        </w:tc>
      </w:tr>
      <w:tr>
        <w:tc>
          <w:tcPr>
            <w:tcW w:type="dxa" w:w="3402"/>
          </w:tcPr>
          <w:p>
            <w:r>
              <w:rPr>
                <w:sz w:val="17"/>
              </w:rPr>
              <w:t>US daily moves &gt; 2.5%, 1900–2019</w:t>
            </w:r>
          </w:p>
        </w:tc>
        <w:tc>
          <w:tcPr>
            <w:tcW w:type="dxa" w:w="4252"/>
          </w:tcPr>
          <w:p>
            <w:r>
              <w:rPr>
                <w:sz w:val="17"/>
              </w:rPr>
              <w:t>more than 1,100; none attributed by newspapers to a pandemic</w:t>
            </w:r>
          </w:p>
        </w:tc>
        <w:tc>
          <w:tcPr>
            <w:tcW w:type="dxa" w:w="1984"/>
          </w:tcPr>
          <w:p>
            <w:r>
              <w:rPr>
                <w:sz w:val="17"/>
              </w:rPr>
              <w:t>Baker et al. (2020)</w:t>
            </w:r>
          </w:p>
        </w:tc>
      </w:tr>
      <w:tr>
        <w:tc>
          <w:tcPr>
            <w:tcW w:type="dxa" w:w="3402"/>
          </w:tcPr>
          <w:p>
            <w:r>
              <w:rPr>
                <w:sz w:val="17"/>
              </w:rPr>
              <w:t>COVID-related jumps, 24 Feb – 20 Apr 2020</w:t>
            </w:r>
          </w:p>
        </w:tc>
        <w:tc>
          <w:tcPr>
            <w:tcW w:type="dxa" w:w="4252"/>
          </w:tcPr>
          <w:p>
            <w:r>
              <w:rPr>
                <w:sz w:val="17"/>
              </w:rPr>
              <w:t>about two dozen</w:t>
            </w:r>
          </w:p>
        </w:tc>
        <w:tc>
          <w:tcPr>
            <w:tcW w:type="dxa" w:w="1984"/>
          </w:tcPr>
          <w:p>
            <w:r>
              <w:rPr>
                <w:sz w:val="17"/>
              </w:rPr>
              <w:t>Baker et al. (2020)</w:t>
            </w:r>
          </w:p>
        </w:tc>
      </w:tr>
      <w:tr>
        <w:tc>
          <w:tcPr>
            <w:tcW w:type="dxa" w:w="3402"/>
          </w:tcPr>
          <w:p>
            <w:r>
              <w:rPr>
                <w:sz w:val="17"/>
              </w:rPr>
              <w:t>COVID excess mortality vs Spanish Flu</w:t>
            </w:r>
          </w:p>
        </w:tc>
        <w:tc>
          <w:tcPr>
            <w:tcW w:type="dxa" w:w="4252"/>
          </w:tcPr>
          <w:p>
            <w:r>
              <w:rPr>
                <w:sz w:val="17"/>
              </w:rPr>
              <w:t>about 1/25th</w:t>
            </w:r>
          </w:p>
        </w:tc>
        <w:tc>
          <w:tcPr>
            <w:tcW w:type="dxa" w:w="1984"/>
          </w:tcPr>
          <w:p>
            <w:r>
              <w:rPr>
                <w:sz w:val="17"/>
              </w:rPr>
              <w:t>Baker et al. (2020)</w:t>
            </w:r>
          </w:p>
        </w:tc>
      </w:tr>
      <w:tr>
        <w:tc>
          <w:tcPr>
            <w:tcW w:type="dxa" w:w="3402"/>
          </w:tcPr>
          <w:p>
            <w:r>
              <w:rPr>
                <w:sz w:val="17"/>
              </w:rPr>
              <w:t>Countries in Bekaert et al.</w:t>
            </w:r>
          </w:p>
        </w:tc>
        <w:tc>
          <w:tcPr>
            <w:tcW w:type="dxa" w:w="4252"/>
          </w:tcPr>
          <w:p>
            <w:r>
              <w:rPr>
                <w:sz w:val="17"/>
              </w:rPr>
              <w:t>55 equity markets</w:t>
            </w:r>
          </w:p>
        </w:tc>
        <w:tc>
          <w:tcPr>
            <w:tcW w:type="dxa" w:w="1984"/>
          </w:tcPr>
          <w:p>
            <w:r>
              <w:rPr>
                <w:sz w:val="17"/>
              </w:rPr>
              <w:t>Bekaert et al. (2014)</w:t>
            </w:r>
          </w:p>
        </w:tc>
      </w:tr>
      <w:tr>
        <w:tc>
          <w:tcPr>
            <w:tcW w:type="dxa" w:w="3402"/>
          </w:tcPr>
          <w:p>
            <w:r>
              <w:rPr>
                <w:sz w:val="17"/>
              </w:rPr>
              <w:t>Markets in Diebold &amp; Yilmaz spillover study</w:t>
            </w:r>
          </w:p>
        </w:tc>
        <w:tc>
          <w:tcPr>
            <w:tcW w:type="dxa" w:w="4252"/>
          </w:tcPr>
          <w:p>
            <w:r>
              <w:rPr>
                <w:sz w:val="17"/>
              </w:rPr>
              <w:t>19 global equity markets, early 1990s–2007</w:t>
            </w:r>
          </w:p>
        </w:tc>
        <w:tc>
          <w:tcPr>
            <w:tcW w:type="dxa" w:w="1984"/>
          </w:tcPr>
          <w:p>
            <w:r>
              <w:rPr>
                <w:sz w:val="17"/>
              </w:rPr>
              <w:t>Diebold &amp; Yilmaz (2009)</w:t>
            </w:r>
          </w:p>
        </w:tc>
      </w:tr>
      <w:tr>
        <w:tc>
          <w:tcPr>
            <w:tcW w:type="dxa" w:w="3402"/>
          </w:tcPr>
          <w:p>
            <w:r>
              <w:rPr>
                <w:sz w:val="17"/>
              </w:rPr>
              <w:t>Christensen et al. sample</w:t>
            </w:r>
          </w:p>
        </w:tc>
        <w:tc>
          <w:tcPr>
            <w:tcW w:type="dxa" w:w="4252"/>
          </w:tcPr>
          <w:p>
            <w:r>
              <w:rPr>
                <w:sz w:val="17"/>
              </w:rPr>
              <w:t>DJIA stocks, 29 Jan 2001 – 31 Dec 2017, 4,257 trading days</w:t>
            </w:r>
          </w:p>
        </w:tc>
        <w:tc>
          <w:tcPr>
            <w:tcW w:type="dxa" w:w="1984"/>
          </w:tcPr>
          <w:p>
            <w:r>
              <w:rPr>
                <w:sz w:val="17"/>
              </w:rPr>
              <w:t>Christensen et al. (2023)</w:t>
            </w:r>
          </w:p>
        </w:tc>
      </w:tr>
      <w:tr>
        <w:tc>
          <w:tcPr>
            <w:tcW w:type="dxa" w:w="3402"/>
          </w:tcPr>
          <w:p>
            <w:r>
              <w:rPr>
                <w:sz w:val="17"/>
              </w:rPr>
              <w:t>Bucci sample</w:t>
            </w:r>
          </w:p>
        </w:tc>
        <w:tc>
          <w:tcPr>
            <w:tcW w:type="dxa" w:w="4252"/>
          </w:tcPr>
          <w:p>
            <w:r>
              <w:rPr>
                <w:sz w:val="17"/>
              </w:rPr>
              <w:t>monthly S&amp;P 500, Feb 1950 – Dec 2017, 815 observations</w:t>
            </w:r>
          </w:p>
        </w:tc>
        <w:tc>
          <w:tcPr>
            <w:tcW w:type="dxa" w:w="1984"/>
          </w:tcPr>
          <w:p>
            <w:r>
              <w:rPr>
                <w:sz w:val="17"/>
              </w:rPr>
              <w:t>Bucci (2020)</w:t>
            </w:r>
          </w:p>
        </w:tc>
      </w:tr>
      <w:tr>
        <w:tc>
          <w:tcPr>
            <w:tcW w:type="dxa" w:w="3402"/>
          </w:tcPr>
          <w:p>
            <w:r>
              <w:rPr>
                <w:sz w:val="17"/>
              </w:rPr>
              <w:t>ISEQ 20 value that left in 2023–24</w:t>
            </w:r>
          </w:p>
        </w:tc>
        <w:tc>
          <w:tcPr>
            <w:tcW w:type="dxa" w:w="4252"/>
          </w:tcPr>
          <w:p>
            <w:r>
              <w:rPr>
                <w:sz w:val="17"/>
              </w:rPr>
              <w:t>CRH, Flutter, Smurfit ≈ €74bn of ≈ €152bn</w:t>
            </w:r>
          </w:p>
        </w:tc>
        <w:tc>
          <w:tcPr>
            <w:tcW w:type="dxa" w:w="1984"/>
          </w:tcPr>
          <w:p>
            <w:r>
              <w:rPr>
                <w:sz w:val="17"/>
              </w:rPr>
              <w:t>Irish Times</w:t>
            </w:r>
          </w:p>
        </w:tc>
      </w:tr>
      <w:tr>
        <w:tc>
          <w:tcPr>
            <w:tcW w:type="dxa" w:w="3402"/>
          </w:tcPr>
          <w:p>
            <w:r>
              <w:rPr>
                <w:sz w:val="17"/>
              </w:rPr>
              <w:t>Your main sample</w:t>
            </w:r>
          </w:p>
        </w:tc>
        <w:tc>
          <w:tcPr>
            <w:tcW w:type="dxa" w:w="4252"/>
          </w:tcPr>
          <w:p>
            <w:r>
              <w:rPr>
                <w:sz w:val="17"/>
              </w:rPr>
              <w:t>5,243 complete trading days, Jan 2003 – Aug 2023</w:t>
            </w:r>
          </w:p>
        </w:tc>
        <w:tc>
          <w:tcPr>
            <w:tcW w:type="dxa" w:w="1984"/>
          </w:tcPr>
          <w:p>
            <w:r>
              <w:rPr>
                <w:sz w:val="17"/>
              </w:rPr>
              <w:t>Your data</w:t>
            </w:r>
          </w:p>
        </w:tc>
      </w:tr>
    </w:tbl>
    <w:p>
      <w:pPr>
        <w:spacing w:after="40"/>
      </w:pPr>
    </w:p>
    <w:p>
      <w:pPr>
        <w:pStyle w:val="Heading1"/>
      </w:pPr>
      <w:r>
        <w:rPr>
          <w:color w:val="1F4E79"/>
        </w:rPr>
        <w:t>B. Irish crisis timeline (2003–2023)</w:t>
      </w:r>
    </w:p>
    <w:p>
      <w:pPr>
        <w:spacing w:after="80"/>
      </w:pPr>
      <w:r>
        <w:rPr>
          <w:i w:val="0"/>
        </w:rPr>
        <w:t>Dates confirmed in this session are marked ✔. Use official sources (Honohan, Regling &amp; Watson, Nyberg, European Commission) when you cite them, not newspapers.</w:t>
      </w:r>
    </w:p>
    <w:tbl>
      <w:tblPr>
        <w:tblStyle w:val="TableGrid"/>
        <w:tblW w:type="auto" w:w="0"/>
        <w:jc w:val="center"/>
        <w:tblLook w:firstColumn="1" w:firstRow="1" w:lastColumn="0" w:lastRow="0" w:noHBand="0" w:noVBand="1" w:val="04A0"/>
      </w:tblPr>
      <w:tblGrid>
        <w:gridCol w:w="3324"/>
        <w:gridCol w:w="3324"/>
        <w:gridCol w:w="3324"/>
      </w:tblGrid>
      <w:tr>
        <w:tc>
          <w:tcPr>
            <w:tcW w:type="dxa" w:w="1417"/>
            <w:shd w:val="clear" w:color="auto" w:fill="1F4E79"/>
          </w:tcPr>
          <w:p>
            <w:r>
              <w:rPr>
                <w:b/>
                <w:color w:val="FFFFFF"/>
                <w:sz w:val="17"/>
              </w:rPr>
              <w:t>Date</w:t>
            </w:r>
          </w:p>
        </w:tc>
        <w:tc>
          <w:tcPr>
            <w:tcW w:type="dxa" w:w="4535"/>
            <w:shd w:val="clear" w:color="auto" w:fill="1F4E79"/>
          </w:tcPr>
          <w:p>
            <w:r>
              <w:rPr>
                <w:b/>
                <w:color w:val="FFFFFF"/>
                <w:sz w:val="17"/>
              </w:rPr>
              <w:t>Event</w:t>
            </w:r>
          </w:p>
        </w:tc>
        <w:tc>
          <w:tcPr>
            <w:tcW w:type="dxa" w:w="3685"/>
            <w:shd w:val="clear" w:color="auto" w:fill="1F4E79"/>
          </w:tcPr>
          <w:p>
            <w:r>
              <w:rPr>
                <w:b/>
                <w:color w:val="FFFFFF"/>
                <w:sz w:val="17"/>
              </w:rPr>
              <w:t>Why it matters for you</w:t>
            </w:r>
          </w:p>
        </w:tc>
      </w:tr>
      <w:tr>
        <w:tc>
          <w:tcPr>
            <w:tcW w:type="dxa" w:w="1417"/>
          </w:tcPr>
          <w:p>
            <w:r>
              <w:rPr>
                <w:sz w:val="17"/>
              </w:rPr>
              <w:t>2003–2007</w:t>
            </w:r>
          </w:p>
        </w:tc>
        <w:tc>
          <w:tcPr>
            <w:tcW w:type="dxa" w:w="4535"/>
          </w:tcPr>
          <w:p>
            <w:r>
              <w:rPr>
                <w:sz w:val="17"/>
              </w:rPr>
              <w:t>Irish credit and property boom; mortgage lending ~7×, developer lending ~11× 1997 levels ✔</w:t>
            </w:r>
          </w:p>
        </w:tc>
        <w:tc>
          <w:tcPr>
            <w:tcW w:type="dxa" w:w="3685"/>
          </w:tcPr>
          <w:p>
            <w:r>
              <w:rPr>
                <w:sz w:val="17"/>
              </w:rPr>
              <w:t>Minsky’s calm-boom phase; this is your training history before the GFC</w:t>
            </w:r>
          </w:p>
        </w:tc>
      </w:tr>
      <w:tr>
        <w:tc>
          <w:tcPr>
            <w:tcW w:type="dxa" w:w="1417"/>
          </w:tcPr>
          <w:p>
            <w:r>
              <w:rPr>
                <w:sz w:val="17"/>
              </w:rPr>
              <w:t>20 Feb 2007</w:t>
            </w:r>
          </w:p>
        </w:tc>
        <w:tc>
          <w:tcPr>
            <w:tcW w:type="dxa" w:w="4535"/>
          </w:tcPr>
          <w:p>
            <w:r>
              <w:rPr>
                <w:sz w:val="17"/>
              </w:rPr>
              <w:t>ISEQ peak 9,981 ✔ (your data)</w:t>
            </w:r>
          </w:p>
        </w:tc>
        <w:tc>
          <w:tcPr>
            <w:tcW w:type="dxa" w:w="3685"/>
          </w:tcPr>
          <w:p>
            <w:r>
              <w:rPr>
                <w:sz w:val="17"/>
              </w:rPr>
              <w:t>Start of the Irish decline, before the global crisis</w:t>
            </w:r>
          </w:p>
        </w:tc>
      </w:tr>
      <w:tr>
        <w:tc>
          <w:tcPr>
            <w:tcW w:type="dxa" w:w="1417"/>
          </w:tcPr>
          <w:p>
            <w:r>
              <w:rPr>
                <w:sz w:val="17"/>
              </w:rPr>
              <w:t>9 Aug 2007</w:t>
            </w:r>
          </w:p>
        </w:tc>
        <w:tc>
          <w:tcPr>
            <w:tcW w:type="dxa" w:w="4535"/>
          </w:tcPr>
          <w:p>
            <w:r>
              <w:rPr>
                <w:sz w:val="17"/>
              </w:rPr>
              <w:t>BNP Paribas freezes funds; interbank markets seize</w:t>
            </w:r>
          </w:p>
        </w:tc>
        <w:tc>
          <w:tcPr>
            <w:tcW w:type="dxa" w:w="3685"/>
          </w:tcPr>
          <w:p>
            <w:r>
              <w:rPr>
                <w:sz w:val="17"/>
              </w:rPr>
              <w:t>Start of your GFC window</w:t>
            </w:r>
          </w:p>
        </w:tc>
      </w:tr>
      <w:tr>
        <w:tc>
          <w:tcPr>
            <w:tcW w:type="dxa" w:w="1417"/>
          </w:tcPr>
          <w:p>
            <w:r>
              <w:rPr>
                <w:sz w:val="17"/>
              </w:rPr>
              <w:t>15 Sep 2008</w:t>
            </w:r>
          </w:p>
        </w:tc>
        <w:tc>
          <w:tcPr>
            <w:tcW w:type="dxa" w:w="4535"/>
          </w:tcPr>
          <w:p>
            <w:r>
              <w:rPr>
                <w:sz w:val="17"/>
              </w:rPr>
              <w:t>Lehman Brothers fails</w:t>
            </w:r>
          </w:p>
        </w:tc>
        <w:tc>
          <w:tcPr>
            <w:tcW w:type="dxa" w:w="3685"/>
          </w:tcPr>
          <w:p>
            <w:r>
              <w:rPr>
                <w:sz w:val="17"/>
              </w:rPr>
              <w:t>Peak global stress; VIX spikes</w:t>
            </w:r>
          </w:p>
        </w:tc>
      </w:tr>
      <w:tr>
        <w:tc>
          <w:tcPr>
            <w:tcW w:type="dxa" w:w="1417"/>
          </w:tcPr>
          <w:p>
            <w:r>
              <w:rPr>
                <w:sz w:val="17"/>
              </w:rPr>
              <w:t>30 Sep 2008</w:t>
            </w:r>
          </w:p>
        </w:tc>
        <w:tc>
          <w:tcPr>
            <w:tcW w:type="dxa" w:w="4535"/>
          </w:tcPr>
          <w:p>
            <w:r>
              <w:rPr>
                <w:sz w:val="17"/>
              </w:rPr>
              <w:t>Irish government guarantees the deposits of its six biggest banks ✔</w:t>
            </w:r>
          </w:p>
        </w:tc>
        <w:tc>
          <w:tcPr>
            <w:tcW w:type="dxa" w:w="3685"/>
          </w:tcPr>
          <w:p>
            <w:r>
              <w:rPr>
                <w:sz w:val="17"/>
              </w:rPr>
              <w:t>Bank risk moves onto the state: the bank–sovereign loop begins</w:t>
            </w:r>
          </w:p>
        </w:tc>
      </w:tr>
      <w:tr>
        <w:tc>
          <w:tcPr>
            <w:tcW w:type="dxa" w:w="1417"/>
          </w:tcPr>
          <w:p>
            <w:r>
              <w:rPr>
                <w:sz w:val="17"/>
              </w:rPr>
              <w:t>Jan 2009</w:t>
            </w:r>
          </w:p>
        </w:tc>
        <w:tc>
          <w:tcPr>
            <w:tcW w:type="dxa" w:w="4535"/>
          </w:tcPr>
          <w:p>
            <w:r>
              <w:rPr>
                <w:sz w:val="17"/>
              </w:rPr>
              <w:t>Anglo Irish Bank nationalised; state capital into AIB and Bank of Ireland ✔</w:t>
            </w:r>
          </w:p>
        </w:tc>
        <w:tc>
          <w:tcPr>
            <w:tcW w:type="dxa" w:w="3685"/>
          </w:tcPr>
          <w:p>
            <w:r>
              <w:rPr>
                <w:sz w:val="17"/>
              </w:rPr>
              <w:t>Domestic banking collapse</w:t>
            </w:r>
          </w:p>
        </w:tc>
      </w:tr>
      <w:tr>
        <w:tc>
          <w:tcPr>
            <w:tcW w:type="dxa" w:w="1417"/>
          </w:tcPr>
          <w:p>
            <w:r>
              <w:rPr>
                <w:sz w:val="17"/>
              </w:rPr>
              <w:t>9 Mar 2009</w:t>
            </w:r>
          </w:p>
        </w:tc>
        <w:tc>
          <w:tcPr>
            <w:tcW w:type="dxa" w:w="4535"/>
          </w:tcPr>
          <w:p>
            <w:r>
              <w:rPr>
                <w:sz w:val="17"/>
              </w:rPr>
              <w:t>ISEQ trough 1,916 ✔ (your data); S&amp;P 500 trough</w:t>
            </w:r>
          </w:p>
        </w:tc>
        <w:tc>
          <w:tcPr>
            <w:tcW w:type="dxa" w:w="3685"/>
          </w:tcPr>
          <w:p>
            <w:r>
              <w:rPr>
                <w:sz w:val="17"/>
              </w:rPr>
              <w:t>End of your GFC window</w:t>
            </w:r>
          </w:p>
        </w:tc>
      </w:tr>
      <w:tr>
        <w:tc>
          <w:tcPr>
            <w:tcW w:type="dxa" w:w="1417"/>
          </w:tcPr>
          <w:p>
            <w:r>
              <w:rPr>
                <w:sz w:val="17"/>
              </w:rPr>
              <w:t>2009</w:t>
            </w:r>
          </w:p>
        </w:tc>
        <w:tc>
          <w:tcPr>
            <w:tcW w:type="dxa" w:w="4535"/>
          </w:tcPr>
          <w:p>
            <w:r>
              <w:rPr>
                <w:sz w:val="17"/>
              </w:rPr>
              <w:t>NAMA set up to take property loans from banks</w:t>
            </w:r>
          </w:p>
        </w:tc>
        <w:tc>
          <w:tcPr>
            <w:tcW w:type="dxa" w:w="3685"/>
          </w:tcPr>
          <w:p>
            <w:r>
              <w:rPr>
                <w:sz w:val="17"/>
              </w:rPr>
              <w:t>Fiscal cost of bank rescue grows</w:t>
            </w:r>
          </w:p>
        </w:tc>
      </w:tr>
      <w:tr>
        <w:tc>
          <w:tcPr>
            <w:tcW w:type="dxa" w:w="1417"/>
          </w:tcPr>
          <w:p>
            <w:r>
              <w:rPr>
                <w:sz w:val="17"/>
              </w:rPr>
              <w:t>23 Apr 2010</w:t>
            </w:r>
          </w:p>
        </w:tc>
        <w:tc>
          <w:tcPr>
            <w:tcW w:type="dxa" w:w="4535"/>
          </w:tcPr>
          <w:p>
            <w:r>
              <w:rPr>
                <w:sz w:val="17"/>
              </w:rPr>
              <w:t>Greece requests EU/IMF assistance</w:t>
            </w:r>
          </w:p>
        </w:tc>
        <w:tc>
          <w:tcPr>
            <w:tcW w:type="dxa" w:w="3685"/>
          </w:tcPr>
          <w:p>
            <w:r>
              <w:rPr>
                <w:sz w:val="17"/>
              </w:rPr>
              <w:t>Start of your Irish sovereign-debt window</w:t>
            </w:r>
          </w:p>
        </w:tc>
      </w:tr>
      <w:tr>
        <w:tc>
          <w:tcPr>
            <w:tcW w:type="dxa" w:w="1417"/>
          </w:tcPr>
          <w:p>
            <w:r>
              <w:rPr>
                <w:sz w:val="17"/>
              </w:rPr>
              <w:t>28 Nov 2010</w:t>
            </w:r>
          </w:p>
        </w:tc>
        <w:tc>
          <w:tcPr>
            <w:tcW w:type="dxa" w:w="4535"/>
          </w:tcPr>
          <w:p>
            <w:r>
              <w:rPr>
                <w:sz w:val="17"/>
              </w:rPr>
              <w:t>€85bn EU/IMF programme for Ireland announced ✔</w:t>
            </w:r>
          </w:p>
        </w:tc>
        <w:tc>
          <w:tcPr>
            <w:tcW w:type="dxa" w:w="3685"/>
          </w:tcPr>
          <w:p>
            <w:r>
              <w:rPr>
                <w:sz w:val="17"/>
              </w:rPr>
              <w:t>Sovereign crisis peak for Ireland</w:t>
            </w:r>
          </w:p>
        </w:tc>
      </w:tr>
      <w:tr>
        <w:tc>
          <w:tcPr>
            <w:tcW w:type="dxa" w:w="1417"/>
          </w:tcPr>
          <w:p>
            <w:r>
              <w:rPr>
                <w:sz w:val="17"/>
              </w:rPr>
              <w:t>26 Jul 2012</w:t>
            </w:r>
          </w:p>
        </w:tc>
        <w:tc>
          <w:tcPr>
            <w:tcW w:type="dxa" w:w="4535"/>
          </w:tcPr>
          <w:p>
            <w:r>
              <w:rPr>
                <w:sz w:val="17"/>
              </w:rPr>
              <w:t>ECB President Draghi: ‘whatever it takes’</w:t>
            </w:r>
          </w:p>
        </w:tc>
        <w:tc>
          <w:tcPr>
            <w:tcW w:type="dxa" w:w="3685"/>
          </w:tcPr>
          <w:p>
            <w:r>
              <w:rPr>
                <w:sz w:val="17"/>
              </w:rPr>
              <w:t>End of your sovereign-debt window</w:t>
            </w:r>
          </w:p>
        </w:tc>
      </w:tr>
      <w:tr>
        <w:tc>
          <w:tcPr>
            <w:tcW w:type="dxa" w:w="1417"/>
          </w:tcPr>
          <w:p>
            <w:r>
              <w:rPr>
                <w:sz w:val="17"/>
              </w:rPr>
              <w:t>15 Dec 2013</w:t>
            </w:r>
          </w:p>
        </w:tc>
        <w:tc>
          <w:tcPr>
            <w:tcW w:type="dxa" w:w="4535"/>
          </w:tcPr>
          <w:p>
            <w:r>
              <w:rPr>
                <w:sz w:val="17"/>
              </w:rPr>
              <w:t>Ireland exits the programme ✔</w:t>
            </w:r>
          </w:p>
        </w:tc>
        <w:tc>
          <w:tcPr>
            <w:tcW w:type="dxa" w:w="3685"/>
          </w:tcPr>
          <w:p>
            <w:r>
              <w:rPr>
                <w:sz w:val="17"/>
              </w:rPr>
              <w:t>Recovery (Whelan: turnaround from 2012)</w:t>
            </w:r>
          </w:p>
        </w:tc>
      </w:tr>
      <w:tr>
        <w:tc>
          <w:tcPr>
            <w:tcW w:type="dxa" w:w="1417"/>
          </w:tcPr>
          <w:p>
            <w:r>
              <w:rPr>
                <w:sz w:val="17"/>
              </w:rPr>
              <w:t>23–27 Jun 2016</w:t>
            </w:r>
          </w:p>
        </w:tc>
        <w:tc>
          <w:tcPr>
            <w:tcW w:type="dxa" w:w="4535"/>
          </w:tcPr>
          <w:p>
            <w:r>
              <w:rPr>
                <w:sz w:val="17"/>
              </w:rPr>
              <w:t>Brexit referendum; ISEQ −7.7% and −9.9% ✔ (your data)</w:t>
            </w:r>
          </w:p>
        </w:tc>
        <w:tc>
          <w:tcPr>
            <w:tcW w:type="dxa" w:w="3685"/>
          </w:tcPr>
          <w:p>
            <w:r>
              <w:rPr>
                <w:sz w:val="17"/>
              </w:rPr>
              <w:t>UK-origin validation event</w:t>
            </w:r>
          </w:p>
        </w:tc>
      </w:tr>
      <w:tr>
        <w:tc>
          <w:tcPr>
            <w:tcW w:type="dxa" w:w="1417"/>
          </w:tcPr>
          <w:p>
            <w:r>
              <w:rPr>
                <w:sz w:val="17"/>
              </w:rPr>
              <w:t>Feb–Mar 2020</w:t>
            </w:r>
          </w:p>
        </w:tc>
        <w:tc>
          <w:tcPr>
            <w:tcW w:type="dxa" w:w="4535"/>
          </w:tcPr>
          <w:p>
            <w:r>
              <w:rPr>
                <w:sz w:val="17"/>
              </w:rPr>
              <w:t>COVID-19; ISEQ −9.9% on 12 Mar ✔ (your data)</w:t>
            </w:r>
          </w:p>
        </w:tc>
        <w:tc>
          <w:tcPr>
            <w:tcW w:type="dxa" w:w="3685"/>
          </w:tcPr>
          <w:p>
            <w:r>
              <w:rPr>
                <w:sz w:val="17"/>
              </w:rPr>
              <w:t>Exogenous crisis window</w:t>
            </w:r>
          </w:p>
        </w:tc>
      </w:tr>
      <w:tr>
        <w:tc>
          <w:tcPr>
            <w:tcW w:type="dxa" w:w="1417"/>
          </w:tcPr>
          <w:p>
            <w:r>
              <w:rPr>
                <w:sz w:val="17"/>
              </w:rPr>
              <w:t>24 Feb 2022</w:t>
            </w:r>
          </w:p>
        </w:tc>
        <w:tc>
          <w:tcPr>
            <w:tcW w:type="dxa" w:w="4535"/>
          </w:tcPr>
          <w:p>
            <w:r>
              <w:rPr>
                <w:sz w:val="17"/>
              </w:rPr>
              <w:t>Russia invades Ukraine; ISEQ −4.6% ✔ (your data); ECB starts raising rates from July 2022</w:t>
            </w:r>
          </w:p>
        </w:tc>
        <w:tc>
          <w:tcPr>
            <w:tcW w:type="dxa" w:w="3685"/>
          </w:tcPr>
          <w:p>
            <w:r>
              <w:rPr>
                <w:sz w:val="17"/>
              </w:rPr>
              <w:t>European energy/rates validation event</w:t>
            </w:r>
          </w:p>
        </w:tc>
      </w:tr>
      <w:tr>
        <w:tc>
          <w:tcPr>
            <w:tcW w:type="dxa" w:w="1417"/>
          </w:tcPr>
          <w:p>
            <w:r>
              <w:rPr>
                <w:sz w:val="17"/>
              </w:rPr>
              <w:t>Sep 2023 – Jul 2024</w:t>
            </w:r>
          </w:p>
        </w:tc>
        <w:tc>
          <w:tcPr>
            <w:tcW w:type="dxa" w:w="4535"/>
          </w:tcPr>
          <w:p>
            <w:r>
              <w:rPr>
                <w:sz w:val="17"/>
              </w:rPr>
              <w:t>CRH, Flutter, Smurfit leave the ISEQ ✔</w:t>
            </w:r>
          </w:p>
        </w:tc>
        <w:tc>
          <w:tcPr>
            <w:tcW w:type="dxa" w:w="3685"/>
          </w:tcPr>
          <w:p>
            <w:r>
              <w:rPr>
                <w:sz w:val="17"/>
              </w:rPr>
              <w:t>Your sample ends 31 Aug 2023</w:t>
            </w:r>
          </w:p>
        </w:tc>
      </w:tr>
    </w:tbl>
    <w:p>
      <w:pPr>
        <w:spacing w:after="40"/>
      </w:pPr>
    </w:p>
    <w:p>
      <w:pPr>
        <w:pStyle w:val="Heading1"/>
      </w:pPr>
      <w:r>
        <w:rPr>
          <w:color w:val="1F4E79"/>
        </w:rPr>
        <w:t>C. Concept primers (in plain words)</w:t>
      </w:r>
    </w:p>
    <w:p>
      <w:pPr>
        <w:pStyle w:val="Heading2"/>
      </w:pPr>
      <w:r>
        <w:rPr>
          <w:color w:val="1F4E79"/>
        </w:rPr>
        <w:t>C1. Crisis theory</w:t>
      </w:r>
    </w:p>
    <w:p>
      <w:pPr>
        <w:pStyle w:val="ListBullet"/>
        <w:spacing w:after="20"/>
      </w:pPr>
      <w:r>
        <w:rPr>
          <w:b/>
        </w:rPr>
        <w:t xml:space="preserve">Efficient Market Hypothesis (Fama, 1970). </w:t>
      </w:r>
      <w:r>
        <w:t>Weak form: past prices cannot predict future returns. Semi-strong: all public information is already in prices. Strong: even private information is. Key point for you: the EMH is about the direction of returns. Volatility (how big moves will be) clusters and is forecastable without contradicting the EMH. This is why your target is volatility, not price.</w:t>
      </w:r>
    </w:p>
    <w:p>
      <w:pPr>
        <w:pStyle w:val="ListBullet"/>
        <w:spacing w:after="20"/>
      </w:pPr>
      <w:r>
        <w:rPr>
          <w:b/>
        </w:rPr>
        <w:t xml:space="preserve">Minsky’s Financial Instability Hypothesis (1992; full text checked). </w:t>
      </w:r>
      <w:r>
        <w:t>Three kinds of borrower: hedge units can pay interest and principal from income; speculative units can pay interest but must roll over principal; Ponzi units cannot even pay interest and rely on rising asset prices. Theorem 1: an economy has financing regimes in which it is stable and others in which it is unstable. Theorem 2: during long periods of prosperity, the economy moves from stable to unstable financing. Minsky also notes that if authorities fight inflation with tight money when many units are speculative, those units turn Ponzi and net worth evaporates — relevant to your 2022 rate shock.</w:t>
      </w:r>
    </w:p>
    <w:p>
      <w:pPr>
        <w:pStyle w:val="ListBullet"/>
        <w:spacing w:after="20"/>
      </w:pPr>
      <w:r>
        <w:rPr>
          <w:b/>
        </w:rPr>
        <w:t xml:space="preserve">Kindleberger’s anatomy of a crisis (Kindleberger &amp; Aliber, 2015). </w:t>
      </w:r>
      <w:r>
        <w:t>Displacement (a new opportunity) → boom fuelled by credit → euphoria and over-trading → distress as insiders sell → revulsion and panic → lender of last resort. Use it to describe how each of your crises started.</w:t>
      </w:r>
    </w:p>
    <w:p>
      <w:pPr>
        <w:pStyle w:val="ListBullet"/>
        <w:spacing w:after="20"/>
      </w:pPr>
      <w:r>
        <w:rPr>
          <w:b/>
        </w:rPr>
        <w:t xml:space="preserve">‘This time is different’ syndrome (Reinhart &amp; Rogoff). </w:t>
      </w:r>
      <w:r>
        <w:t>Because big crises are years or decades apart, each generation believes the old rules no longer apply. Your RQ3 tests the machine-learning version: does a model trained on past crises still work in the next one?</w:t>
      </w:r>
    </w:p>
    <w:p>
      <w:pPr>
        <w:pStyle w:val="Heading2"/>
      </w:pPr>
      <w:r>
        <w:rPr>
          <w:color w:val="1F4E79"/>
        </w:rPr>
        <w:t>C2. Contagion and transmission</w:t>
      </w:r>
    </w:p>
    <w:p>
      <w:pPr>
        <w:pStyle w:val="ListBullet"/>
        <w:spacing w:after="20"/>
      </w:pPr>
      <w:r>
        <w:rPr>
          <w:b/>
        </w:rPr>
        <w:t xml:space="preserve">Interdependence vs contagion. </w:t>
      </w:r>
      <w:r>
        <w:t>Interdependence = normal, stable links between markets. Contagion = a significant increase in those links during a crisis (Forbes &amp; Rigobon, 2002).</w:t>
      </w:r>
    </w:p>
    <w:p>
      <w:pPr>
        <w:pStyle w:val="ListBullet"/>
        <w:spacing w:after="20"/>
      </w:pPr>
      <w:r>
        <w:rPr>
          <w:b/>
        </w:rPr>
        <w:t xml:space="preserve">The correlation bias (Forbes &amp; Rigobon; full text checked). </w:t>
      </w:r>
      <w:r>
        <w:t>Correlation between markets rises mechanically when volatility rises, so naive tests find ‘contagion’ in every crisis. Their volatility-adjusted correlation is ρ* = ρ / √(1 + δ(1 − ρ²)), where δ is the relative increase in the variance of the source market. After adjustment they find virtually no contagion in 1987, 1994 and 1997 — only interdependence. Lesson for you: a rising SHAP share in a crisis could partly be a volatility effect. Working with shares (not raw sizes) and comparing across crises of different origin is your partial answer; say so.</w:t>
      </w:r>
    </w:p>
    <w:p>
      <w:pPr>
        <w:pStyle w:val="ListBullet"/>
        <w:spacing w:after="20"/>
      </w:pPr>
      <w:r>
        <w:rPr>
          <w:b/>
        </w:rPr>
        <w:t xml:space="preserve">Heat waves vs meteor showers (Engle, Ito &amp; Lin, 1990; checked). </w:t>
      </w:r>
      <w:r>
        <w:t>‘Heat wave’: volatility driven by a market’s own news, persisting locally. ‘Meteor shower’: volatility travelling from one market to the next as they open. They rejected the pure heat-wave view: spillovers exist. Your ‘domestic’ channel is the heat wave; your six foreign channels are meteor showers.</w:t>
      </w:r>
    </w:p>
    <w:p>
      <w:pPr>
        <w:pStyle w:val="ListBullet"/>
        <w:spacing w:after="20"/>
      </w:pPr>
      <w:r>
        <w:rPr>
          <w:b/>
        </w:rPr>
        <w:t xml:space="preserve">Spillover index (Diebold &amp; Yilmaz, 2009; checked). </w:t>
      </w:r>
      <w:r>
        <w:t>Fit a VAR to several markets; the spillover index is the share of each market’s forecast-error variance caused by shocks from other markets. Finding: return spillovers trend slowly upward with no bursts; volatility spillovers show no trend but clear bursts in crises.</w:t>
      </w:r>
    </w:p>
    <w:p>
      <w:pPr>
        <w:pStyle w:val="ListBullet"/>
        <w:spacing w:after="20"/>
      </w:pPr>
      <w:r>
        <w:rPr>
          <w:b/>
        </w:rPr>
        <w:t xml:space="preserve">Wake-up call hypothesis (Bekaert et al.). </w:t>
      </w:r>
      <w:r>
        <w:t>In a crisis investors re-examine each country’s own fundamentals, so weak countries are punished even without direct links to the crisis source.</w:t>
      </w:r>
    </w:p>
    <w:p>
      <w:pPr>
        <w:pStyle w:val="Heading2"/>
      </w:pPr>
      <w:r>
        <w:rPr>
          <w:color w:val="1F4E79"/>
        </w:rPr>
        <w:t>C3. Volatility econometrics</w:t>
      </w:r>
    </w:p>
    <w:p>
      <w:pPr>
        <w:pStyle w:val="ListBullet"/>
        <w:spacing w:after="20"/>
      </w:pPr>
      <w:r>
        <w:rPr>
          <w:b/>
        </w:rPr>
        <w:t xml:space="preserve">Log return. </w:t>
      </w:r>
      <w:r>
        <w:t>r(t) = ln(P(t)/P(t−1)). Returns add up over time; prices do not.</w:t>
      </w:r>
    </w:p>
    <w:p>
      <w:pPr>
        <w:pStyle w:val="ListBullet"/>
        <w:spacing w:after="20"/>
      </w:pPr>
      <w:r>
        <w:rPr>
          <w:b/>
        </w:rPr>
        <w:t xml:space="preserve">Stylised facts (Cont, 2001). </w:t>
      </w:r>
      <w:r>
        <w:t>Returns show little autocorrelation, but squared/absolute returns are strongly autocorrelated (volatility clustering) with slow decay (long memory); fat tails; losses larger than gains (asymmetry); volatility rises after falls (leverage effect).</w:t>
      </w:r>
    </w:p>
    <w:p>
      <w:pPr>
        <w:pStyle w:val="ListBullet"/>
        <w:spacing w:after="20"/>
      </w:pPr>
      <w:r>
        <w:rPr>
          <w:b/>
        </w:rPr>
        <w:t xml:space="preserve">GARCH(1,1). </w:t>
      </w:r>
      <w:r>
        <w:t>Today’s variance σ²(t) = ω + α·ε²(t−1) + β·σ²(t−1). α = reaction to yesterday’s shock; β = memory of yesterday’s variance; α + β = persistence (usually close to 1 for equities).</w:t>
      </w:r>
    </w:p>
    <w:p>
      <w:pPr>
        <w:pStyle w:val="ListBullet"/>
        <w:spacing w:after="20"/>
      </w:pPr>
      <w:r>
        <w:rPr>
          <w:b/>
        </w:rPr>
        <w:t xml:space="preserve">Realised variance. </w:t>
      </w:r>
      <w:r>
        <w:t>The sum of squared returns over a period — a noisy measure of true variance. Your target: RV5(t) = r²(t+1) + … + r²(t+5).</w:t>
      </w:r>
    </w:p>
    <w:p>
      <w:pPr>
        <w:pStyle w:val="ListBullet"/>
        <w:spacing w:after="20"/>
      </w:pPr>
      <w:r>
        <w:rPr>
          <w:b/>
        </w:rPr>
        <w:t xml:space="preserve">HAR (Corsi, 2009). </w:t>
      </w:r>
      <w:r>
        <w:t>RV(t+1) = β0 + βd·RV(daily) + βw·RV(weekly average) + βm·RV(monthly average) + error. The idea (the ‘heterogeneous market hypothesis’): traders with daily, weekly and monthly horizons create volatility at different speeds. Estimated by OLS; it mimics long memory with just three terms.</w:t>
      </w:r>
    </w:p>
    <w:p>
      <w:pPr>
        <w:pStyle w:val="ListBullet"/>
        <w:spacing w:after="20"/>
      </w:pPr>
      <w:r>
        <w:rPr>
          <w:b/>
        </w:rPr>
        <w:t xml:space="preserve">QLIKE loss (Patton, 2011; checked). </w:t>
      </w:r>
      <w:r>
        <w:t>QLIKE = RV/F − ln(RV/F) − 1, where F is the forecast. It penalises under-prediction of volatility more than over-prediction, and — with MSE — it is one of the loss functions that ranks forecasts correctly even when RV is noisy.</w:t>
      </w:r>
    </w:p>
    <w:p>
      <w:pPr>
        <w:pStyle w:val="ListBullet"/>
        <w:spacing w:after="20"/>
      </w:pPr>
      <w:r>
        <w:rPr>
          <w:b/>
        </w:rPr>
        <w:t xml:space="preserve">Diebold–Mariano test. </w:t>
      </w:r>
      <w:r>
        <w:t>Take the difference in losses between two models each day, d(t). Test whether its average is zero, using a standard error robust to autocorrelation (Newey–West). With 5-day overlapping forecasts use h − 1 = 4 lags. The Harvey–Leybourne–Newbold version corrects the statistic for small samples and uses t-distribution critical values.</w:t>
      </w:r>
    </w:p>
    <w:p>
      <w:pPr>
        <w:pStyle w:val="Heading2"/>
      </w:pPr>
      <w:r>
        <w:rPr>
          <w:color w:val="1F4E79"/>
        </w:rPr>
        <w:t>C4. LSTM</w:t>
      </w:r>
    </w:p>
    <w:p>
      <w:pPr>
        <w:pStyle w:val="ListBullet"/>
        <w:spacing w:after="20"/>
      </w:pPr>
      <w:r>
        <w:rPr>
          <w:b/>
        </w:rPr>
        <w:t xml:space="preserve">Why not a plain RNN? </w:t>
      </w:r>
      <w:r>
        <w:t>Gradients shrink (vanish) or explode as they pass back through many time steps, so plain RNNs forget long history.</w:t>
      </w:r>
    </w:p>
    <w:p>
      <w:pPr>
        <w:pStyle w:val="ListBullet"/>
        <w:spacing w:after="20"/>
      </w:pPr>
      <w:r>
        <w:rPr>
          <w:b/>
        </w:rPr>
        <w:t xml:space="preserve">The LSTM fix (Hochreiter &amp; Schmidhuber, 1997). </w:t>
      </w:r>
      <w:r>
        <w:t>A cell state that carries information forward almost unchanged (the ‘constant error carousel’), controlled by gates. Input gate: what new information to store. Output gate: what to reveal. Forget gate: what to discard — note this gate was added later by Gers, Schmidhuber &amp; Cummins (2000), a detail examiners like.</w:t>
      </w:r>
    </w:p>
    <w:p>
      <w:pPr>
        <w:pStyle w:val="ListBullet"/>
        <w:spacing w:after="20"/>
      </w:pPr>
      <w:r>
        <w:rPr>
          <w:b/>
        </w:rPr>
        <w:t xml:space="preserve">Why it suits volatility. </w:t>
      </w:r>
      <w:r>
        <w:t>Volatility has long memory and non-linear responses (e.g., to large falls); gated memory can learn both. Bucci (2020) and Christensen et al. (2023) attribute neural-network gains to capturing persistence/long memory.</w:t>
      </w:r>
    </w:p>
    <w:p>
      <w:pPr>
        <w:pStyle w:val="Heading2"/>
      </w:pPr>
      <w:r>
        <w:rPr>
          <w:color w:val="1F4E79"/>
        </w:rPr>
        <w:t>C5. Explainable AI</w:t>
      </w:r>
    </w:p>
    <w:p>
      <w:pPr>
        <w:pStyle w:val="ListBullet"/>
        <w:spacing w:after="20"/>
      </w:pPr>
      <w:r>
        <w:rPr>
          <w:b/>
        </w:rPr>
        <w:t xml:space="preserve">Shapley value. </w:t>
      </w:r>
      <w:r>
        <w:t>From cooperative game theory: the fair share of a team’s payoff for each player, averaging each player’s marginal contribution over all possible orders of joining.</w:t>
      </w:r>
    </w:p>
    <w:p>
      <w:pPr>
        <w:pStyle w:val="ListBullet"/>
        <w:spacing w:after="20"/>
      </w:pPr>
      <w:r>
        <w:rPr>
          <w:b/>
        </w:rPr>
        <w:t xml:space="preserve">SHAP (Lundberg &amp; Lee, 2017; checked). </w:t>
      </w:r>
      <w:r>
        <w:t>Treat input features as players and the prediction as the payoff. SHAP is the unique additive attribution with three properties: local accuracy (attributions add up to the prediction minus the baseline), missingness (absent features get zero), consistency (if a feature matters more in a new model, its attribution does not fall). Estimators: KernelSHAP (any model, slow), DeepSHAP (neural networks, based on DeepLIFT), TreeSHAP (trees).</w:t>
      </w:r>
    </w:p>
    <w:p>
      <w:pPr>
        <w:pStyle w:val="ListBullet"/>
        <w:spacing w:after="20"/>
      </w:pPr>
      <w:r>
        <w:rPr>
          <w:b/>
        </w:rPr>
        <w:t xml:space="preserve">Integrated Gradients (Sundararajan et al., 2017; checked). </w:t>
      </w:r>
      <w:r>
        <w:t>Two axioms: Sensitivity (a feature that changes the output must get non-zero credit) and Implementation Invariance (two networks that compute the same function get the same attributions). IG adds up gradients along a straight line from a baseline input to the actual input; attributions sum to F(input) − F(baseline) (completeness).</w:t>
      </w:r>
    </w:p>
    <w:p>
      <w:pPr>
        <w:pStyle w:val="ListBullet"/>
        <w:spacing w:after="20"/>
      </w:pPr>
      <w:r>
        <w:rPr>
          <w:b/>
        </w:rPr>
        <w:t xml:space="preserve">Expected gradients / GradientSHAP (Erion et al., 2021; checked). </w:t>
      </w:r>
      <w:r>
        <w:t>IG averaged over many baselines drawn from the data — this is what Captum’s GradientShap approximates, and why your baseline set is a sample of real training windows.</w:t>
      </w:r>
    </w:p>
    <w:p>
      <w:pPr>
        <w:pStyle w:val="ListBullet"/>
        <w:spacing w:after="20"/>
      </w:pPr>
      <w:r>
        <w:rPr>
          <w:b/>
        </w:rPr>
        <w:t xml:space="preserve">Limits. </w:t>
      </w:r>
      <w:r>
        <w:t>Correlated features make standard SHAP assume unrealistic combinations and give ‘very wrong’ explanations (Aas et al., 2021). Shapley-based importance has mathematical problems that need causal reasoning to fix (Kumar et al., 2020). For high-stakes decisions, interpretable models may be better than explained black boxes (Rudin, 2019).</w:t>
      </w:r>
    </w:p>
    <w:p>
      <w:pPr>
        <w:pStyle w:val="Heading1"/>
      </w:pPr>
      <w:r>
        <w:rPr>
          <w:color w:val="1F4E79"/>
        </w:rPr>
        <w:t>D. Paper cards</w:t>
      </w:r>
    </w:p>
    <w:p>
      <w:pPr>
        <w:spacing w:after="80"/>
      </w:pPr>
      <w:r>
        <w:rPr>
          <w:i w:val="0"/>
        </w:rPr>
        <w:t>Cards follow the order of your Chapter 2. ‘Feeds’ tells you the section and hypothesis the paper supports.</w:t>
      </w:r>
    </w:p>
    <w:p>
      <w:pPr>
        <w:pStyle w:val="Heading2"/>
      </w:pPr>
      <w:r>
        <w:rPr>
          <w:color w:val="1F4E79"/>
        </w:rPr>
        <w:t>D1. Section 2.2 — Why crises recur</w:t>
      </w: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Fama, E. (1970) Efficient capital markets: a review of theory and empirical work. Journal of Finance, 25(2), 383–417.</w:t>
            </w:r>
          </w:p>
        </w:tc>
      </w:tr>
      <w:tr>
        <w:tc>
          <w:tcPr>
            <w:tcW w:type="dxa" w:w="1587"/>
            <w:shd w:val="clear" w:color="auto" w:fill="F3F3F3"/>
          </w:tcPr>
          <w:p>
            <w:r>
              <w:rPr>
                <w:b/>
                <w:sz w:val="17"/>
              </w:rPr>
              <w:t>Source basis</w:t>
            </w:r>
          </w:p>
        </w:tc>
        <w:tc>
          <w:tcPr>
            <w:tcW w:type="dxa" w:w="8050"/>
            <w:shd w:val="clear" w:color="auto" w:fill="F3F3F3"/>
          </w:tcPr>
          <w:p>
            <w:r>
              <w:rPr>
                <w:sz w:val="17"/>
              </w:rPr>
              <w:t>Standard textbook knowledge, not re-read this session — confirm every detail before citing</w:t>
            </w:r>
          </w:p>
        </w:tc>
      </w:tr>
      <w:tr>
        <w:tc>
          <w:tcPr>
            <w:tcW w:type="dxa" w:w="1587"/>
          </w:tcPr>
          <w:p>
            <w:r>
              <w:rPr>
                <w:b/>
                <w:sz w:val="17"/>
              </w:rPr>
              <w:t>Question</w:t>
            </w:r>
          </w:p>
        </w:tc>
        <w:tc>
          <w:tcPr>
            <w:tcW w:type="dxa" w:w="8050"/>
          </w:tcPr>
          <w:p>
            <w:r>
              <w:rPr>
                <w:sz w:val="17"/>
              </w:rPr>
              <w:t>Do security prices fully reflect available information?</w:t>
            </w:r>
          </w:p>
        </w:tc>
      </w:tr>
      <w:tr>
        <w:tc>
          <w:tcPr>
            <w:tcW w:type="dxa" w:w="1587"/>
          </w:tcPr>
          <w:p>
            <w:r>
              <w:rPr>
                <w:b/>
                <w:sz w:val="17"/>
              </w:rPr>
              <w:t>Data</w:t>
            </w:r>
          </w:p>
        </w:tc>
        <w:tc>
          <w:tcPr>
            <w:tcW w:type="dxa" w:w="8050"/>
          </w:tcPr>
          <w:p>
            <w:r>
              <w:rPr>
                <w:sz w:val="17"/>
              </w:rPr>
              <w:t>Review of the empirical literature up to 1970.</w:t>
            </w:r>
          </w:p>
        </w:tc>
      </w:tr>
      <w:tr>
        <w:tc>
          <w:tcPr>
            <w:tcW w:type="dxa" w:w="1587"/>
          </w:tcPr>
          <w:p>
            <w:r>
              <w:rPr>
                <w:b/>
                <w:sz w:val="17"/>
              </w:rPr>
              <w:t>Method</w:t>
            </w:r>
          </w:p>
        </w:tc>
        <w:tc>
          <w:tcPr>
            <w:tcW w:type="dxa" w:w="8050"/>
          </w:tcPr>
          <w:p>
            <w:r>
              <w:rPr>
                <w:sz w:val="17"/>
              </w:rPr>
              <w:t>Classifies tests into weak, semi-strong and strong form.</w:t>
            </w:r>
          </w:p>
        </w:tc>
      </w:tr>
      <w:tr>
        <w:tc>
          <w:tcPr>
            <w:tcW w:type="dxa" w:w="1587"/>
          </w:tcPr>
          <w:p>
            <w:r>
              <w:rPr>
                <w:b/>
                <w:sz w:val="17"/>
              </w:rPr>
              <w:t>Key findings</w:t>
            </w:r>
          </w:p>
        </w:tc>
        <w:tc>
          <w:tcPr>
            <w:tcW w:type="dxa" w:w="8050"/>
          </w:tcPr>
          <w:p>
            <w:r>
              <w:rPr>
                <w:sz w:val="17"/>
              </w:rPr>
              <w:t>• Evidence broadly supports weak and semi-strong efficiency; little support for the strong form.</w:t>
            </w:r>
          </w:p>
          <w:p>
            <w:r>
              <w:rPr>
                <w:sz w:val="17"/>
              </w:rPr>
              <w:t>• Any test of efficiency is also a test of the model of expected returns (the ‘joint hypothesis’ problem).</w:t>
            </w:r>
          </w:p>
        </w:tc>
      </w:tr>
      <w:tr>
        <w:tc>
          <w:tcPr>
            <w:tcW w:type="dxa" w:w="1587"/>
          </w:tcPr>
          <w:p>
            <w:r>
              <w:rPr>
                <w:b/>
                <w:sz w:val="17"/>
              </w:rPr>
              <w:t>Limitations</w:t>
            </w:r>
          </w:p>
        </w:tc>
        <w:tc>
          <w:tcPr>
            <w:tcW w:type="dxa" w:w="8050"/>
          </w:tcPr>
          <w:p>
            <w:r>
              <w:rPr>
                <w:sz w:val="17"/>
              </w:rPr>
              <w:t>About returns, not volatility; written before modern evidence on anomalies and volatility clustering.</w:t>
            </w:r>
          </w:p>
        </w:tc>
      </w:tr>
      <w:tr>
        <w:tc>
          <w:tcPr>
            <w:tcW w:type="dxa" w:w="1587"/>
            <w:shd w:val="clear" w:color="auto" w:fill="EAF1FB"/>
          </w:tcPr>
          <w:p>
            <w:r>
              <w:rPr>
                <w:b/>
                <w:sz w:val="17"/>
              </w:rPr>
              <w:t>How to use it</w:t>
            </w:r>
          </w:p>
        </w:tc>
        <w:tc>
          <w:tcPr>
            <w:tcW w:type="dxa" w:w="8050"/>
            <w:shd w:val="clear" w:color="auto" w:fill="EAF1FB"/>
          </w:tcPr>
          <w:p>
            <w:r>
              <w:rPr>
                <w:sz w:val="17"/>
              </w:rPr>
              <w:t>Open 2.2 with the efficiency baseline, then pivot: volatility is forecastable without violating efficiency. This also explains why your study forecasts risk rather than prices.</w:t>
            </w:r>
          </w:p>
        </w:tc>
      </w:tr>
      <w:tr>
        <w:tc>
          <w:tcPr>
            <w:tcW w:type="dxa" w:w="1587"/>
          </w:tcPr>
          <w:p>
            <w:r>
              <w:rPr>
                <w:b/>
                <w:sz w:val="17"/>
              </w:rPr>
              <w:t>Feeds</w:t>
            </w:r>
          </w:p>
        </w:tc>
        <w:tc>
          <w:tcPr>
            <w:tcW w:type="dxa" w:w="8050"/>
          </w:tcPr>
          <w:p>
            <w:r>
              <w:rPr>
                <w:sz w:val="17"/>
              </w:rPr>
              <w:t>2.2; justifies the target variable.</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Minsky, H. (1992) The Financial Instability Hypothesis. Levy Economics Institute Working Paper 74.</w:t>
            </w:r>
          </w:p>
        </w:tc>
      </w:tr>
      <w:tr>
        <w:tc>
          <w:tcPr>
            <w:tcW w:type="dxa" w:w="1587"/>
            <w:shd w:val="clear" w:color="auto" w:fill="D9EAD3"/>
          </w:tcPr>
          <w:p>
            <w:r>
              <w:rPr>
                <w:b/>
                <w:sz w:val="17"/>
              </w:rPr>
              <w:t>Source basis</w:t>
            </w:r>
          </w:p>
        </w:tc>
        <w:tc>
          <w:tcPr>
            <w:tcW w:type="dxa" w:w="8050"/>
            <w:shd w:val="clear" w:color="auto" w:fill="D9EAD3"/>
          </w:tcPr>
          <w:p>
            <w:r>
              <w:rPr>
                <w:sz w:val="17"/>
              </w:rPr>
              <w:t>Full text read in this session — facts checked against the paper</w:t>
            </w:r>
          </w:p>
        </w:tc>
      </w:tr>
      <w:tr>
        <w:tc>
          <w:tcPr>
            <w:tcW w:type="dxa" w:w="1587"/>
          </w:tcPr>
          <w:p>
            <w:r>
              <w:rPr>
                <w:b/>
                <w:sz w:val="17"/>
              </w:rPr>
              <w:t>Question</w:t>
            </w:r>
          </w:p>
        </w:tc>
        <w:tc>
          <w:tcPr>
            <w:tcW w:type="dxa" w:w="8050"/>
          </w:tcPr>
          <w:p>
            <w:r>
              <w:rPr>
                <w:sz w:val="17"/>
              </w:rPr>
              <w:t>Why do capitalist economies generate their own financial crises?</w:t>
            </w:r>
          </w:p>
        </w:tc>
      </w:tr>
      <w:tr>
        <w:tc>
          <w:tcPr>
            <w:tcW w:type="dxa" w:w="1587"/>
          </w:tcPr>
          <w:p>
            <w:r>
              <w:rPr>
                <w:b/>
                <w:sz w:val="17"/>
              </w:rPr>
              <w:t>Data</w:t>
            </w:r>
          </w:p>
        </w:tc>
        <w:tc>
          <w:tcPr>
            <w:tcW w:type="dxa" w:w="8050"/>
          </w:tcPr>
          <w:p>
            <w:r>
              <w:rPr>
                <w:sz w:val="17"/>
              </w:rPr>
              <w:t>Theoretical essay (builds on Keynes, Schumpeter, Fisher).</w:t>
            </w:r>
          </w:p>
        </w:tc>
      </w:tr>
      <w:tr>
        <w:tc>
          <w:tcPr>
            <w:tcW w:type="dxa" w:w="1587"/>
          </w:tcPr>
          <w:p>
            <w:r>
              <w:rPr>
                <w:b/>
                <w:sz w:val="17"/>
              </w:rPr>
              <w:t>Method</w:t>
            </w:r>
          </w:p>
        </w:tc>
        <w:tc>
          <w:tcPr>
            <w:tcW w:type="dxa" w:w="8050"/>
          </w:tcPr>
          <w:p>
            <w:r>
              <w:rPr>
                <w:sz w:val="17"/>
              </w:rPr>
              <w:t>Verbal theory of financing structures.</w:t>
            </w:r>
          </w:p>
        </w:tc>
      </w:tr>
      <w:tr>
        <w:tc>
          <w:tcPr>
            <w:tcW w:type="dxa" w:w="1587"/>
          </w:tcPr>
          <w:p>
            <w:r>
              <w:rPr>
                <w:b/>
                <w:sz w:val="17"/>
              </w:rPr>
              <w:t>Key findings</w:t>
            </w:r>
          </w:p>
        </w:tc>
        <w:tc>
          <w:tcPr>
            <w:tcW w:type="dxa" w:w="8050"/>
          </w:tcPr>
          <w:p>
            <w:r>
              <w:rPr>
                <w:sz w:val="17"/>
              </w:rPr>
              <w:t>• Hedge, speculative and Ponzi units defined by whether income covers interest and principal.</w:t>
            </w:r>
          </w:p>
          <w:p>
            <w:r>
              <w:rPr>
                <w:sz w:val="17"/>
              </w:rPr>
              <w:t>• Theorem 1: stable and unstable financing regimes both exist.</w:t>
            </w:r>
          </w:p>
          <w:p>
            <w:r>
              <w:rPr>
                <w:sz w:val="17"/>
              </w:rPr>
              <w:t>• Theorem 2: prolonged prosperity moves the economy from stable to unstable financing.</w:t>
            </w:r>
          </w:p>
          <w:p>
            <w:r>
              <w:rPr>
                <w:sz w:val="17"/>
              </w:rPr>
              <w:t>• The more speculative and Ponzi finance, the more the system amplifies deviations rather than containing them.</w:t>
            </w:r>
          </w:p>
          <w:p>
            <w:r>
              <w:rPr>
                <w:sz w:val="17"/>
              </w:rPr>
              <w:t>• Monetary tightening against inflation can turn speculative units into Ponzi units.</w:t>
            </w:r>
          </w:p>
        </w:tc>
      </w:tr>
      <w:tr>
        <w:tc>
          <w:tcPr>
            <w:tcW w:type="dxa" w:w="1587"/>
          </w:tcPr>
          <w:p>
            <w:r>
              <w:rPr>
                <w:b/>
                <w:sz w:val="17"/>
              </w:rPr>
              <w:t>Limitations</w:t>
            </w:r>
          </w:p>
        </w:tc>
        <w:tc>
          <w:tcPr>
            <w:tcW w:type="dxa" w:w="8050"/>
          </w:tcPr>
          <w:p>
            <w:r>
              <w:rPr>
                <w:sz w:val="17"/>
              </w:rPr>
              <w:t>No formal test; the theory is qualitative and hard to measure directly.</w:t>
            </w:r>
          </w:p>
        </w:tc>
      </w:tr>
      <w:tr>
        <w:tc>
          <w:tcPr>
            <w:tcW w:type="dxa" w:w="1587"/>
            <w:shd w:val="clear" w:color="auto" w:fill="EAF1FB"/>
          </w:tcPr>
          <w:p>
            <w:r>
              <w:rPr>
                <w:b/>
                <w:sz w:val="17"/>
              </w:rPr>
              <w:t>How to use it</w:t>
            </w:r>
          </w:p>
        </w:tc>
        <w:tc>
          <w:tcPr>
            <w:tcW w:type="dxa" w:w="8050"/>
            <w:shd w:val="clear" w:color="auto" w:fill="EAF1FB"/>
          </w:tcPr>
          <w:p>
            <w:r>
              <w:rPr>
                <w:sz w:val="17"/>
              </w:rPr>
              <w:t>Theoretical backbone of RQ3: a model trained only on the calm 2003–07 boom should fail when instability arrives. Link to Kelly (2009) for Irish evidence of the boom, and to 2022 for the tightening point.</w:t>
            </w:r>
          </w:p>
        </w:tc>
      </w:tr>
      <w:tr>
        <w:tc>
          <w:tcPr>
            <w:tcW w:type="dxa" w:w="1587"/>
          </w:tcPr>
          <w:p>
            <w:r>
              <w:rPr>
                <w:b/>
                <w:sz w:val="17"/>
              </w:rPr>
              <w:t>Feeds</w:t>
            </w:r>
          </w:p>
        </w:tc>
        <w:tc>
          <w:tcPr>
            <w:tcW w:type="dxa" w:w="8050"/>
          </w:tcPr>
          <w:p>
            <w:r>
              <w:rPr>
                <w:sz w:val="17"/>
              </w:rPr>
              <w:t>2.2; H3; Discussion (history lens).</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Reinhart, C. &amp; Rogoff, K. (2008/2009) This Time Is Different: A Panoramic View of Eight Centuries of Financial Crises (NBER WP 13882; book 2009).</w:t>
            </w:r>
          </w:p>
        </w:tc>
      </w:tr>
      <w:tr>
        <w:tc>
          <w:tcPr>
            <w:tcW w:type="dxa" w:w="1587"/>
            <w:shd w:val="clear" w:color="auto" w:fill="D9EAD3"/>
          </w:tcPr>
          <w:p>
            <w:r>
              <w:rPr>
                <w:b/>
                <w:sz w:val="17"/>
              </w:rPr>
              <w:t>Source basis</w:t>
            </w:r>
          </w:p>
        </w:tc>
        <w:tc>
          <w:tcPr>
            <w:tcW w:type="dxa" w:w="8050"/>
            <w:shd w:val="clear" w:color="auto" w:fill="D9EAD3"/>
          </w:tcPr>
          <w:p>
            <w:r>
              <w:rPr>
                <w:sz w:val="17"/>
              </w:rPr>
              <w:t>Full text read in this session — facts checked against the paper</w:t>
            </w:r>
          </w:p>
        </w:tc>
      </w:tr>
      <w:tr>
        <w:tc>
          <w:tcPr>
            <w:tcW w:type="dxa" w:w="1587"/>
          </w:tcPr>
          <w:p>
            <w:r>
              <w:rPr>
                <w:b/>
                <w:sz w:val="17"/>
              </w:rPr>
              <w:t>Question</w:t>
            </w:r>
          </w:p>
        </w:tc>
        <w:tc>
          <w:tcPr>
            <w:tcW w:type="dxa" w:w="8050"/>
          </w:tcPr>
          <w:p>
            <w:r>
              <w:rPr>
                <w:sz w:val="17"/>
              </w:rPr>
              <w:t>What patterns appear when financial crises are studied across centuries and countries?</w:t>
            </w:r>
          </w:p>
        </w:tc>
      </w:tr>
      <w:tr>
        <w:tc>
          <w:tcPr>
            <w:tcW w:type="dxa" w:w="1587"/>
          </w:tcPr>
          <w:p>
            <w:r>
              <w:rPr>
                <w:b/>
                <w:sz w:val="17"/>
              </w:rPr>
              <w:t>Data</w:t>
            </w:r>
          </w:p>
        </w:tc>
        <w:tc>
          <w:tcPr>
            <w:tcW w:type="dxa" w:w="8050"/>
          </w:tcPr>
          <w:p>
            <w:r>
              <w:rPr>
                <w:sz w:val="17"/>
              </w:rPr>
              <w:t>New database from England’s 14th-century default to the US sub-prime crisis; all regions, including India and China.</w:t>
            </w:r>
          </w:p>
        </w:tc>
      </w:tr>
      <w:tr>
        <w:tc>
          <w:tcPr>
            <w:tcW w:type="dxa" w:w="1587"/>
          </w:tcPr>
          <w:p>
            <w:r>
              <w:rPr>
                <w:b/>
                <w:sz w:val="17"/>
              </w:rPr>
              <w:t>Method</w:t>
            </w:r>
          </w:p>
        </w:tc>
        <w:tc>
          <w:tcPr>
            <w:tcW w:type="dxa" w:w="8050"/>
          </w:tcPr>
          <w:p>
            <w:r>
              <w:rPr>
                <w:sz w:val="17"/>
              </w:rPr>
              <w:t>Descriptive historical statistics.</w:t>
            </w:r>
          </w:p>
        </w:tc>
      </w:tr>
      <w:tr>
        <w:tc>
          <w:tcPr>
            <w:tcW w:type="dxa" w:w="1587"/>
          </w:tcPr>
          <w:p>
            <w:r>
              <w:rPr>
                <w:b/>
                <w:sz w:val="17"/>
              </w:rPr>
              <w:t>Key findings</w:t>
            </w:r>
          </w:p>
        </w:tc>
        <w:tc>
          <w:tcPr>
            <w:tcW w:type="dxa" w:w="8050"/>
          </w:tcPr>
          <w:p>
            <w:r>
              <w:rPr>
                <w:sz w:val="17"/>
              </w:rPr>
              <w:t>• Serial default is nearly universal as countries move from emerging to advanced.</w:t>
            </w:r>
          </w:p>
          <w:p>
            <w:r>
              <w:rPr>
                <w:sz w:val="17"/>
              </w:rPr>
              <w:t>• Major defaults are spaced years or decades apart, creating the illusion that ‘this time is different’.</w:t>
            </w:r>
          </w:p>
          <w:p>
            <w:r>
              <w:rPr>
                <w:sz w:val="17"/>
              </w:rPr>
              <w:t>• Example of the syndrome: the false belief that domestic debt is a new phenomenon.</w:t>
            </w:r>
          </w:p>
          <w:p>
            <w:r>
              <w:rPr>
                <w:sz w:val="17"/>
              </w:rPr>
              <w:t>• Crises often start in financial centres and spread through interest-rate shocks and commodity-price collapses.</w:t>
            </w:r>
          </w:p>
          <w:p>
            <w:r>
              <w:rPr>
                <w:sz w:val="17"/>
              </w:rPr>
              <w:t>• The US sub-prime crisis was hardly unique.</w:t>
            </w:r>
          </w:p>
        </w:tc>
      </w:tr>
      <w:tr>
        <w:tc>
          <w:tcPr>
            <w:tcW w:type="dxa" w:w="1587"/>
          </w:tcPr>
          <w:p>
            <w:r>
              <w:rPr>
                <w:b/>
                <w:sz w:val="17"/>
              </w:rPr>
              <w:t>Limitations</w:t>
            </w:r>
          </w:p>
        </w:tc>
        <w:tc>
          <w:tcPr>
            <w:tcW w:type="dxa" w:w="8050"/>
          </w:tcPr>
          <w:p>
            <w:r>
              <w:rPr>
                <w:sz w:val="17"/>
              </w:rPr>
              <w:t>Macro and mostly annual data; about crisis occurrence, not market-level transmission or forecasting.</w:t>
            </w:r>
          </w:p>
        </w:tc>
      </w:tr>
      <w:tr>
        <w:tc>
          <w:tcPr>
            <w:tcW w:type="dxa" w:w="1587"/>
            <w:shd w:val="clear" w:color="auto" w:fill="EAF1FB"/>
          </w:tcPr>
          <w:p>
            <w:r>
              <w:rPr>
                <w:b/>
                <w:sz w:val="17"/>
              </w:rPr>
              <w:t>How to use it</w:t>
            </w:r>
          </w:p>
        </w:tc>
        <w:tc>
          <w:tcPr>
            <w:tcW w:type="dxa" w:w="8050"/>
            <w:shd w:val="clear" w:color="auto" w:fill="EAF1FB"/>
          </w:tcPr>
          <w:p>
            <w:r>
              <w:rPr>
                <w:sz w:val="17"/>
              </w:rPr>
              <w:t>Source of your title and framing; use ‘crises start in financial centres’ to motivate the US-origin expectation for the GFC (H2a).</w:t>
            </w:r>
          </w:p>
        </w:tc>
      </w:tr>
      <w:tr>
        <w:tc>
          <w:tcPr>
            <w:tcW w:type="dxa" w:w="1587"/>
          </w:tcPr>
          <w:p>
            <w:r>
              <w:rPr>
                <w:b/>
                <w:sz w:val="17"/>
              </w:rPr>
              <w:t>Feeds</w:t>
            </w:r>
          </w:p>
        </w:tc>
        <w:tc>
          <w:tcPr>
            <w:tcW w:type="dxa" w:w="8050"/>
          </w:tcPr>
          <w:p>
            <w:r>
              <w:rPr>
                <w:sz w:val="17"/>
              </w:rPr>
              <w:t>2.2, 2.3; title; H2a; H3.</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Kindleberger, C. &amp; Aliber, R. (2015) Manias, Panics and Crashes. 7th edn.</w:t>
            </w:r>
          </w:p>
        </w:tc>
      </w:tr>
      <w:tr>
        <w:tc>
          <w:tcPr>
            <w:tcW w:type="dxa" w:w="1587"/>
            <w:shd w:val="clear" w:color="auto" w:fill="F3F3F3"/>
          </w:tcPr>
          <w:p>
            <w:r>
              <w:rPr>
                <w:b/>
                <w:sz w:val="17"/>
              </w:rPr>
              <w:t>Source basis</w:t>
            </w:r>
          </w:p>
        </w:tc>
        <w:tc>
          <w:tcPr>
            <w:tcW w:type="dxa" w:w="8050"/>
            <w:shd w:val="clear" w:color="auto" w:fill="F3F3F3"/>
          </w:tcPr>
          <w:p>
            <w:r>
              <w:rPr>
                <w:sz w:val="17"/>
              </w:rPr>
              <w:t>Standard textbook knowledge, not re-read this session — confirm every detail before citing</w:t>
            </w:r>
          </w:p>
        </w:tc>
      </w:tr>
      <w:tr>
        <w:tc>
          <w:tcPr>
            <w:tcW w:type="dxa" w:w="1587"/>
          </w:tcPr>
          <w:p>
            <w:r>
              <w:rPr>
                <w:b/>
                <w:sz w:val="17"/>
              </w:rPr>
              <w:t>Question</w:t>
            </w:r>
          </w:p>
        </w:tc>
        <w:tc>
          <w:tcPr>
            <w:tcW w:type="dxa" w:w="8050"/>
          </w:tcPr>
          <w:p>
            <w:r>
              <w:rPr>
                <w:sz w:val="17"/>
              </w:rPr>
              <w:t>What is the common anatomy of financial crises?</w:t>
            </w:r>
          </w:p>
        </w:tc>
      </w:tr>
      <w:tr>
        <w:tc>
          <w:tcPr>
            <w:tcW w:type="dxa" w:w="1587"/>
          </w:tcPr>
          <w:p>
            <w:r>
              <w:rPr>
                <w:b/>
                <w:sz w:val="17"/>
              </w:rPr>
              <w:t>Data</w:t>
            </w:r>
          </w:p>
        </w:tc>
        <w:tc>
          <w:tcPr>
            <w:tcW w:type="dxa" w:w="8050"/>
          </w:tcPr>
          <w:p>
            <w:r>
              <w:rPr>
                <w:sz w:val="17"/>
              </w:rPr>
              <w:t>Historical cases over several centuries.</w:t>
            </w:r>
          </w:p>
        </w:tc>
      </w:tr>
      <w:tr>
        <w:tc>
          <w:tcPr>
            <w:tcW w:type="dxa" w:w="1587"/>
          </w:tcPr>
          <w:p>
            <w:r>
              <w:rPr>
                <w:b/>
                <w:sz w:val="17"/>
              </w:rPr>
              <w:t>Method</w:t>
            </w:r>
          </w:p>
        </w:tc>
        <w:tc>
          <w:tcPr>
            <w:tcW w:type="dxa" w:w="8050"/>
          </w:tcPr>
          <w:p>
            <w:r>
              <w:rPr>
                <w:sz w:val="17"/>
              </w:rPr>
              <w:t>Narrative history built on Minsky’s model.</w:t>
            </w:r>
          </w:p>
        </w:tc>
      </w:tr>
      <w:tr>
        <w:tc>
          <w:tcPr>
            <w:tcW w:type="dxa" w:w="1587"/>
          </w:tcPr>
          <w:p>
            <w:r>
              <w:rPr>
                <w:b/>
                <w:sz w:val="17"/>
              </w:rPr>
              <w:t>Key findings</w:t>
            </w:r>
          </w:p>
        </w:tc>
        <w:tc>
          <w:tcPr>
            <w:tcW w:type="dxa" w:w="8050"/>
          </w:tcPr>
          <w:p>
            <w:r>
              <w:rPr>
                <w:sz w:val="17"/>
              </w:rPr>
              <w:t>• Stages: displacement → credit-fuelled boom → euphoria → distress → panic → lender of last resort.</w:t>
            </w:r>
          </w:p>
          <w:p>
            <w:r>
              <w:rPr>
                <w:sz w:val="17"/>
              </w:rPr>
              <w:t>• Manias spread internationally through trade, capital flows and psychology.</w:t>
            </w:r>
          </w:p>
        </w:tc>
      </w:tr>
      <w:tr>
        <w:tc>
          <w:tcPr>
            <w:tcW w:type="dxa" w:w="1587"/>
          </w:tcPr>
          <w:p>
            <w:r>
              <w:rPr>
                <w:b/>
                <w:sz w:val="17"/>
              </w:rPr>
              <w:t>Limitations</w:t>
            </w:r>
          </w:p>
        </w:tc>
        <w:tc>
          <w:tcPr>
            <w:tcW w:type="dxa" w:w="8050"/>
          </w:tcPr>
          <w:p>
            <w:r>
              <w:rPr>
                <w:sz w:val="17"/>
              </w:rPr>
              <w:t>Narrative; selection of cases.</w:t>
            </w:r>
          </w:p>
        </w:tc>
      </w:tr>
      <w:tr>
        <w:tc>
          <w:tcPr>
            <w:tcW w:type="dxa" w:w="1587"/>
            <w:shd w:val="clear" w:color="auto" w:fill="EAF1FB"/>
          </w:tcPr>
          <w:p>
            <w:r>
              <w:rPr>
                <w:b/>
                <w:sz w:val="17"/>
              </w:rPr>
              <w:t>How to use it</w:t>
            </w:r>
          </w:p>
        </w:tc>
        <w:tc>
          <w:tcPr>
            <w:tcW w:type="dxa" w:w="8050"/>
            <w:shd w:val="clear" w:color="auto" w:fill="EAF1FB"/>
          </w:tcPr>
          <w:p>
            <w:r>
              <w:rPr>
                <w:sz w:val="17"/>
              </w:rPr>
              <w:t>Use the stages to classify how each of your three crises began (its ‘displacement’).</w:t>
            </w:r>
          </w:p>
        </w:tc>
      </w:tr>
      <w:tr>
        <w:tc>
          <w:tcPr>
            <w:tcW w:type="dxa" w:w="1587"/>
          </w:tcPr>
          <w:p>
            <w:r>
              <w:rPr>
                <w:b/>
                <w:sz w:val="17"/>
              </w:rPr>
              <w:t>Feeds</w:t>
            </w:r>
          </w:p>
        </w:tc>
        <w:tc>
          <w:tcPr>
            <w:tcW w:type="dxa" w:w="8050"/>
          </w:tcPr>
          <w:p>
            <w:r>
              <w:rPr>
                <w:sz w:val="17"/>
              </w:rPr>
              <w:t>2.2; the origin table in 2.3.</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Kelly, M. (2009) The Irish credit bubble. UCD Centre for Economic Research WP09/32.</w:t>
            </w:r>
          </w:p>
        </w:tc>
      </w:tr>
      <w:tr>
        <w:tc>
          <w:tcPr>
            <w:tcW w:type="dxa" w:w="1587"/>
            <w:shd w:val="clear" w:color="auto" w:fill="FFF2CC"/>
          </w:tcPr>
          <w:p>
            <w:r>
              <w:rPr>
                <w:b/>
                <w:sz w:val="17"/>
              </w:rPr>
              <w:t>Source basis</w:t>
            </w:r>
          </w:p>
        </w:tc>
        <w:tc>
          <w:tcPr>
            <w:tcW w:type="dxa" w:w="8050"/>
            <w:shd w:val="clear" w:color="auto" w:fill="FFF2CC"/>
          </w:tcPr>
          <w:p>
            <w:r>
              <w:rPr>
                <w:sz w:val="17"/>
              </w:rPr>
              <w:t>Abstract / official summary read in this session — read the full paper for details</w:t>
            </w:r>
          </w:p>
        </w:tc>
      </w:tr>
      <w:tr>
        <w:tc>
          <w:tcPr>
            <w:tcW w:type="dxa" w:w="1587"/>
          </w:tcPr>
          <w:p>
            <w:r>
              <w:rPr>
                <w:b/>
                <w:sz w:val="17"/>
              </w:rPr>
              <w:t>Question</w:t>
            </w:r>
          </w:p>
        </w:tc>
        <w:tc>
          <w:tcPr>
            <w:tcW w:type="dxa" w:w="8050"/>
          </w:tcPr>
          <w:p>
            <w:r>
              <w:rPr>
                <w:sz w:val="17"/>
              </w:rPr>
              <w:t>How large was the Irish credit bubble, and what losses would it leave?</w:t>
            </w:r>
          </w:p>
        </w:tc>
      </w:tr>
      <w:tr>
        <w:tc>
          <w:tcPr>
            <w:tcW w:type="dxa" w:w="1587"/>
          </w:tcPr>
          <w:p>
            <w:r>
              <w:rPr>
                <w:b/>
                <w:sz w:val="17"/>
              </w:rPr>
              <w:t>Data</w:t>
            </w:r>
          </w:p>
        </w:tc>
        <w:tc>
          <w:tcPr>
            <w:tcW w:type="dxa" w:w="8050"/>
          </w:tcPr>
          <w:p>
            <w:r>
              <w:rPr>
                <w:sz w:val="17"/>
              </w:rPr>
              <w:t>Irish bank lending and property data to 2008–09.</w:t>
            </w:r>
          </w:p>
        </w:tc>
      </w:tr>
      <w:tr>
        <w:tc>
          <w:tcPr>
            <w:tcW w:type="dxa" w:w="1587"/>
          </w:tcPr>
          <w:p>
            <w:r>
              <w:rPr>
                <w:b/>
                <w:sz w:val="17"/>
              </w:rPr>
              <w:t>Method</w:t>
            </w:r>
          </w:p>
        </w:tc>
        <w:tc>
          <w:tcPr>
            <w:tcW w:type="dxa" w:w="8050"/>
          </w:tcPr>
          <w:p>
            <w:r>
              <w:rPr>
                <w:sz w:val="17"/>
              </w:rPr>
              <w:t>Descriptive analysis of lending growth and loss scenarios.</w:t>
            </w:r>
          </w:p>
        </w:tc>
      </w:tr>
      <w:tr>
        <w:tc>
          <w:tcPr>
            <w:tcW w:type="dxa" w:w="1587"/>
          </w:tcPr>
          <w:p>
            <w:r>
              <w:rPr>
                <w:b/>
                <w:sz w:val="17"/>
              </w:rPr>
              <w:t>Key findings</w:t>
            </w:r>
          </w:p>
        </w:tc>
        <w:tc>
          <w:tcPr>
            <w:tcW w:type="dxa" w:w="8050"/>
          </w:tcPr>
          <w:p>
            <w:r>
              <w:rPr>
                <w:sz w:val="17"/>
              </w:rPr>
              <w:t>• Mortgage lending rose to about seven times its 1997 value by 2008.</w:t>
            </w:r>
          </w:p>
          <w:p>
            <w:r>
              <w:rPr>
                <w:sz w:val="17"/>
              </w:rPr>
              <w:t>• Lending to developers rose to about eleven times its 1997 value.</w:t>
            </w:r>
          </w:p>
          <w:p>
            <w:r>
              <w:rPr>
                <w:sz w:val="17"/>
              </w:rPr>
              <w:t>• (Read the paper for bank funding and loss estimates.)</w:t>
            </w:r>
          </w:p>
        </w:tc>
      </w:tr>
      <w:tr>
        <w:tc>
          <w:tcPr>
            <w:tcW w:type="dxa" w:w="1587"/>
          </w:tcPr>
          <w:p>
            <w:r>
              <w:rPr>
                <w:b/>
                <w:sz w:val="17"/>
              </w:rPr>
              <w:t>Limitations</w:t>
            </w:r>
          </w:p>
        </w:tc>
        <w:tc>
          <w:tcPr>
            <w:tcW w:type="dxa" w:w="8050"/>
          </w:tcPr>
          <w:p>
            <w:r>
              <w:rPr>
                <w:sz w:val="17"/>
              </w:rPr>
              <w:t>Working paper; written during the crisis.</w:t>
            </w:r>
          </w:p>
        </w:tc>
      </w:tr>
      <w:tr>
        <w:tc>
          <w:tcPr>
            <w:tcW w:type="dxa" w:w="1587"/>
            <w:shd w:val="clear" w:color="auto" w:fill="EAF1FB"/>
          </w:tcPr>
          <w:p>
            <w:r>
              <w:rPr>
                <w:b/>
                <w:sz w:val="17"/>
              </w:rPr>
              <w:t>How to use it</w:t>
            </w:r>
          </w:p>
        </w:tc>
        <w:tc>
          <w:tcPr>
            <w:tcW w:type="dxa" w:w="8050"/>
            <w:shd w:val="clear" w:color="auto" w:fill="EAF1FB"/>
          </w:tcPr>
          <w:p>
            <w:r>
              <w:rPr>
                <w:sz w:val="17"/>
              </w:rPr>
              <w:t>Irish evidence of Minsky’s boom; supports a strong domestic channel during the GFC (H2a).</w:t>
            </w:r>
          </w:p>
        </w:tc>
      </w:tr>
      <w:tr>
        <w:tc>
          <w:tcPr>
            <w:tcW w:type="dxa" w:w="1587"/>
          </w:tcPr>
          <w:p>
            <w:r>
              <w:rPr>
                <w:b/>
                <w:sz w:val="17"/>
              </w:rPr>
              <w:t>Feeds</w:t>
            </w:r>
          </w:p>
        </w:tc>
        <w:tc>
          <w:tcPr>
            <w:tcW w:type="dxa" w:w="8050"/>
          </w:tcPr>
          <w:p>
            <w:r>
              <w:rPr>
                <w:sz w:val="17"/>
              </w:rPr>
              <w:t>2.2 bridge, 2.3.2; H2a; H3.</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Cont, R. (2001) Empirical properties of asset returns: stylized facts and statistical issues. Quantitative Finance, 1(2), 223–236.</w:t>
            </w:r>
          </w:p>
        </w:tc>
      </w:tr>
      <w:tr>
        <w:tc>
          <w:tcPr>
            <w:tcW w:type="dxa" w:w="1587"/>
            <w:shd w:val="clear" w:color="auto" w:fill="F3F3F3"/>
          </w:tcPr>
          <w:p>
            <w:r>
              <w:rPr>
                <w:b/>
                <w:sz w:val="17"/>
              </w:rPr>
              <w:t>Source basis</w:t>
            </w:r>
          </w:p>
        </w:tc>
        <w:tc>
          <w:tcPr>
            <w:tcW w:type="dxa" w:w="8050"/>
            <w:shd w:val="clear" w:color="auto" w:fill="F3F3F3"/>
          </w:tcPr>
          <w:p>
            <w:r>
              <w:rPr>
                <w:sz w:val="17"/>
              </w:rPr>
              <w:t>Standard textbook knowledge, not re-read this session — confirm every detail before citing</w:t>
            </w:r>
          </w:p>
        </w:tc>
      </w:tr>
      <w:tr>
        <w:tc>
          <w:tcPr>
            <w:tcW w:type="dxa" w:w="1587"/>
          </w:tcPr>
          <w:p>
            <w:r>
              <w:rPr>
                <w:b/>
                <w:sz w:val="17"/>
              </w:rPr>
              <w:t>Question</w:t>
            </w:r>
          </w:p>
        </w:tc>
        <w:tc>
          <w:tcPr>
            <w:tcW w:type="dxa" w:w="8050"/>
          </w:tcPr>
          <w:p>
            <w:r>
              <w:rPr>
                <w:sz w:val="17"/>
              </w:rPr>
              <w:t>Which statistical properties are common to asset returns across markets?</w:t>
            </w:r>
          </w:p>
        </w:tc>
      </w:tr>
      <w:tr>
        <w:tc>
          <w:tcPr>
            <w:tcW w:type="dxa" w:w="1587"/>
          </w:tcPr>
          <w:p>
            <w:r>
              <w:rPr>
                <w:b/>
                <w:sz w:val="17"/>
              </w:rPr>
              <w:t>Data</w:t>
            </w:r>
          </w:p>
        </w:tc>
        <w:tc>
          <w:tcPr>
            <w:tcW w:type="dxa" w:w="8050"/>
          </w:tcPr>
          <w:p>
            <w:r>
              <w:rPr>
                <w:sz w:val="17"/>
              </w:rPr>
              <w:t>Many assets and markets.</w:t>
            </w:r>
          </w:p>
        </w:tc>
      </w:tr>
      <w:tr>
        <w:tc>
          <w:tcPr>
            <w:tcW w:type="dxa" w:w="1587"/>
          </w:tcPr>
          <w:p>
            <w:r>
              <w:rPr>
                <w:b/>
                <w:sz w:val="17"/>
              </w:rPr>
              <w:t>Method</w:t>
            </w:r>
          </w:p>
        </w:tc>
        <w:tc>
          <w:tcPr>
            <w:tcW w:type="dxa" w:w="8050"/>
          </w:tcPr>
          <w:p>
            <w:r>
              <w:rPr>
                <w:sz w:val="17"/>
              </w:rPr>
              <w:t>Survey of empirical regularities.</w:t>
            </w:r>
          </w:p>
        </w:tc>
      </w:tr>
      <w:tr>
        <w:tc>
          <w:tcPr>
            <w:tcW w:type="dxa" w:w="1587"/>
          </w:tcPr>
          <w:p>
            <w:r>
              <w:rPr>
                <w:b/>
                <w:sz w:val="17"/>
              </w:rPr>
              <w:t>Key findings</w:t>
            </w:r>
          </w:p>
        </w:tc>
        <w:tc>
          <w:tcPr>
            <w:tcW w:type="dxa" w:w="8050"/>
          </w:tcPr>
          <w:p>
            <w:r>
              <w:rPr>
                <w:sz w:val="17"/>
              </w:rPr>
              <w:t>• Little linear autocorrelation in returns; strong, slowly decaying autocorrelation in absolute/squared returns.</w:t>
            </w:r>
          </w:p>
          <w:p>
            <w:r>
              <w:rPr>
                <w:sz w:val="17"/>
              </w:rPr>
              <w:t>• Heavy tails; gain/loss asymmetry; volatility clustering; leverage effect; volume–volatility correlation.</w:t>
            </w:r>
          </w:p>
        </w:tc>
      </w:tr>
      <w:tr>
        <w:tc>
          <w:tcPr>
            <w:tcW w:type="dxa" w:w="1587"/>
          </w:tcPr>
          <w:p>
            <w:r>
              <w:rPr>
                <w:b/>
                <w:sz w:val="17"/>
              </w:rPr>
              <w:t>Limitations</w:t>
            </w:r>
          </w:p>
        </w:tc>
        <w:tc>
          <w:tcPr>
            <w:tcW w:type="dxa" w:w="8050"/>
          </w:tcPr>
          <w:p>
            <w:r>
              <w:rPr>
                <w:sz w:val="17"/>
              </w:rPr>
              <w:t>Descriptive; does not propose a model.</w:t>
            </w:r>
          </w:p>
        </w:tc>
      </w:tr>
      <w:tr>
        <w:tc>
          <w:tcPr>
            <w:tcW w:type="dxa" w:w="1587"/>
            <w:shd w:val="clear" w:color="auto" w:fill="EAF1FB"/>
          </w:tcPr>
          <w:p>
            <w:r>
              <w:rPr>
                <w:b/>
                <w:sz w:val="17"/>
              </w:rPr>
              <w:t>How to use it</w:t>
            </w:r>
          </w:p>
        </w:tc>
        <w:tc>
          <w:tcPr>
            <w:tcW w:type="dxa" w:w="8050"/>
            <w:shd w:val="clear" w:color="auto" w:fill="EAF1FB"/>
          </w:tcPr>
          <w:p>
            <w:r>
              <w:rPr>
                <w:sz w:val="17"/>
              </w:rPr>
              <w:t>Explains why volatility is forecastable and why you model log RV with Student-t GARCH.</w:t>
            </w:r>
          </w:p>
        </w:tc>
      </w:tr>
      <w:tr>
        <w:tc>
          <w:tcPr>
            <w:tcW w:type="dxa" w:w="1587"/>
          </w:tcPr>
          <w:p>
            <w:r>
              <w:rPr>
                <w:b/>
                <w:sz w:val="17"/>
              </w:rPr>
              <w:t>Feeds</w:t>
            </w:r>
          </w:p>
        </w:tc>
        <w:tc>
          <w:tcPr>
            <w:tcW w:type="dxa" w:w="8050"/>
          </w:tcPr>
          <w:p>
            <w:r>
              <w:rPr>
                <w:sz w:val="17"/>
              </w:rPr>
              <w:t>2.2, 2.5; Chapter 3 target choice.</w:t>
            </w:r>
          </w:p>
        </w:tc>
      </w:tr>
    </w:tbl>
    <w:p>
      <w:pPr>
        <w:spacing w:after="60"/>
      </w:pPr>
    </w:p>
    <w:p>
      <w:pPr>
        <w:pStyle w:val="Heading2"/>
      </w:pPr>
      <w:r>
        <w:rPr>
          <w:color w:val="1F4E79"/>
        </w:rPr>
        <w:t>D2. Section 2.3 — Three crises and Ireland</w:t>
      </w: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Brunnermeier, M. (2009) Deciphering the liquidity and credit crunch 2007–2008. Journal of Economic Perspectives, 23(1), 77–100.</w:t>
            </w:r>
          </w:p>
        </w:tc>
      </w:tr>
      <w:tr>
        <w:tc>
          <w:tcPr>
            <w:tcW w:type="dxa" w:w="1587"/>
            <w:shd w:val="clear" w:color="auto" w:fill="FFF2CC"/>
          </w:tcPr>
          <w:p>
            <w:r>
              <w:rPr>
                <w:b/>
                <w:sz w:val="17"/>
              </w:rPr>
              <w:t>Source basis</w:t>
            </w:r>
          </w:p>
        </w:tc>
        <w:tc>
          <w:tcPr>
            <w:tcW w:type="dxa" w:w="8050"/>
            <w:shd w:val="clear" w:color="auto" w:fill="FFF2CC"/>
          </w:tcPr>
          <w:p>
            <w:r>
              <w:rPr>
                <w:sz w:val="17"/>
              </w:rPr>
              <w:t>Abstract / official summary read in this session — read the full paper for details</w:t>
            </w:r>
          </w:p>
        </w:tc>
      </w:tr>
      <w:tr>
        <w:tc>
          <w:tcPr>
            <w:tcW w:type="dxa" w:w="1587"/>
          </w:tcPr>
          <w:p>
            <w:r>
              <w:rPr>
                <w:b/>
                <w:sz w:val="17"/>
              </w:rPr>
              <w:t>Question</w:t>
            </w:r>
          </w:p>
        </w:tc>
        <w:tc>
          <w:tcPr>
            <w:tcW w:type="dxa" w:w="8050"/>
          </w:tcPr>
          <w:p>
            <w:r>
              <w:rPr>
                <w:sz w:val="17"/>
              </w:rPr>
              <w:t>How did relatively modest mortgage losses become a global financial crisis?</w:t>
            </w:r>
          </w:p>
        </w:tc>
      </w:tr>
      <w:tr>
        <w:tc>
          <w:tcPr>
            <w:tcW w:type="dxa" w:w="1587"/>
          </w:tcPr>
          <w:p>
            <w:r>
              <w:rPr>
                <w:b/>
                <w:sz w:val="17"/>
              </w:rPr>
              <w:t>Data</w:t>
            </w:r>
          </w:p>
        </w:tc>
        <w:tc>
          <w:tcPr>
            <w:tcW w:type="dxa" w:w="8050"/>
          </w:tcPr>
          <w:p>
            <w:r>
              <w:rPr>
                <w:sz w:val="17"/>
              </w:rPr>
              <w:t>Events and market indicators 2007–08.</w:t>
            </w:r>
          </w:p>
        </w:tc>
      </w:tr>
      <w:tr>
        <w:tc>
          <w:tcPr>
            <w:tcW w:type="dxa" w:w="1587"/>
          </w:tcPr>
          <w:p>
            <w:r>
              <w:rPr>
                <w:b/>
                <w:sz w:val="17"/>
              </w:rPr>
              <w:t>Method</w:t>
            </w:r>
          </w:p>
        </w:tc>
        <w:tc>
          <w:tcPr>
            <w:tcW w:type="dxa" w:w="8050"/>
          </w:tcPr>
          <w:p>
            <w:r>
              <w:rPr>
                <w:sz w:val="17"/>
              </w:rPr>
              <w:t>Narrative with an economic framework of amplification.</w:t>
            </w:r>
          </w:p>
        </w:tc>
      </w:tr>
      <w:tr>
        <w:tc>
          <w:tcPr>
            <w:tcW w:type="dxa" w:w="1587"/>
          </w:tcPr>
          <w:p>
            <w:r>
              <w:rPr>
                <w:b/>
                <w:sz w:val="17"/>
              </w:rPr>
              <w:t>Key findings</w:t>
            </w:r>
          </w:p>
        </w:tc>
        <w:tc>
          <w:tcPr>
            <w:tcW w:type="dxa" w:w="8050"/>
          </w:tcPr>
          <w:p>
            <w:r>
              <w:rPr>
                <w:sz w:val="17"/>
              </w:rPr>
              <w:t>• Mortgage write-downs of hundreds of billions; US stock market wealth fell by about $8 trillion between October 2007 and October 2008.</w:t>
            </w:r>
          </w:p>
          <w:p>
            <w:r>
              <w:rPr>
                <w:sz w:val="17"/>
              </w:rPr>
              <w:t>• Amplification mechanisms (read the paper for detail): balance-sheet ‘loss’ and ‘margin’ spirals, banks hoarding liquidity, runs on institutions, network effects.</w:t>
            </w:r>
          </w:p>
        </w:tc>
      </w:tr>
      <w:tr>
        <w:tc>
          <w:tcPr>
            <w:tcW w:type="dxa" w:w="1587"/>
          </w:tcPr>
          <w:p>
            <w:r>
              <w:rPr>
                <w:b/>
                <w:sz w:val="17"/>
              </w:rPr>
              <w:t>Limitations</w:t>
            </w:r>
          </w:p>
        </w:tc>
        <w:tc>
          <w:tcPr>
            <w:tcW w:type="dxa" w:w="8050"/>
          </w:tcPr>
          <w:p>
            <w:r>
              <w:rPr>
                <w:sz w:val="17"/>
              </w:rPr>
              <w:t>Written during the crisis; US-centred.</w:t>
            </w:r>
          </w:p>
        </w:tc>
      </w:tr>
      <w:tr>
        <w:tc>
          <w:tcPr>
            <w:tcW w:type="dxa" w:w="1587"/>
            <w:shd w:val="clear" w:color="auto" w:fill="EAF1FB"/>
          </w:tcPr>
          <w:p>
            <w:r>
              <w:rPr>
                <w:b/>
                <w:sz w:val="17"/>
              </w:rPr>
              <w:t>How to use it</w:t>
            </w:r>
          </w:p>
        </w:tc>
        <w:tc>
          <w:tcPr>
            <w:tcW w:type="dxa" w:w="8050"/>
            <w:shd w:val="clear" w:color="auto" w:fill="EAF1FB"/>
          </w:tcPr>
          <w:p>
            <w:r>
              <w:rPr>
                <w:sz w:val="17"/>
              </w:rPr>
              <w:t>Establish the GFC’s US credit origin and amplification; motivates US and fear (VIX) channels (H2a).</w:t>
            </w:r>
          </w:p>
        </w:tc>
      </w:tr>
      <w:tr>
        <w:tc>
          <w:tcPr>
            <w:tcW w:type="dxa" w:w="1587"/>
          </w:tcPr>
          <w:p>
            <w:r>
              <w:rPr>
                <w:b/>
                <w:sz w:val="17"/>
              </w:rPr>
              <w:t>Feeds</w:t>
            </w:r>
          </w:p>
        </w:tc>
        <w:tc>
          <w:tcPr>
            <w:tcW w:type="dxa" w:w="8050"/>
          </w:tcPr>
          <w:p>
            <w:r>
              <w:rPr>
                <w:sz w:val="17"/>
              </w:rPr>
              <w:t>2.3.2; H2a.</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Bekaert, G., Ehrmann, M., Fratzscher, M. &amp; Mehl, A. (2014) The global crisis and equity market contagion. Journal of Finance, 69(6), 2597–2649 (ECB WP 1381, 2011).</w:t>
            </w:r>
          </w:p>
        </w:tc>
      </w:tr>
      <w:tr>
        <w:tc>
          <w:tcPr>
            <w:tcW w:type="dxa" w:w="1587"/>
            <w:shd w:val="clear" w:color="auto" w:fill="D9EAD3"/>
          </w:tcPr>
          <w:p>
            <w:r>
              <w:rPr>
                <w:b/>
                <w:sz w:val="17"/>
              </w:rPr>
              <w:t>Source basis</w:t>
            </w:r>
          </w:p>
        </w:tc>
        <w:tc>
          <w:tcPr>
            <w:tcW w:type="dxa" w:w="8050"/>
            <w:shd w:val="clear" w:color="auto" w:fill="D9EAD3"/>
          </w:tcPr>
          <w:p>
            <w:r>
              <w:rPr>
                <w:sz w:val="17"/>
              </w:rPr>
              <w:t>Full text read in this session — facts checked against the paper</w:t>
            </w:r>
          </w:p>
        </w:tc>
      </w:tr>
      <w:tr>
        <w:tc>
          <w:tcPr>
            <w:tcW w:type="dxa" w:w="1587"/>
          </w:tcPr>
          <w:p>
            <w:r>
              <w:rPr>
                <w:b/>
                <w:sz w:val="17"/>
              </w:rPr>
              <w:t>Question</w:t>
            </w:r>
          </w:p>
        </w:tc>
        <w:tc>
          <w:tcPr>
            <w:tcW w:type="dxa" w:w="8050"/>
          </w:tcPr>
          <w:p>
            <w:r>
              <w:rPr>
                <w:sz w:val="17"/>
              </w:rPr>
              <w:t>How was the 2007–09 crisis transmitted to equity markets worldwide?</w:t>
            </w:r>
          </w:p>
        </w:tc>
      </w:tr>
      <w:tr>
        <w:tc>
          <w:tcPr>
            <w:tcW w:type="dxa" w:w="1587"/>
          </w:tcPr>
          <w:p>
            <w:r>
              <w:rPr>
                <w:b/>
                <w:sz w:val="17"/>
              </w:rPr>
              <w:t>Data</w:t>
            </w:r>
          </w:p>
        </w:tc>
        <w:tc>
          <w:tcPr>
            <w:tcW w:type="dxa" w:w="8050"/>
          </w:tcPr>
          <w:p>
            <w:r>
              <w:rPr>
                <w:sz w:val="17"/>
              </w:rPr>
              <w:t>Country-industry equity portfolios in 55 markets.</w:t>
            </w:r>
          </w:p>
        </w:tc>
      </w:tr>
      <w:tr>
        <w:tc>
          <w:tcPr>
            <w:tcW w:type="dxa" w:w="1587"/>
          </w:tcPr>
          <w:p>
            <w:r>
              <w:rPr>
                <w:b/>
                <w:sz w:val="17"/>
              </w:rPr>
              <w:t>Method</w:t>
            </w:r>
          </w:p>
        </w:tc>
        <w:tc>
          <w:tcPr>
            <w:tcW w:type="dxa" w:w="8050"/>
          </w:tcPr>
          <w:p>
            <w:r>
              <w:rPr>
                <w:sz w:val="17"/>
              </w:rPr>
              <w:t>Factor model predicting crisis returns; contagion = unexplained increases in factor loadings and residual correlations.</w:t>
            </w:r>
          </w:p>
        </w:tc>
      </w:tr>
      <w:tr>
        <w:tc>
          <w:tcPr>
            <w:tcW w:type="dxa" w:w="1587"/>
          </w:tcPr>
          <w:p>
            <w:r>
              <w:rPr>
                <w:b/>
                <w:sz w:val="17"/>
              </w:rPr>
              <w:t>Key findings</w:t>
            </w:r>
          </w:p>
        </w:tc>
        <w:tc>
          <w:tcPr>
            <w:tcW w:type="dxa" w:w="8050"/>
          </w:tcPr>
          <w:p>
            <w:r>
              <w:rPr>
                <w:sz w:val="17"/>
              </w:rPr>
              <w:t>• Despite its US origin, little systematic contagion from US markets.</w:t>
            </w:r>
          </w:p>
          <w:p>
            <w:r>
              <w:rPr>
                <w:sz w:val="17"/>
              </w:rPr>
              <w:t>• Systematic contagion from domestic equity markets to domestic portfolios.</w:t>
            </w:r>
          </w:p>
          <w:p>
            <w:r>
              <w:rPr>
                <w:sz w:val="17"/>
              </w:rPr>
              <w:t>• Countries with weak fundamentals, poor policies and weak institutions suffered more contagion and larger falls.</w:t>
            </w:r>
          </w:p>
          <w:p>
            <w:r>
              <w:rPr>
                <w:sz w:val="17"/>
              </w:rPr>
              <w:t>• Good policies — including debt and deposit guarantees during the crisis — partly shielded domestic equities.</w:t>
            </w:r>
          </w:p>
          <w:p>
            <w:r>
              <w:rPr>
                <w:sz w:val="17"/>
              </w:rPr>
              <w:t>• Supports the ‘wake-up call’ hypothesis: investors refocused on country-specific characteristics.</w:t>
            </w:r>
          </w:p>
        </w:tc>
      </w:tr>
      <w:tr>
        <w:tc>
          <w:tcPr>
            <w:tcW w:type="dxa" w:w="1587"/>
          </w:tcPr>
          <w:p>
            <w:r>
              <w:rPr>
                <w:b/>
                <w:sz w:val="17"/>
              </w:rPr>
              <w:t>Limitations</w:t>
            </w:r>
          </w:p>
        </w:tc>
        <w:tc>
          <w:tcPr>
            <w:tcW w:type="dxa" w:w="8050"/>
          </w:tcPr>
          <w:p>
            <w:r>
              <w:rPr>
                <w:sz w:val="17"/>
              </w:rPr>
              <w:t>Definition of contagion depends on the factor model; not a forecasting study.</w:t>
            </w:r>
          </w:p>
        </w:tc>
      </w:tr>
      <w:tr>
        <w:tc>
          <w:tcPr>
            <w:tcW w:type="dxa" w:w="1587"/>
            <w:shd w:val="clear" w:color="auto" w:fill="EAF1FB"/>
          </w:tcPr>
          <w:p>
            <w:r>
              <w:rPr>
                <w:b/>
                <w:sz w:val="17"/>
              </w:rPr>
              <w:t>How to use it</w:t>
            </w:r>
          </w:p>
        </w:tc>
        <w:tc>
          <w:tcPr>
            <w:tcW w:type="dxa" w:w="8050"/>
            <w:shd w:val="clear" w:color="auto" w:fill="EAF1FB"/>
          </w:tcPr>
          <w:p>
            <w:r>
              <w:rPr>
                <w:sz w:val="17"/>
              </w:rPr>
              <w:t>Central for H2a: expect Ireland’s domestic channel to be large in the GFC, not only US channels. The guarantee point connects to the ISEQ’s +7.9% on 30 Sep 2008 in your own data.</w:t>
            </w:r>
          </w:p>
        </w:tc>
      </w:tr>
      <w:tr>
        <w:tc>
          <w:tcPr>
            <w:tcW w:type="dxa" w:w="1587"/>
          </w:tcPr>
          <w:p>
            <w:r>
              <w:rPr>
                <w:b/>
                <w:sz w:val="17"/>
              </w:rPr>
              <w:t>Feeds</w:t>
            </w:r>
          </w:p>
        </w:tc>
        <w:tc>
          <w:tcPr>
            <w:tcW w:type="dxa" w:w="8050"/>
          </w:tcPr>
          <w:p>
            <w:r>
              <w:rPr>
                <w:sz w:val="17"/>
              </w:rPr>
              <w:t>2.3.2, 2.4; H2a.</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Acharya, V., Drechsler, I. &amp; Schnabl, P. (2014) A Pyrrhic victory? Bank bailouts and sovereign credit risk. Journal of Finance, 69(6), 2689–2739.</w:t>
            </w:r>
          </w:p>
        </w:tc>
      </w:tr>
      <w:tr>
        <w:tc>
          <w:tcPr>
            <w:tcW w:type="dxa" w:w="1587"/>
            <w:shd w:val="clear" w:color="auto" w:fill="D9EAD3"/>
          </w:tcPr>
          <w:p>
            <w:r>
              <w:rPr>
                <w:b/>
                <w:sz w:val="17"/>
              </w:rPr>
              <w:t>Source basis</w:t>
            </w:r>
          </w:p>
        </w:tc>
        <w:tc>
          <w:tcPr>
            <w:tcW w:type="dxa" w:w="8050"/>
            <w:shd w:val="clear" w:color="auto" w:fill="D9EAD3"/>
          </w:tcPr>
          <w:p>
            <w:r>
              <w:rPr>
                <w:sz w:val="17"/>
              </w:rPr>
              <w:t>Full text read in this session — facts checked against the paper</w:t>
            </w:r>
          </w:p>
        </w:tc>
      </w:tr>
      <w:tr>
        <w:tc>
          <w:tcPr>
            <w:tcW w:type="dxa" w:w="1587"/>
          </w:tcPr>
          <w:p>
            <w:r>
              <w:rPr>
                <w:b/>
                <w:sz w:val="17"/>
              </w:rPr>
              <w:t>Question</w:t>
            </w:r>
          </w:p>
        </w:tc>
        <w:tc>
          <w:tcPr>
            <w:tcW w:type="dxa" w:w="8050"/>
          </w:tcPr>
          <w:p>
            <w:r>
              <w:rPr>
                <w:sz w:val="17"/>
              </w:rPr>
              <w:t>Do bank bailouts transfer risk to governments, creating a two-way loop?</w:t>
            </w:r>
          </w:p>
        </w:tc>
      </w:tr>
      <w:tr>
        <w:tc>
          <w:tcPr>
            <w:tcW w:type="dxa" w:w="1587"/>
          </w:tcPr>
          <w:p>
            <w:r>
              <w:rPr>
                <w:b/>
                <w:sz w:val="17"/>
              </w:rPr>
              <w:t>Data</w:t>
            </w:r>
          </w:p>
        </w:tc>
        <w:tc>
          <w:tcPr>
            <w:tcW w:type="dxa" w:w="8050"/>
          </w:tcPr>
          <w:p>
            <w:r>
              <w:rPr>
                <w:sz w:val="17"/>
              </w:rPr>
              <w:t>CDS spreads on European sovereigns and banks, 2007 onwards.</w:t>
            </w:r>
          </w:p>
        </w:tc>
      </w:tr>
      <w:tr>
        <w:tc>
          <w:tcPr>
            <w:tcW w:type="dxa" w:w="1587"/>
          </w:tcPr>
          <w:p>
            <w:r>
              <w:rPr>
                <w:b/>
                <w:sz w:val="17"/>
              </w:rPr>
              <w:t>Method</w:t>
            </w:r>
          </w:p>
        </w:tc>
        <w:tc>
          <w:tcPr>
            <w:tcW w:type="dxa" w:w="8050"/>
          </w:tcPr>
          <w:p>
            <w:r>
              <w:rPr>
                <w:sz w:val="17"/>
              </w:rPr>
              <w:t>Theoretical model of the loop plus event study and panel regressions.</w:t>
            </w:r>
          </w:p>
        </w:tc>
      </w:tr>
      <w:tr>
        <w:tc>
          <w:tcPr>
            <w:tcW w:type="dxa" w:w="1587"/>
          </w:tcPr>
          <w:p>
            <w:r>
              <w:rPr>
                <w:b/>
                <w:sz w:val="17"/>
              </w:rPr>
              <w:t>Key findings</w:t>
            </w:r>
          </w:p>
        </w:tc>
        <w:tc>
          <w:tcPr>
            <w:tcW w:type="dxa" w:w="8050"/>
          </w:tcPr>
          <w:p>
            <w:r>
              <w:rPr>
                <w:sz w:val="17"/>
              </w:rPr>
              <w:t>• Ireland guaranteed the deposits of its six biggest banks on 30 Sep 2008.</w:t>
            </w:r>
          </w:p>
          <w:p>
            <w:r>
              <w:rPr>
                <w:sz w:val="17"/>
              </w:rPr>
              <w:t>• Irish bank CDS fell overnight from about 400 to 150 bp while the Irish sovereign CDS rose sharply.</w:t>
            </w:r>
          </w:p>
          <w:p>
            <w:r>
              <w:rPr>
                <w:sz w:val="17"/>
              </w:rPr>
              <w:t>• By autumn 2010 the Irish–German bond spread widened sharply, ending in a bailout of the Irish state.</w:t>
            </w:r>
          </w:p>
          <w:p>
            <w:r>
              <w:rPr>
                <w:sz w:val="17"/>
              </w:rPr>
              <w:t>• Across Europe, average bank/sovereign CDS rose from 63/14 bp before bailouts to 148/48 bp during and 184/112 bp after.</w:t>
            </w:r>
          </w:p>
          <w:p>
            <w:r>
              <w:rPr>
                <w:sz w:val="17"/>
              </w:rPr>
              <w:t>• After bailouts, changes in sovereign CDS help explain changes in bank CDS: the loop runs both ways.</w:t>
            </w:r>
          </w:p>
        </w:tc>
      </w:tr>
      <w:tr>
        <w:tc>
          <w:tcPr>
            <w:tcW w:type="dxa" w:w="1587"/>
          </w:tcPr>
          <w:p>
            <w:r>
              <w:rPr>
                <w:b/>
                <w:sz w:val="17"/>
              </w:rPr>
              <w:t>Limitations</w:t>
            </w:r>
          </w:p>
        </w:tc>
        <w:tc>
          <w:tcPr>
            <w:tcW w:type="dxa" w:w="8050"/>
          </w:tcPr>
          <w:p>
            <w:r>
              <w:rPr>
                <w:sz w:val="17"/>
              </w:rPr>
              <w:t>Credit markets, not equity volatility.</w:t>
            </w:r>
          </w:p>
        </w:tc>
      </w:tr>
      <w:tr>
        <w:tc>
          <w:tcPr>
            <w:tcW w:type="dxa" w:w="1587"/>
            <w:shd w:val="clear" w:color="auto" w:fill="EAF1FB"/>
          </w:tcPr>
          <w:p>
            <w:r>
              <w:rPr>
                <w:b/>
                <w:sz w:val="17"/>
              </w:rPr>
              <w:t>How to use it</w:t>
            </w:r>
          </w:p>
        </w:tc>
        <w:tc>
          <w:tcPr>
            <w:tcW w:type="dxa" w:w="8050"/>
            <w:shd w:val="clear" w:color="auto" w:fill="EAF1FB"/>
          </w:tcPr>
          <w:p>
            <w:r>
              <w:rPr>
                <w:sz w:val="17"/>
              </w:rPr>
              <w:t>Explains how the GFC turned into the Irish sovereign crisis — the historical link between your two windows — and why the domestic channel should matter in 2010–12 (H2b).</w:t>
            </w:r>
          </w:p>
        </w:tc>
      </w:tr>
      <w:tr>
        <w:tc>
          <w:tcPr>
            <w:tcW w:type="dxa" w:w="1587"/>
          </w:tcPr>
          <w:p>
            <w:r>
              <w:rPr>
                <w:b/>
                <w:sz w:val="17"/>
              </w:rPr>
              <w:t>Feeds</w:t>
            </w:r>
          </w:p>
        </w:tc>
        <w:tc>
          <w:tcPr>
            <w:tcW w:type="dxa" w:w="8050"/>
          </w:tcPr>
          <w:p>
            <w:r>
              <w:rPr>
                <w:sz w:val="17"/>
              </w:rPr>
              <w:t>2.3.2–2.3.3; H2b.</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Honohan, P. (2010); Regling, K. &amp; Watson, M. (2010); Nyberg, P. (2011) — the three official Irish reports.</w:t>
            </w:r>
          </w:p>
        </w:tc>
      </w:tr>
      <w:tr>
        <w:tc>
          <w:tcPr>
            <w:tcW w:type="dxa" w:w="1587"/>
            <w:shd w:val="clear" w:color="auto" w:fill="F3F3F3"/>
          </w:tcPr>
          <w:p>
            <w:r>
              <w:rPr>
                <w:b/>
                <w:sz w:val="17"/>
              </w:rPr>
              <w:t>Source basis</w:t>
            </w:r>
          </w:p>
        </w:tc>
        <w:tc>
          <w:tcPr>
            <w:tcW w:type="dxa" w:w="8050"/>
            <w:shd w:val="clear" w:color="auto" w:fill="F3F3F3"/>
          </w:tcPr>
          <w:p>
            <w:r>
              <w:rPr>
                <w:sz w:val="17"/>
              </w:rPr>
              <w:t>Standard textbook knowledge, not re-read this session — confirm every detail before citing</w:t>
            </w:r>
          </w:p>
        </w:tc>
      </w:tr>
      <w:tr>
        <w:tc>
          <w:tcPr>
            <w:tcW w:type="dxa" w:w="1587"/>
          </w:tcPr>
          <w:p>
            <w:r>
              <w:rPr>
                <w:b/>
                <w:sz w:val="17"/>
              </w:rPr>
              <w:t>Question</w:t>
            </w:r>
          </w:p>
        </w:tc>
        <w:tc>
          <w:tcPr>
            <w:tcW w:type="dxa" w:w="8050"/>
          </w:tcPr>
          <w:p>
            <w:r>
              <w:rPr>
                <w:sz w:val="17"/>
              </w:rPr>
              <w:t>Why did the Irish banking system fail?</w:t>
            </w:r>
          </w:p>
        </w:tc>
      </w:tr>
      <w:tr>
        <w:tc>
          <w:tcPr>
            <w:tcW w:type="dxa" w:w="1587"/>
          </w:tcPr>
          <w:p>
            <w:r>
              <w:rPr>
                <w:b/>
                <w:sz w:val="17"/>
              </w:rPr>
              <w:t>Data</w:t>
            </w:r>
          </w:p>
        </w:tc>
        <w:tc>
          <w:tcPr>
            <w:tcW w:type="dxa" w:w="8050"/>
          </w:tcPr>
          <w:p>
            <w:r>
              <w:rPr>
                <w:sz w:val="17"/>
              </w:rPr>
              <w:t>Official investigations into Irish banks, regulators and policy 2003–08.</w:t>
            </w:r>
          </w:p>
        </w:tc>
      </w:tr>
      <w:tr>
        <w:tc>
          <w:tcPr>
            <w:tcW w:type="dxa" w:w="1587"/>
          </w:tcPr>
          <w:p>
            <w:r>
              <w:rPr>
                <w:b/>
                <w:sz w:val="17"/>
              </w:rPr>
              <w:t>Method</w:t>
            </w:r>
          </w:p>
        </w:tc>
        <w:tc>
          <w:tcPr>
            <w:tcW w:type="dxa" w:w="8050"/>
          </w:tcPr>
          <w:p>
            <w:r>
              <w:rPr>
                <w:sz w:val="17"/>
              </w:rPr>
              <w:t>Official inquiries (documents, interviews).</w:t>
            </w:r>
          </w:p>
        </w:tc>
      </w:tr>
      <w:tr>
        <w:tc>
          <w:tcPr>
            <w:tcW w:type="dxa" w:w="1587"/>
          </w:tcPr>
          <w:p>
            <w:r>
              <w:rPr>
                <w:b/>
                <w:sz w:val="17"/>
              </w:rPr>
              <w:t>Key findings</w:t>
            </w:r>
          </w:p>
        </w:tc>
        <w:tc>
          <w:tcPr>
            <w:tcW w:type="dxa" w:w="8050"/>
          </w:tcPr>
          <w:p>
            <w:r>
              <w:rPr>
                <w:sz w:val="17"/>
              </w:rPr>
              <w:t>• Heavy concentration of lending in property; reliance on wholesale funding from abroad.</w:t>
            </w:r>
          </w:p>
          <w:p>
            <w:r>
              <w:rPr>
                <w:sz w:val="17"/>
              </w:rPr>
              <w:t>• Light-touch regulation and failures of macro-prudential policy (Honohan).</w:t>
            </w:r>
          </w:p>
          <w:p>
            <w:r>
              <w:rPr>
                <w:sz w:val="17"/>
              </w:rPr>
              <w:t>• The crisis was largely home-grown; the global crisis was the trigger (Regling &amp; Watson).</w:t>
            </w:r>
          </w:p>
          <w:p>
            <w:r>
              <w:rPr>
                <w:sz w:val="17"/>
              </w:rPr>
              <w:t>• ‘Herding’ by banks and authorities, all misjudging the same risk (Nyberg).</w:t>
            </w:r>
          </w:p>
        </w:tc>
      </w:tr>
      <w:tr>
        <w:tc>
          <w:tcPr>
            <w:tcW w:type="dxa" w:w="1587"/>
          </w:tcPr>
          <w:p>
            <w:r>
              <w:rPr>
                <w:b/>
                <w:sz w:val="17"/>
              </w:rPr>
              <w:t>Limitations</w:t>
            </w:r>
          </w:p>
        </w:tc>
        <w:tc>
          <w:tcPr>
            <w:tcW w:type="dxa" w:w="8050"/>
          </w:tcPr>
          <w:p>
            <w:r>
              <w:rPr>
                <w:sz w:val="17"/>
              </w:rPr>
              <w:t>Official reports, not academic tests; confirm exact wording and pages before citing.</w:t>
            </w:r>
          </w:p>
        </w:tc>
      </w:tr>
      <w:tr>
        <w:tc>
          <w:tcPr>
            <w:tcW w:type="dxa" w:w="1587"/>
            <w:shd w:val="clear" w:color="auto" w:fill="EAF1FB"/>
          </w:tcPr>
          <w:p>
            <w:r>
              <w:rPr>
                <w:b/>
                <w:sz w:val="17"/>
              </w:rPr>
              <w:t>How to use it</w:t>
            </w:r>
          </w:p>
        </w:tc>
        <w:tc>
          <w:tcPr>
            <w:tcW w:type="dxa" w:w="8050"/>
            <w:shd w:val="clear" w:color="auto" w:fill="EAF1FB"/>
          </w:tcPr>
          <w:p>
            <w:r>
              <w:rPr>
                <w:sz w:val="17"/>
              </w:rPr>
              <w:t>Primary historical sources for the domestic dimension of the GFC in Ireland (H2a) and your Discussion.</w:t>
            </w:r>
          </w:p>
        </w:tc>
      </w:tr>
      <w:tr>
        <w:tc>
          <w:tcPr>
            <w:tcW w:type="dxa" w:w="1587"/>
          </w:tcPr>
          <w:p>
            <w:r>
              <w:rPr>
                <w:b/>
                <w:sz w:val="17"/>
              </w:rPr>
              <w:t>Feeds</w:t>
            </w:r>
          </w:p>
        </w:tc>
        <w:tc>
          <w:tcPr>
            <w:tcW w:type="dxa" w:w="8050"/>
          </w:tcPr>
          <w:p>
            <w:r>
              <w:rPr>
                <w:sz w:val="17"/>
              </w:rPr>
              <w:t>2.3.2; H2a; Discussion.</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Lane, P. (2012) The European sovereign debt crisis. Journal of Economic Perspectives, 26(3), 49–68.</w:t>
            </w:r>
          </w:p>
        </w:tc>
      </w:tr>
      <w:tr>
        <w:tc>
          <w:tcPr>
            <w:tcW w:type="dxa" w:w="1587"/>
            <w:shd w:val="clear" w:color="auto" w:fill="FFF2CC"/>
          </w:tcPr>
          <w:p>
            <w:r>
              <w:rPr>
                <w:b/>
                <w:sz w:val="17"/>
              </w:rPr>
              <w:t>Source basis</w:t>
            </w:r>
          </w:p>
        </w:tc>
        <w:tc>
          <w:tcPr>
            <w:tcW w:type="dxa" w:w="8050"/>
            <w:shd w:val="clear" w:color="auto" w:fill="FFF2CC"/>
          </w:tcPr>
          <w:p>
            <w:r>
              <w:rPr>
                <w:sz w:val="17"/>
              </w:rPr>
              <w:t>Abstract / official summary read in this session — read the full paper for details</w:t>
            </w:r>
          </w:p>
        </w:tc>
      </w:tr>
      <w:tr>
        <w:tc>
          <w:tcPr>
            <w:tcW w:type="dxa" w:w="1587"/>
          </w:tcPr>
          <w:p>
            <w:r>
              <w:rPr>
                <w:b/>
                <w:sz w:val="17"/>
              </w:rPr>
              <w:t>Question</w:t>
            </w:r>
          </w:p>
        </w:tc>
        <w:tc>
          <w:tcPr>
            <w:tcW w:type="dxa" w:w="8050"/>
          </w:tcPr>
          <w:p>
            <w:r>
              <w:rPr>
                <w:sz w:val="17"/>
              </w:rPr>
              <w:t>What caused the euro-area sovereign debt crisis?</w:t>
            </w:r>
          </w:p>
        </w:tc>
      </w:tr>
      <w:tr>
        <w:tc>
          <w:tcPr>
            <w:tcW w:type="dxa" w:w="1587"/>
          </w:tcPr>
          <w:p>
            <w:r>
              <w:rPr>
                <w:b/>
                <w:sz w:val="17"/>
              </w:rPr>
              <w:t>Data</w:t>
            </w:r>
          </w:p>
        </w:tc>
        <w:tc>
          <w:tcPr>
            <w:tcW w:type="dxa" w:w="8050"/>
          </w:tcPr>
          <w:p>
            <w:r>
              <w:rPr>
                <w:sz w:val="17"/>
              </w:rPr>
              <w:t>Euro-area macro and fiscal data.</w:t>
            </w:r>
          </w:p>
        </w:tc>
      </w:tr>
      <w:tr>
        <w:tc>
          <w:tcPr>
            <w:tcW w:type="dxa" w:w="1587"/>
          </w:tcPr>
          <w:p>
            <w:r>
              <w:rPr>
                <w:b/>
                <w:sz w:val="17"/>
              </w:rPr>
              <w:t>Method</w:t>
            </w:r>
          </w:p>
        </w:tc>
        <w:tc>
          <w:tcPr>
            <w:tcW w:type="dxa" w:w="8050"/>
          </w:tcPr>
          <w:p>
            <w:r>
              <w:rPr>
                <w:sz w:val="17"/>
              </w:rPr>
              <w:t>Economic analysis and review.</w:t>
            </w:r>
          </w:p>
        </w:tc>
      </w:tr>
      <w:tr>
        <w:tc>
          <w:tcPr>
            <w:tcW w:type="dxa" w:w="1587"/>
          </w:tcPr>
          <w:p>
            <w:r>
              <w:rPr>
                <w:b/>
                <w:sz w:val="17"/>
              </w:rPr>
              <w:t>Key findings</w:t>
            </w:r>
          </w:p>
        </w:tc>
        <w:tc>
          <w:tcPr>
            <w:tcW w:type="dxa" w:w="8050"/>
          </w:tcPr>
          <w:p>
            <w:r>
              <w:rPr>
                <w:sz w:val="17"/>
              </w:rPr>
              <w:t>• Root cause: the flawed original design of the euro and a poor understanding of how fragile a monetary union is in a crisis.</w:t>
            </w:r>
          </w:p>
          <w:p>
            <w:r>
              <w:rPr>
                <w:sz w:val="17"/>
              </w:rPr>
              <w:t>• No banking union and no euro-level buffers; errors in crisis management.</w:t>
            </w:r>
          </w:p>
          <w:p>
            <w:r>
              <w:rPr>
                <w:sz w:val="17"/>
              </w:rPr>
              <w:t>• (Read for: pre-crisis capital flows and credit booms in the periphery, the Irish case, policy responses.)</w:t>
            </w:r>
          </w:p>
        </w:tc>
      </w:tr>
      <w:tr>
        <w:tc>
          <w:tcPr>
            <w:tcW w:type="dxa" w:w="1587"/>
          </w:tcPr>
          <w:p>
            <w:r>
              <w:rPr>
                <w:b/>
                <w:sz w:val="17"/>
              </w:rPr>
              <w:t>Limitations</w:t>
            </w:r>
          </w:p>
        </w:tc>
        <w:tc>
          <w:tcPr>
            <w:tcW w:type="dxa" w:w="8050"/>
          </w:tcPr>
          <w:p>
            <w:r>
              <w:rPr>
                <w:sz w:val="17"/>
              </w:rPr>
              <w:t>Written mid-crisis (2012).</w:t>
            </w:r>
          </w:p>
        </w:tc>
      </w:tr>
      <w:tr>
        <w:tc>
          <w:tcPr>
            <w:tcW w:type="dxa" w:w="1587"/>
            <w:shd w:val="clear" w:color="auto" w:fill="EAF1FB"/>
          </w:tcPr>
          <w:p>
            <w:r>
              <w:rPr>
                <w:b/>
                <w:sz w:val="17"/>
              </w:rPr>
              <w:t>How to use it</w:t>
            </w:r>
          </w:p>
        </w:tc>
        <w:tc>
          <w:tcPr>
            <w:tcW w:type="dxa" w:w="8050"/>
            <w:shd w:val="clear" w:color="auto" w:fill="EAF1FB"/>
          </w:tcPr>
          <w:p>
            <w:r>
              <w:rPr>
                <w:sz w:val="17"/>
              </w:rPr>
              <w:t>Frames the euro-area origin of the 2010–12 window (H2b). Lane later became Governor of the Central Bank of Ireland and ECB chief economist — useful context.</w:t>
            </w:r>
          </w:p>
        </w:tc>
      </w:tr>
      <w:tr>
        <w:tc>
          <w:tcPr>
            <w:tcW w:type="dxa" w:w="1587"/>
          </w:tcPr>
          <w:p>
            <w:r>
              <w:rPr>
                <w:b/>
                <w:sz w:val="17"/>
              </w:rPr>
              <w:t>Feeds</w:t>
            </w:r>
          </w:p>
        </w:tc>
        <w:tc>
          <w:tcPr>
            <w:tcW w:type="dxa" w:w="8050"/>
          </w:tcPr>
          <w:p>
            <w:r>
              <w:rPr>
                <w:sz w:val="17"/>
              </w:rPr>
              <w:t>2.3.3; H2b.</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Whelan, K. (2014) Ireland’s economic crisis: the good, the bad and the ugly. Journal of Macroeconomics, 39(B), 424–440.</w:t>
            </w:r>
          </w:p>
        </w:tc>
      </w:tr>
      <w:tr>
        <w:tc>
          <w:tcPr>
            <w:tcW w:type="dxa" w:w="1587"/>
            <w:shd w:val="clear" w:color="auto" w:fill="FFF2CC"/>
          </w:tcPr>
          <w:p>
            <w:r>
              <w:rPr>
                <w:b/>
                <w:sz w:val="17"/>
              </w:rPr>
              <w:t>Source basis</w:t>
            </w:r>
          </w:p>
        </w:tc>
        <w:tc>
          <w:tcPr>
            <w:tcW w:type="dxa" w:w="8050"/>
            <w:shd w:val="clear" w:color="auto" w:fill="FFF2CC"/>
          </w:tcPr>
          <w:p>
            <w:r>
              <w:rPr>
                <w:sz w:val="17"/>
              </w:rPr>
              <w:t>Abstract / official summary read in this session — read the full paper for details</w:t>
            </w:r>
          </w:p>
        </w:tc>
      </w:tr>
      <w:tr>
        <w:tc>
          <w:tcPr>
            <w:tcW w:type="dxa" w:w="1587"/>
          </w:tcPr>
          <w:p>
            <w:r>
              <w:rPr>
                <w:b/>
                <w:sz w:val="17"/>
              </w:rPr>
              <w:t>Question</w:t>
            </w:r>
          </w:p>
        </w:tc>
        <w:tc>
          <w:tcPr>
            <w:tcW w:type="dxa" w:w="8050"/>
          </w:tcPr>
          <w:p>
            <w:r>
              <w:rPr>
                <w:sz w:val="17"/>
              </w:rPr>
              <w:t>What went right and wrong in Ireland’s macroeconomy over the decade?</w:t>
            </w:r>
          </w:p>
        </w:tc>
      </w:tr>
      <w:tr>
        <w:tc>
          <w:tcPr>
            <w:tcW w:type="dxa" w:w="1587"/>
          </w:tcPr>
          <w:p>
            <w:r>
              <w:rPr>
                <w:b/>
                <w:sz w:val="17"/>
              </w:rPr>
              <w:t>Data</w:t>
            </w:r>
          </w:p>
        </w:tc>
        <w:tc>
          <w:tcPr>
            <w:tcW w:type="dxa" w:w="8050"/>
          </w:tcPr>
          <w:p>
            <w:r>
              <w:rPr>
                <w:sz w:val="17"/>
              </w:rPr>
              <w:t>Irish macro data, 2000s–2013.</w:t>
            </w:r>
          </w:p>
        </w:tc>
      </w:tr>
      <w:tr>
        <w:tc>
          <w:tcPr>
            <w:tcW w:type="dxa" w:w="1587"/>
          </w:tcPr>
          <w:p>
            <w:r>
              <w:rPr>
                <w:b/>
                <w:sz w:val="17"/>
              </w:rPr>
              <w:t>Method</w:t>
            </w:r>
          </w:p>
        </w:tc>
        <w:tc>
          <w:tcPr>
            <w:tcW w:type="dxa" w:w="8050"/>
          </w:tcPr>
          <w:p>
            <w:r>
              <w:rPr>
                <w:sz w:val="17"/>
              </w:rPr>
              <w:t>Economic review.</w:t>
            </w:r>
          </w:p>
        </w:tc>
      </w:tr>
      <w:tr>
        <w:tc>
          <w:tcPr>
            <w:tcW w:type="dxa" w:w="1587"/>
          </w:tcPr>
          <w:p>
            <w:r>
              <w:rPr>
                <w:b/>
                <w:sz w:val="17"/>
              </w:rPr>
              <w:t>Key findings</w:t>
            </w:r>
          </w:p>
        </w:tc>
        <w:tc>
          <w:tcPr>
            <w:tcW w:type="dxa" w:w="8050"/>
          </w:tcPr>
          <w:p>
            <w:r>
              <w:rPr>
                <w:sz w:val="17"/>
              </w:rPr>
              <w:t>• Mid-2000s demand rose well above potential, driven by a property bubble.</w:t>
            </w:r>
          </w:p>
          <w:p>
            <w:r>
              <w:rPr>
                <w:sz w:val="17"/>
              </w:rPr>
              <w:t>• Either appropriate fiscal policy or appropriate financial regulation could have prevented the crisis.</w:t>
            </w:r>
          </w:p>
          <w:p>
            <w:r>
              <w:rPr>
                <w:sz w:val="17"/>
              </w:rPr>
              <w:t>• Crisis management after 2008 and the turnaround from 2012 were reasonably successful.</w:t>
            </w:r>
          </w:p>
        </w:tc>
      </w:tr>
      <w:tr>
        <w:tc>
          <w:tcPr>
            <w:tcW w:type="dxa" w:w="1587"/>
          </w:tcPr>
          <w:p>
            <w:r>
              <w:rPr>
                <w:b/>
                <w:sz w:val="17"/>
              </w:rPr>
              <w:t>Limitations</w:t>
            </w:r>
          </w:p>
        </w:tc>
        <w:tc>
          <w:tcPr>
            <w:tcW w:type="dxa" w:w="8050"/>
          </w:tcPr>
          <w:p>
            <w:r>
              <w:rPr>
                <w:sz w:val="17"/>
              </w:rPr>
              <w:t>Macro focus; little on equity markets.</w:t>
            </w:r>
          </w:p>
        </w:tc>
      </w:tr>
      <w:tr>
        <w:tc>
          <w:tcPr>
            <w:tcW w:type="dxa" w:w="1587"/>
            <w:shd w:val="clear" w:color="auto" w:fill="EAF1FB"/>
          </w:tcPr>
          <w:p>
            <w:r>
              <w:rPr>
                <w:b/>
                <w:sz w:val="17"/>
              </w:rPr>
              <w:t>How to use it</w:t>
            </w:r>
          </w:p>
        </w:tc>
        <w:tc>
          <w:tcPr>
            <w:tcW w:type="dxa" w:w="8050"/>
            <w:shd w:val="clear" w:color="auto" w:fill="EAF1FB"/>
          </w:tcPr>
          <w:p>
            <w:r>
              <w:rPr>
                <w:sz w:val="17"/>
              </w:rPr>
              <w:t>Irish narrative; supports ending your sovereign window in 2012 (turnaround).</w:t>
            </w:r>
          </w:p>
        </w:tc>
      </w:tr>
      <w:tr>
        <w:tc>
          <w:tcPr>
            <w:tcW w:type="dxa" w:w="1587"/>
          </w:tcPr>
          <w:p>
            <w:r>
              <w:rPr>
                <w:b/>
                <w:sz w:val="17"/>
              </w:rPr>
              <w:t>Feeds</w:t>
            </w:r>
          </w:p>
        </w:tc>
        <w:tc>
          <w:tcPr>
            <w:tcW w:type="dxa" w:w="8050"/>
          </w:tcPr>
          <w:p>
            <w:r>
              <w:rPr>
                <w:sz w:val="17"/>
              </w:rPr>
              <w:t>2.3.3.</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Corbet, S. &amp; Twomey, C. (2015) European equity market contagion: an empirical application to Ireland’s sovereign debt crisis. European Financial and Accounting Journal, 2015(3), 15–34.</w:t>
            </w:r>
          </w:p>
        </w:tc>
      </w:tr>
      <w:tr>
        <w:tc>
          <w:tcPr>
            <w:tcW w:type="dxa" w:w="1587"/>
            <w:shd w:val="clear" w:color="auto" w:fill="FFF2CC"/>
          </w:tcPr>
          <w:p>
            <w:r>
              <w:rPr>
                <w:b/>
                <w:sz w:val="17"/>
              </w:rPr>
              <w:t>Source basis</w:t>
            </w:r>
          </w:p>
        </w:tc>
        <w:tc>
          <w:tcPr>
            <w:tcW w:type="dxa" w:w="8050"/>
            <w:shd w:val="clear" w:color="auto" w:fill="FFF2CC"/>
          </w:tcPr>
          <w:p>
            <w:r>
              <w:rPr>
                <w:sz w:val="17"/>
              </w:rPr>
              <w:t>Abstract / official summary read in this session — read the full paper for details</w:t>
            </w:r>
          </w:p>
        </w:tc>
      </w:tr>
      <w:tr>
        <w:tc>
          <w:tcPr>
            <w:tcW w:type="dxa" w:w="1587"/>
          </w:tcPr>
          <w:p>
            <w:r>
              <w:rPr>
                <w:b/>
                <w:sz w:val="17"/>
              </w:rPr>
              <w:t>Question</w:t>
            </w:r>
          </w:p>
        </w:tc>
        <w:tc>
          <w:tcPr>
            <w:tcW w:type="dxa" w:w="8050"/>
          </w:tcPr>
          <w:p>
            <w:r>
              <w:rPr>
                <w:sz w:val="17"/>
              </w:rPr>
              <w:t>Did the collapse of Irish equities spill over to European equity markets?</w:t>
            </w:r>
          </w:p>
        </w:tc>
      </w:tr>
      <w:tr>
        <w:tc>
          <w:tcPr>
            <w:tcW w:type="dxa" w:w="1587"/>
          </w:tcPr>
          <w:p>
            <w:r>
              <w:rPr>
                <w:b/>
                <w:sz w:val="17"/>
              </w:rPr>
              <w:t>Data</w:t>
            </w:r>
          </w:p>
        </w:tc>
        <w:tc>
          <w:tcPr>
            <w:tcW w:type="dxa" w:w="8050"/>
          </w:tcPr>
          <w:p>
            <w:r>
              <w:rPr>
                <w:sz w:val="17"/>
              </w:rPr>
              <w:t>Daily European equity returns; Irish crisis 2007–10 and the period after troika intervention.</w:t>
            </w:r>
          </w:p>
        </w:tc>
      </w:tr>
      <w:tr>
        <w:tc>
          <w:tcPr>
            <w:tcW w:type="dxa" w:w="1587"/>
          </w:tcPr>
          <w:p>
            <w:r>
              <w:rPr>
                <w:b/>
                <w:sz w:val="17"/>
              </w:rPr>
              <w:t>Method</w:t>
            </w:r>
          </w:p>
        </w:tc>
        <w:tc>
          <w:tcPr>
            <w:tcW w:type="dxa" w:w="8050"/>
          </w:tcPr>
          <w:p>
            <w:r>
              <w:rPr>
                <w:sz w:val="17"/>
              </w:rPr>
              <w:t>DCC multivariate GARCH (time-varying correlations).</w:t>
            </w:r>
          </w:p>
        </w:tc>
      </w:tr>
      <w:tr>
        <w:tc>
          <w:tcPr>
            <w:tcW w:type="dxa" w:w="1587"/>
          </w:tcPr>
          <w:p>
            <w:r>
              <w:rPr>
                <w:b/>
                <w:sz w:val="17"/>
              </w:rPr>
              <w:t>Key findings</w:t>
            </w:r>
          </w:p>
        </w:tc>
        <w:tc>
          <w:tcPr>
            <w:tcW w:type="dxa" w:w="8050"/>
          </w:tcPr>
          <w:p>
            <w:r>
              <w:rPr>
                <w:sz w:val="17"/>
              </w:rPr>
              <w:t>• Strong contagion between Irish and European equity markets during 2007–10.</w:t>
            </w:r>
          </w:p>
          <w:p>
            <w:r>
              <w:rPr>
                <w:sz w:val="17"/>
              </w:rPr>
              <w:t>• Contagion eased dramatically after the troika intervention.</w:t>
            </w:r>
          </w:p>
          <w:p>
            <w:r>
              <w:rPr>
                <w:sz w:val="17"/>
              </w:rPr>
              <w:t>• Bailouts/intervention were effective in limiting spillovers.</w:t>
            </w:r>
          </w:p>
        </w:tc>
      </w:tr>
      <w:tr>
        <w:tc>
          <w:tcPr>
            <w:tcW w:type="dxa" w:w="1587"/>
          </w:tcPr>
          <w:p>
            <w:r>
              <w:rPr>
                <w:b/>
                <w:sz w:val="17"/>
              </w:rPr>
              <w:t>Limitations</w:t>
            </w:r>
          </w:p>
        </w:tc>
        <w:tc>
          <w:tcPr>
            <w:tcW w:type="dxa" w:w="8050"/>
          </w:tcPr>
          <w:p>
            <w:r>
              <w:rPr>
                <w:sz w:val="17"/>
              </w:rPr>
              <w:t>Correlation-based (see Forbes &amp; Rigobon); does not separate channels by origin; no forecasting.</w:t>
            </w:r>
          </w:p>
        </w:tc>
      </w:tr>
      <w:tr>
        <w:tc>
          <w:tcPr>
            <w:tcW w:type="dxa" w:w="1587"/>
            <w:shd w:val="clear" w:color="auto" w:fill="EAF1FB"/>
          </w:tcPr>
          <w:p>
            <w:r>
              <w:rPr>
                <w:b/>
                <w:sz w:val="17"/>
              </w:rPr>
              <w:t>How to use it</w:t>
            </w:r>
          </w:p>
        </w:tc>
        <w:tc>
          <w:tcPr>
            <w:tcW w:type="dxa" w:w="8050"/>
            <w:shd w:val="clear" w:color="auto" w:fill="EAF1FB"/>
          </w:tcPr>
          <w:p>
            <w:r>
              <w:rPr>
                <w:sz w:val="17"/>
              </w:rPr>
              <w:t>The most important Irish study for you. Compare: does your euro-core share fall after November 2010, as their finding would suggest?</w:t>
            </w:r>
          </w:p>
        </w:tc>
      </w:tr>
      <w:tr>
        <w:tc>
          <w:tcPr>
            <w:tcW w:type="dxa" w:w="1587"/>
          </w:tcPr>
          <w:p>
            <w:r>
              <w:rPr>
                <w:b/>
                <w:sz w:val="17"/>
              </w:rPr>
              <w:t>Feeds</w:t>
            </w:r>
          </w:p>
        </w:tc>
        <w:tc>
          <w:tcPr>
            <w:tcW w:type="dxa" w:w="8050"/>
          </w:tcPr>
          <w:p>
            <w:r>
              <w:rPr>
                <w:sz w:val="17"/>
              </w:rPr>
              <w:t>2.3.3, 2.4; H2b.</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Baker, S., Bloom, N., Davis, S., Kost, K., Sammon, M. &amp; Viratyosin, T. (2020) The unprecedented stock market reaction to COVID-19. Review of Asset Pricing Studies, 10(4), 742–758 (NBER WP 26945).</w:t>
            </w:r>
          </w:p>
        </w:tc>
      </w:tr>
      <w:tr>
        <w:tc>
          <w:tcPr>
            <w:tcW w:type="dxa" w:w="1587"/>
            <w:shd w:val="clear" w:color="auto" w:fill="D9EAD3"/>
          </w:tcPr>
          <w:p>
            <w:r>
              <w:rPr>
                <w:b/>
                <w:sz w:val="17"/>
              </w:rPr>
              <w:t>Source basis</w:t>
            </w:r>
          </w:p>
        </w:tc>
        <w:tc>
          <w:tcPr>
            <w:tcW w:type="dxa" w:w="8050"/>
            <w:shd w:val="clear" w:color="auto" w:fill="D9EAD3"/>
          </w:tcPr>
          <w:p>
            <w:r>
              <w:rPr>
                <w:sz w:val="17"/>
              </w:rPr>
              <w:t>Full text read in this session — facts checked against the paper</w:t>
            </w:r>
          </w:p>
        </w:tc>
      </w:tr>
      <w:tr>
        <w:tc>
          <w:tcPr>
            <w:tcW w:type="dxa" w:w="1587"/>
          </w:tcPr>
          <w:p>
            <w:r>
              <w:rPr>
                <w:b/>
                <w:sz w:val="17"/>
              </w:rPr>
              <w:t>Question</w:t>
            </w:r>
          </w:p>
        </w:tc>
        <w:tc>
          <w:tcPr>
            <w:tcW w:type="dxa" w:w="8050"/>
          </w:tcPr>
          <w:p>
            <w:r>
              <w:rPr>
                <w:sz w:val="17"/>
              </w:rPr>
              <w:t>Why did COVID-19 move stock markets far more than earlier pandemics?</w:t>
            </w:r>
          </w:p>
        </w:tc>
      </w:tr>
      <w:tr>
        <w:tc>
          <w:tcPr>
            <w:tcW w:type="dxa" w:w="1587"/>
          </w:tcPr>
          <w:p>
            <w:r>
              <w:rPr>
                <w:b/>
                <w:sz w:val="17"/>
              </w:rPr>
              <w:t>Data</w:t>
            </w:r>
          </w:p>
        </w:tc>
        <w:tc>
          <w:tcPr>
            <w:tcW w:type="dxa" w:w="8050"/>
          </w:tcPr>
          <w:p>
            <w:r>
              <w:rPr>
                <w:sz w:val="17"/>
              </w:rPr>
              <w:t>US daily market moves since 1900; volatility since 1985; newspaper explanations of big moves.</w:t>
            </w:r>
          </w:p>
        </w:tc>
      </w:tr>
      <w:tr>
        <w:tc>
          <w:tcPr>
            <w:tcW w:type="dxa" w:w="1587"/>
          </w:tcPr>
          <w:p>
            <w:r>
              <w:rPr>
                <w:b/>
                <w:sz w:val="17"/>
              </w:rPr>
              <w:t>Method</w:t>
            </w:r>
          </w:p>
        </w:tc>
        <w:tc>
          <w:tcPr>
            <w:tcW w:type="dxa" w:w="8050"/>
          </w:tcPr>
          <w:p>
            <w:r>
              <w:rPr>
                <w:sz w:val="17"/>
              </w:rPr>
              <w:t>Text-based classification of next-day newspaper explanations for daily jumps.</w:t>
            </w:r>
          </w:p>
        </w:tc>
      </w:tr>
      <w:tr>
        <w:tc>
          <w:tcPr>
            <w:tcW w:type="dxa" w:w="1587"/>
          </w:tcPr>
          <w:p>
            <w:r>
              <w:rPr>
                <w:b/>
                <w:sz w:val="17"/>
              </w:rPr>
              <w:t>Key findings</w:t>
            </w:r>
          </w:p>
        </w:tc>
        <w:tc>
          <w:tcPr>
            <w:tcW w:type="dxa" w:w="8050"/>
          </w:tcPr>
          <w:p>
            <w:r>
              <w:rPr>
                <w:sz w:val="17"/>
              </w:rPr>
              <w:t>• More than 1,100 US daily moves above 2.5% in 1900–2019; newspapers attributed none to pandemics.</w:t>
            </w:r>
          </w:p>
          <w:p>
            <w:r>
              <w:rPr>
                <w:sz w:val="17"/>
              </w:rPr>
              <w:t>• About two dozen such jumps between 24 Feb and 20 Apr 2020 were attributed to COVID.</w:t>
            </w:r>
          </w:p>
          <w:p>
            <w:r>
              <w:rPr>
                <w:sz w:val="17"/>
              </w:rPr>
              <w:t>• COVID excess mortality was about 1/25th of the Spanish Flu’s; 1957–58 and 1968 pandemics had about three times COVID’s mortality yet left little market trace.</w:t>
            </w:r>
          </w:p>
          <w:p>
            <w:r>
              <w:rPr>
                <w:sz w:val="17"/>
              </w:rPr>
              <w:t>• Best explanation: government restrictions and voluntary social distancing in a service-based economy; little support for faster information diffusion or supply-chain explanations.</w:t>
            </w:r>
          </w:p>
        </w:tc>
      </w:tr>
      <w:tr>
        <w:tc>
          <w:tcPr>
            <w:tcW w:type="dxa" w:w="1587"/>
          </w:tcPr>
          <w:p>
            <w:r>
              <w:rPr>
                <w:b/>
                <w:sz w:val="17"/>
              </w:rPr>
              <w:t>Limitations</w:t>
            </w:r>
          </w:p>
        </w:tc>
        <w:tc>
          <w:tcPr>
            <w:tcW w:type="dxa" w:w="8050"/>
          </w:tcPr>
          <w:p>
            <w:r>
              <w:rPr>
                <w:sz w:val="17"/>
              </w:rPr>
              <w:t>US only; early 2020 evidence.</w:t>
            </w:r>
          </w:p>
        </w:tc>
      </w:tr>
      <w:tr>
        <w:tc>
          <w:tcPr>
            <w:tcW w:type="dxa" w:w="1587"/>
            <w:shd w:val="clear" w:color="auto" w:fill="EAF1FB"/>
          </w:tcPr>
          <w:p>
            <w:r>
              <w:rPr>
                <w:b/>
                <w:sz w:val="17"/>
              </w:rPr>
              <w:t>How to use it</w:t>
            </w:r>
          </w:p>
        </w:tc>
        <w:tc>
          <w:tcPr>
            <w:tcW w:type="dxa" w:w="8050"/>
            <w:shd w:val="clear" w:color="auto" w:fill="EAF1FB"/>
          </w:tcPr>
          <w:p>
            <w:r>
              <w:rPr>
                <w:sz w:val="17"/>
              </w:rPr>
              <w:t>Establishes COVID as a genuinely new, policy-driven, exogenous shock — so a model trained on earlier crises has never seen anything like it (H3) and all channels should move together (H2c).</w:t>
            </w:r>
          </w:p>
        </w:tc>
      </w:tr>
      <w:tr>
        <w:tc>
          <w:tcPr>
            <w:tcW w:type="dxa" w:w="1587"/>
          </w:tcPr>
          <w:p>
            <w:r>
              <w:rPr>
                <w:b/>
                <w:sz w:val="17"/>
              </w:rPr>
              <w:t>Feeds</w:t>
            </w:r>
          </w:p>
        </w:tc>
        <w:tc>
          <w:tcPr>
            <w:tcW w:type="dxa" w:w="8050"/>
          </w:tcPr>
          <w:p>
            <w:r>
              <w:rPr>
                <w:sz w:val="17"/>
              </w:rPr>
              <w:t>2.3.4; H2c; H3; Discussion (was this time really different?).</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Akhtaruzzaman, M., Boubaker, S. &amp; Sensoy, A. (2021) Financial contagion during COVID-19 crisis. Finance Research Letters, 38, 101604.</w:t>
            </w:r>
          </w:p>
        </w:tc>
      </w:tr>
      <w:tr>
        <w:tc>
          <w:tcPr>
            <w:tcW w:type="dxa" w:w="1587"/>
            <w:shd w:val="clear" w:color="auto" w:fill="D9EAD3"/>
          </w:tcPr>
          <w:p>
            <w:r>
              <w:rPr>
                <w:b/>
                <w:sz w:val="17"/>
              </w:rPr>
              <w:t>Source basis</w:t>
            </w:r>
          </w:p>
        </w:tc>
        <w:tc>
          <w:tcPr>
            <w:tcW w:type="dxa" w:w="8050"/>
            <w:shd w:val="clear" w:color="auto" w:fill="D9EAD3"/>
          </w:tcPr>
          <w:p>
            <w:r>
              <w:rPr>
                <w:sz w:val="17"/>
              </w:rPr>
              <w:t>Full text read in this session — facts checked against the paper</w:t>
            </w:r>
          </w:p>
        </w:tc>
      </w:tr>
      <w:tr>
        <w:tc>
          <w:tcPr>
            <w:tcW w:type="dxa" w:w="1587"/>
          </w:tcPr>
          <w:p>
            <w:r>
              <w:rPr>
                <w:b/>
                <w:sz w:val="17"/>
              </w:rPr>
              <w:t>Question</w:t>
            </w:r>
          </w:p>
        </w:tc>
        <w:tc>
          <w:tcPr>
            <w:tcW w:type="dxa" w:w="8050"/>
          </w:tcPr>
          <w:p>
            <w:r>
              <w:rPr>
                <w:sz w:val="17"/>
              </w:rPr>
              <w:t>How did COVID-19 contagion travel between China and the G7?</w:t>
            </w:r>
          </w:p>
        </w:tc>
      </w:tr>
      <w:tr>
        <w:tc>
          <w:tcPr>
            <w:tcW w:type="dxa" w:w="1587"/>
          </w:tcPr>
          <w:p>
            <w:r>
              <w:rPr>
                <w:b/>
                <w:sz w:val="17"/>
              </w:rPr>
              <w:t>Data</w:t>
            </w:r>
          </w:p>
        </w:tc>
        <w:tc>
          <w:tcPr>
            <w:tcW w:type="dxa" w:w="8050"/>
          </w:tcPr>
          <w:p>
            <w:r>
              <w:rPr>
                <w:sz w:val="17"/>
              </w:rPr>
              <w:t>Financial and non-financial firms’ stock returns, China and G7, early 2020.</w:t>
            </w:r>
          </w:p>
        </w:tc>
      </w:tr>
      <w:tr>
        <w:tc>
          <w:tcPr>
            <w:tcW w:type="dxa" w:w="1587"/>
          </w:tcPr>
          <w:p>
            <w:r>
              <w:rPr>
                <w:b/>
                <w:sz w:val="17"/>
              </w:rPr>
              <w:t>Method</w:t>
            </w:r>
          </w:p>
        </w:tc>
        <w:tc>
          <w:tcPr>
            <w:tcW w:type="dxa" w:w="8050"/>
          </w:tcPr>
          <w:p>
            <w:r>
              <w:rPr>
                <w:sz w:val="17"/>
              </w:rPr>
              <w:t>DCC-GARCH correlations; spillover index; hedge ratios.</w:t>
            </w:r>
          </w:p>
        </w:tc>
      </w:tr>
      <w:tr>
        <w:tc>
          <w:tcPr>
            <w:tcW w:type="dxa" w:w="1587"/>
          </w:tcPr>
          <w:p>
            <w:r>
              <w:rPr>
                <w:b/>
                <w:sz w:val="17"/>
              </w:rPr>
              <w:t>Key findings</w:t>
            </w:r>
          </w:p>
        </w:tc>
        <w:tc>
          <w:tcPr>
            <w:tcW w:type="dxa" w:w="8050"/>
          </w:tcPr>
          <w:p>
            <w:r>
              <w:rPr>
                <w:sz w:val="17"/>
              </w:rPr>
              <w:t>• Correlations rose significantly for both financial and non-financial firms.</w:t>
            </w:r>
          </w:p>
          <w:p>
            <w:r>
              <w:rPr>
                <w:sz w:val="17"/>
              </w:rPr>
              <w:t>• The rise was much larger for financial firms — they were key transmitters.</w:t>
            </w:r>
          </w:p>
          <w:p>
            <w:r>
              <w:rPr>
                <w:sz w:val="17"/>
              </w:rPr>
              <w:t>• China and Japan were net transmitters of spillovers; hedging costs rose.</w:t>
            </w:r>
          </w:p>
        </w:tc>
      </w:tr>
      <w:tr>
        <w:tc>
          <w:tcPr>
            <w:tcW w:type="dxa" w:w="1587"/>
          </w:tcPr>
          <w:p>
            <w:r>
              <w:rPr>
                <w:b/>
                <w:sz w:val="17"/>
              </w:rPr>
              <w:t>Limitations</w:t>
            </w:r>
          </w:p>
        </w:tc>
        <w:tc>
          <w:tcPr>
            <w:tcW w:type="dxa" w:w="8050"/>
          </w:tcPr>
          <w:p>
            <w:r>
              <w:rPr>
                <w:sz w:val="17"/>
              </w:rPr>
              <w:t>Short window; no Ireland.</w:t>
            </w:r>
          </w:p>
        </w:tc>
      </w:tr>
      <w:tr>
        <w:tc>
          <w:tcPr>
            <w:tcW w:type="dxa" w:w="1587"/>
            <w:shd w:val="clear" w:color="auto" w:fill="EAF1FB"/>
          </w:tcPr>
          <w:p>
            <w:r>
              <w:rPr>
                <w:b/>
                <w:sz w:val="17"/>
              </w:rPr>
              <w:t>How to use it</w:t>
            </w:r>
          </w:p>
        </w:tc>
        <w:tc>
          <w:tcPr>
            <w:tcW w:type="dxa" w:w="8050"/>
            <w:shd w:val="clear" w:color="auto" w:fill="EAF1FB"/>
          </w:tcPr>
          <w:p>
            <w:r>
              <w:rPr>
                <w:sz w:val="17"/>
              </w:rPr>
              <w:t>Supports H2c (broad, simultaneous rise) and the role of financial markets as transmitters.</w:t>
            </w:r>
          </w:p>
        </w:tc>
      </w:tr>
      <w:tr>
        <w:tc>
          <w:tcPr>
            <w:tcW w:type="dxa" w:w="1587"/>
          </w:tcPr>
          <w:p>
            <w:r>
              <w:rPr>
                <w:b/>
                <w:sz w:val="17"/>
              </w:rPr>
              <w:t>Feeds</w:t>
            </w:r>
          </w:p>
        </w:tc>
        <w:tc>
          <w:tcPr>
            <w:tcW w:type="dxa" w:w="8050"/>
          </w:tcPr>
          <w:p>
            <w:r>
              <w:rPr>
                <w:sz w:val="17"/>
              </w:rPr>
              <w:t>2.3.4; H2c.</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Li, H., Ahmed, S. &amp; Chevapatrakul, T. (2016) Volatility spillovers across European stock markets around the Brexit referendum. Nottingham CFCM WP 16/06.</w:t>
            </w:r>
          </w:p>
        </w:tc>
      </w:tr>
      <w:tr>
        <w:tc>
          <w:tcPr>
            <w:tcW w:type="dxa" w:w="1587"/>
            <w:shd w:val="clear" w:color="auto" w:fill="D9EAD3"/>
          </w:tcPr>
          <w:p>
            <w:r>
              <w:rPr>
                <w:b/>
                <w:sz w:val="17"/>
              </w:rPr>
              <w:t>Source basis</w:t>
            </w:r>
          </w:p>
        </w:tc>
        <w:tc>
          <w:tcPr>
            <w:tcW w:type="dxa" w:w="8050"/>
            <w:shd w:val="clear" w:color="auto" w:fill="D9EAD3"/>
          </w:tcPr>
          <w:p>
            <w:r>
              <w:rPr>
                <w:sz w:val="17"/>
              </w:rPr>
              <w:t>Full text read in this session — facts checked against the paper</w:t>
            </w:r>
          </w:p>
        </w:tc>
      </w:tr>
      <w:tr>
        <w:tc>
          <w:tcPr>
            <w:tcW w:type="dxa" w:w="1587"/>
          </w:tcPr>
          <w:p>
            <w:r>
              <w:rPr>
                <w:b/>
                <w:sz w:val="17"/>
              </w:rPr>
              <w:t>Question</w:t>
            </w:r>
          </w:p>
        </w:tc>
        <w:tc>
          <w:tcPr>
            <w:tcW w:type="dxa" w:w="8050"/>
          </w:tcPr>
          <w:p>
            <w:r>
              <w:rPr>
                <w:sz w:val="17"/>
              </w:rPr>
              <w:t>How did volatility spill over between major European markets around the referendum?</w:t>
            </w:r>
          </w:p>
        </w:tc>
      </w:tr>
      <w:tr>
        <w:tc>
          <w:tcPr>
            <w:tcW w:type="dxa" w:w="1587"/>
          </w:tcPr>
          <w:p>
            <w:r>
              <w:rPr>
                <w:b/>
                <w:sz w:val="17"/>
              </w:rPr>
              <w:t>Data</w:t>
            </w:r>
          </w:p>
        </w:tc>
        <w:tc>
          <w:tcPr>
            <w:tcW w:type="dxa" w:w="8050"/>
          </w:tcPr>
          <w:p>
            <w:r>
              <w:rPr>
                <w:sz w:val="17"/>
              </w:rPr>
              <w:t>15-minute intraday data; France, Germany, Switzerland, UK; 4 Jan – 30 Sep 2016.</w:t>
            </w:r>
          </w:p>
        </w:tc>
      </w:tr>
      <w:tr>
        <w:tc>
          <w:tcPr>
            <w:tcW w:type="dxa" w:w="1587"/>
          </w:tcPr>
          <w:p>
            <w:r>
              <w:rPr>
                <w:b/>
                <w:sz w:val="17"/>
              </w:rPr>
              <w:t>Method</w:t>
            </w:r>
          </w:p>
        </w:tc>
        <w:tc>
          <w:tcPr>
            <w:tcW w:type="dxa" w:w="8050"/>
          </w:tcPr>
          <w:p>
            <w:r>
              <w:rPr>
                <w:sz w:val="17"/>
              </w:rPr>
              <w:t>Diebold–Yilmaz style total, directional, net and pairwise spillovers.</w:t>
            </w:r>
          </w:p>
        </w:tc>
      </w:tr>
      <w:tr>
        <w:tc>
          <w:tcPr>
            <w:tcW w:type="dxa" w:w="1587"/>
          </w:tcPr>
          <w:p>
            <w:r>
              <w:rPr>
                <w:b/>
                <w:sz w:val="17"/>
              </w:rPr>
              <w:t>Key findings</w:t>
            </w:r>
          </w:p>
        </w:tc>
        <w:tc>
          <w:tcPr>
            <w:tcW w:type="dxa" w:w="8050"/>
          </w:tcPr>
          <w:p>
            <w:r>
              <w:rPr>
                <w:sz w:val="17"/>
              </w:rPr>
              <w:t>• Strong interdependence among the four markets.</w:t>
            </w:r>
          </w:p>
          <w:p>
            <w:r>
              <w:rPr>
                <w:sz w:val="17"/>
              </w:rPr>
              <w:t>• Over the whole period, France and Germany were net transmitters; the UK and Switzerland net receivers.</w:t>
            </w:r>
          </w:p>
          <w:p>
            <w:r>
              <w:rPr>
                <w:sz w:val="17"/>
              </w:rPr>
              <w:t>• Around referendum day, France and the UK were net transmitters.</w:t>
            </w:r>
          </w:p>
        </w:tc>
      </w:tr>
      <w:tr>
        <w:tc>
          <w:tcPr>
            <w:tcW w:type="dxa" w:w="1587"/>
          </w:tcPr>
          <w:p>
            <w:r>
              <w:rPr>
                <w:b/>
                <w:sz w:val="17"/>
              </w:rPr>
              <w:t>Limitations</w:t>
            </w:r>
          </w:p>
        </w:tc>
        <w:tc>
          <w:tcPr>
            <w:tcW w:type="dxa" w:w="8050"/>
          </w:tcPr>
          <w:p>
            <w:r>
              <w:rPr>
                <w:sz w:val="17"/>
              </w:rPr>
              <w:t>Four large markets only; no Ireland.</w:t>
            </w:r>
          </w:p>
        </w:tc>
      </w:tr>
      <w:tr>
        <w:tc>
          <w:tcPr>
            <w:tcW w:type="dxa" w:w="1587"/>
            <w:shd w:val="clear" w:color="auto" w:fill="EAF1FB"/>
          </w:tcPr>
          <w:p>
            <w:r>
              <w:rPr>
                <w:b/>
                <w:sz w:val="17"/>
              </w:rPr>
              <w:t>How to use it</w:t>
            </w:r>
          </w:p>
        </w:tc>
        <w:tc>
          <w:tcPr>
            <w:tcW w:type="dxa" w:w="8050"/>
            <w:shd w:val="clear" w:color="auto" w:fill="EAF1FB"/>
          </w:tcPr>
          <w:p>
            <w:r>
              <w:rPr>
                <w:sz w:val="17"/>
              </w:rPr>
              <w:t>Competing evidence for H2d: the UK was a transmitter around the vote but not overall. Justifies watching the euro-core channel in your Brexit check too.</w:t>
            </w:r>
          </w:p>
        </w:tc>
      </w:tr>
      <w:tr>
        <w:tc>
          <w:tcPr>
            <w:tcW w:type="dxa" w:w="1587"/>
          </w:tcPr>
          <w:p>
            <w:r>
              <w:rPr>
                <w:b/>
                <w:sz w:val="17"/>
              </w:rPr>
              <w:t>Feeds</w:t>
            </w:r>
          </w:p>
        </w:tc>
        <w:tc>
          <w:tcPr>
            <w:tcW w:type="dxa" w:w="8050"/>
          </w:tcPr>
          <w:p>
            <w:r>
              <w:rPr>
                <w:sz w:val="17"/>
              </w:rPr>
              <w:t>2.3.5; H2d.</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Li, H. (2020) Volatility spillovers across European stock markets under the uncertainty of Brexit. Economic Modelling, 84, 1–12.</w:t>
            </w:r>
          </w:p>
        </w:tc>
      </w:tr>
      <w:tr>
        <w:tc>
          <w:tcPr>
            <w:tcW w:type="dxa" w:w="1587"/>
            <w:shd w:val="clear" w:color="auto" w:fill="FFF2CC"/>
          </w:tcPr>
          <w:p>
            <w:r>
              <w:rPr>
                <w:b/>
                <w:sz w:val="17"/>
              </w:rPr>
              <w:t>Source basis</w:t>
            </w:r>
          </w:p>
        </w:tc>
        <w:tc>
          <w:tcPr>
            <w:tcW w:type="dxa" w:w="8050"/>
            <w:shd w:val="clear" w:color="auto" w:fill="FFF2CC"/>
          </w:tcPr>
          <w:p>
            <w:r>
              <w:rPr>
                <w:sz w:val="17"/>
              </w:rPr>
              <w:t>Abstract / official summary read in this session — read the full paper for details</w:t>
            </w:r>
          </w:p>
        </w:tc>
      </w:tr>
      <w:tr>
        <w:tc>
          <w:tcPr>
            <w:tcW w:type="dxa" w:w="1587"/>
          </w:tcPr>
          <w:p>
            <w:r>
              <w:rPr>
                <w:b/>
                <w:sz w:val="17"/>
              </w:rPr>
              <w:t>Question</w:t>
            </w:r>
          </w:p>
        </w:tc>
        <w:tc>
          <w:tcPr>
            <w:tcW w:type="dxa" w:w="8050"/>
          </w:tcPr>
          <w:p>
            <w:r>
              <w:rPr>
                <w:sz w:val="17"/>
              </w:rPr>
              <w:t>How did Brexit uncertainty change volatility spillovers in Europe?</w:t>
            </w:r>
          </w:p>
        </w:tc>
      </w:tr>
      <w:tr>
        <w:tc>
          <w:tcPr>
            <w:tcW w:type="dxa" w:w="1587"/>
          </w:tcPr>
          <w:p>
            <w:r>
              <w:rPr>
                <w:b/>
                <w:sz w:val="17"/>
              </w:rPr>
              <w:t>Data</w:t>
            </w:r>
          </w:p>
        </w:tc>
        <w:tc>
          <w:tcPr>
            <w:tcW w:type="dxa" w:w="8050"/>
          </w:tcPr>
          <w:p>
            <w:r>
              <w:rPr>
                <w:sz w:val="17"/>
              </w:rPr>
              <w:t>European stock markets from January 2016 through and after the vote.</w:t>
            </w:r>
          </w:p>
        </w:tc>
      </w:tr>
      <w:tr>
        <w:tc>
          <w:tcPr>
            <w:tcW w:type="dxa" w:w="1587"/>
          </w:tcPr>
          <w:p>
            <w:r>
              <w:rPr>
                <w:b/>
                <w:sz w:val="17"/>
              </w:rPr>
              <w:t>Method</w:t>
            </w:r>
          </w:p>
        </w:tc>
        <w:tc>
          <w:tcPr>
            <w:tcW w:type="dxa" w:w="8050"/>
          </w:tcPr>
          <w:p>
            <w:r>
              <w:rPr>
                <w:sz w:val="17"/>
              </w:rPr>
              <w:t>Time-varying multivariate GARCH; variance decomposition; volatility impulse responses.</w:t>
            </w:r>
          </w:p>
        </w:tc>
      </w:tr>
      <w:tr>
        <w:tc>
          <w:tcPr>
            <w:tcW w:type="dxa" w:w="1587"/>
          </w:tcPr>
          <w:p>
            <w:r>
              <w:rPr>
                <w:b/>
                <w:sz w:val="17"/>
              </w:rPr>
              <w:t>Key findings</w:t>
            </w:r>
          </w:p>
        </w:tc>
        <w:tc>
          <w:tcPr>
            <w:tcW w:type="dxa" w:w="8050"/>
          </w:tcPr>
          <w:p>
            <w:r>
              <w:rPr>
                <w:sz w:val="17"/>
              </w:rPr>
              <w:t>• The UK’s influence on other markets decreased from the start of the referendum campaign.</w:t>
            </w:r>
          </w:p>
          <w:p>
            <w:r>
              <w:rPr>
                <w:sz w:val="17"/>
              </w:rPr>
              <w:t>• The vote raised volatility, with diverse instant effects on co-movement.</w:t>
            </w:r>
          </w:p>
          <w:p>
            <w:r>
              <w:rPr>
                <w:sz w:val="17"/>
              </w:rPr>
              <w:t>• Its effect on co-volatility remained substantial and persistent.</w:t>
            </w:r>
          </w:p>
        </w:tc>
      </w:tr>
      <w:tr>
        <w:tc>
          <w:tcPr>
            <w:tcW w:type="dxa" w:w="1587"/>
          </w:tcPr>
          <w:p>
            <w:r>
              <w:rPr>
                <w:b/>
                <w:sz w:val="17"/>
              </w:rPr>
              <w:t>Limitations</w:t>
            </w:r>
          </w:p>
        </w:tc>
        <w:tc>
          <w:tcPr>
            <w:tcW w:type="dxa" w:w="8050"/>
          </w:tcPr>
          <w:p>
            <w:r>
              <w:rPr>
                <w:sz w:val="17"/>
              </w:rPr>
              <w:t>Market list not confirmed (check whether Ireland is included).</w:t>
            </w:r>
          </w:p>
        </w:tc>
      </w:tr>
      <w:tr>
        <w:tc>
          <w:tcPr>
            <w:tcW w:type="dxa" w:w="1587"/>
            <w:shd w:val="clear" w:color="auto" w:fill="EAF1FB"/>
          </w:tcPr>
          <w:p>
            <w:r>
              <w:rPr>
                <w:b/>
                <w:sz w:val="17"/>
              </w:rPr>
              <w:t>How to use it</w:t>
            </w:r>
          </w:p>
        </w:tc>
        <w:tc>
          <w:tcPr>
            <w:tcW w:type="dxa" w:w="8050"/>
            <w:shd w:val="clear" w:color="auto" w:fill="EAF1FB"/>
          </w:tcPr>
          <w:p>
            <w:r>
              <w:rPr>
                <w:sz w:val="17"/>
              </w:rPr>
              <w:t>Second source for the competing view on H2d.</w:t>
            </w:r>
          </w:p>
        </w:tc>
      </w:tr>
      <w:tr>
        <w:tc>
          <w:tcPr>
            <w:tcW w:type="dxa" w:w="1587"/>
          </w:tcPr>
          <w:p>
            <w:r>
              <w:rPr>
                <w:b/>
                <w:sz w:val="17"/>
              </w:rPr>
              <w:t>Feeds</w:t>
            </w:r>
          </w:p>
        </w:tc>
        <w:tc>
          <w:tcPr>
            <w:tcW w:type="dxa" w:w="8050"/>
          </w:tcPr>
          <w:p>
            <w:r>
              <w:rPr>
                <w:sz w:val="17"/>
              </w:rPr>
              <w:t>2.3.5; H2d.</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Boungou, W. &amp; Yatié, A. (2022) The impact of the Ukraine–Russia war on world stock market returns. Economics Letters, 215, 110516.</w:t>
            </w:r>
          </w:p>
        </w:tc>
      </w:tr>
      <w:tr>
        <w:tc>
          <w:tcPr>
            <w:tcW w:type="dxa" w:w="1587"/>
            <w:shd w:val="clear" w:color="auto" w:fill="FFF2CC"/>
          </w:tcPr>
          <w:p>
            <w:r>
              <w:rPr>
                <w:b/>
                <w:sz w:val="17"/>
              </w:rPr>
              <w:t>Source basis</w:t>
            </w:r>
          </w:p>
        </w:tc>
        <w:tc>
          <w:tcPr>
            <w:tcW w:type="dxa" w:w="8050"/>
            <w:shd w:val="clear" w:color="auto" w:fill="FFF2CC"/>
          </w:tcPr>
          <w:p>
            <w:r>
              <w:rPr>
                <w:sz w:val="17"/>
              </w:rPr>
              <w:t>Abstract / official summary read in this session — read the full paper for details</w:t>
            </w:r>
          </w:p>
        </w:tc>
      </w:tr>
      <w:tr>
        <w:tc>
          <w:tcPr>
            <w:tcW w:type="dxa" w:w="1587"/>
          </w:tcPr>
          <w:p>
            <w:r>
              <w:rPr>
                <w:b/>
                <w:sz w:val="17"/>
              </w:rPr>
              <w:t>Question</w:t>
            </w:r>
          </w:p>
        </w:tc>
        <w:tc>
          <w:tcPr>
            <w:tcW w:type="dxa" w:w="8050"/>
          </w:tcPr>
          <w:p>
            <w:r>
              <w:rPr>
                <w:sz w:val="17"/>
              </w:rPr>
              <w:t>How did the invasion affect stock markets worldwide?</w:t>
            </w:r>
          </w:p>
        </w:tc>
      </w:tr>
      <w:tr>
        <w:tc>
          <w:tcPr>
            <w:tcW w:type="dxa" w:w="1587"/>
          </w:tcPr>
          <w:p>
            <w:r>
              <w:rPr>
                <w:b/>
                <w:sz w:val="17"/>
              </w:rPr>
              <w:t>Data</w:t>
            </w:r>
          </w:p>
        </w:tc>
        <w:tc>
          <w:tcPr>
            <w:tcW w:type="dxa" w:w="8050"/>
          </w:tcPr>
          <w:p>
            <w:r>
              <w:rPr>
                <w:sz w:val="17"/>
              </w:rPr>
              <w:t>Daily returns of 94 countries, 22 Jan – 24 Mar 2022.</w:t>
            </w:r>
          </w:p>
        </w:tc>
      </w:tr>
      <w:tr>
        <w:tc>
          <w:tcPr>
            <w:tcW w:type="dxa" w:w="1587"/>
          </w:tcPr>
          <w:p>
            <w:r>
              <w:rPr>
                <w:b/>
                <w:sz w:val="17"/>
              </w:rPr>
              <w:t>Method</w:t>
            </w:r>
          </w:p>
        </w:tc>
        <w:tc>
          <w:tcPr>
            <w:tcW w:type="dxa" w:w="8050"/>
          </w:tcPr>
          <w:p>
            <w:r>
              <w:rPr>
                <w:sz w:val="17"/>
              </w:rPr>
              <w:t>Panel regression around the invasion.</w:t>
            </w:r>
          </w:p>
        </w:tc>
      </w:tr>
      <w:tr>
        <w:tc>
          <w:tcPr>
            <w:tcW w:type="dxa" w:w="1587"/>
          </w:tcPr>
          <w:p>
            <w:r>
              <w:rPr>
                <w:b/>
                <w:sz w:val="17"/>
              </w:rPr>
              <w:t>Key findings</w:t>
            </w:r>
          </w:p>
        </w:tc>
        <w:tc>
          <w:tcPr>
            <w:tcW w:type="dxa" w:w="8050"/>
          </w:tcPr>
          <w:p>
            <w:r>
              <w:rPr>
                <w:sz w:val="17"/>
              </w:rPr>
              <w:t>• Negative relationship between the war and world stock returns.</w:t>
            </w:r>
          </w:p>
          <w:p>
            <w:r>
              <w:rPr>
                <w:sz w:val="17"/>
              </w:rPr>
              <w:t>• Largest impact at the onset, especially in the first two weeks after 24 February.</w:t>
            </w:r>
          </w:p>
        </w:tc>
      </w:tr>
      <w:tr>
        <w:tc>
          <w:tcPr>
            <w:tcW w:type="dxa" w:w="1587"/>
          </w:tcPr>
          <w:p>
            <w:r>
              <w:rPr>
                <w:b/>
                <w:sz w:val="17"/>
              </w:rPr>
              <w:t>Limitations</w:t>
            </w:r>
          </w:p>
        </w:tc>
        <w:tc>
          <w:tcPr>
            <w:tcW w:type="dxa" w:w="8050"/>
          </w:tcPr>
          <w:p>
            <w:r>
              <w:rPr>
                <w:sz w:val="17"/>
              </w:rPr>
              <w:t>Returns, not volatility; short window; no rates channel.</w:t>
            </w:r>
          </w:p>
        </w:tc>
      </w:tr>
      <w:tr>
        <w:tc>
          <w:tcPr>
            <w:tcW w:type="dxa" w:w="1587"/>
            <w:shd w:val="clear" w:color="auto" w:fill="EAF1FB"/>
          </w:tcPr>
          <w:p>
            <w:r>
              <w:rPr>
                <w:b/>
                <w:sz w:val="17"/>
              </w:rPr>
              <w:t>How to use it</w:t>
            </w:r>
          </w:p>
        </w:tc>
        <w:tc>
          <w:tcPr>
            <w:tcW w:type="dxa" w:w="8050"/>
            <w:shd w:val="clear" w:color="auto" w:fill="EAF1FB"/>
          </w:tcPr>
          <w:p>
            <w:r>
              <w:rPr>
                <w:sz w:val="17"/>
              </w:rPr>
              <w:t>Background for your 2022 validation event (H2e). Add the rates channel from the ECB/Fed tightening and Minsky’s point on monetary tightening.</w:t>
            </w:r>
          </w:p>
        </w:tc>
      </w:tr>
      <w:tr>
        <w:tc>
          <w:tcPr>
            <w:tcW w:type="dxa" w:w="1587"/>
          </w:tcPr>
          <w:p>
            <w:r>
              <w:rPr>
                <w:b/>
                <w:sz w:val="17"/>
              </w:rPr>
              <w:t>Feeds</w:t>
            </w:r>
          </w:p>
        </w:tc>
        <w:tc>
          <w:tcPr>
            <w:tcW w:type="dxa" w:w="8050"/>
          </w:tcPr>
          <w:p>
            <w:r>
              <w:rPr>
                <w:sz w:val="17"/>
              </w:rPr>
              <w:t>2.3.5; H2e.</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Kearney, C. (1998) The causes of volatility in a small, internationally integrated stock market: Ireland, July 1975–June 1994. Journal of Financial Research, 21(1).</w:t>
            </w:r>
          </w:p>
        </w:tc>
      </w:tr>
      <w:tr>
        <w:tc>
          <w:tcPr>
            <w:tcW w:type="dxa" w:w="1587"/>
            <w:shd w:val="clear" w:color="auto" w:fill="FFF2CC"/>
          </w:tcPr>
          <w:p>
            <w:r>
              <w:rPr>
                <w:b/>
                <w:sz w:val="17"/>
              </w:rPr>
              <w:t>Source basis</w:t>
            </w:r>
          </w:p>
        </w:tc>
        <w:tc>
          <w:tcPr>
            <w:tcW w:type="dxa" w:w="8050"/>
            <w:shd w:val="clear" w:color="auto" w:fill="FFF2CC"/>
          </w:tcPr>
          <w:p>
            <w:r>
              <w:rPr>
                <w:sz w:val="17"/>
              </w:rPr>
              <w:t>Abstract / official summary read in this session — read the full paper for details</w:t>
            </w:r>
          </w:p>
        </w:tc>
      </w:tr>
      <w:tr>
        <w:tc>
          <w:tcPr>
            <w:tcW w:type="dxa" w:w="1587"/>
          </w:tcPr>
          <w:p>
            <w:r>
              <w:rPr>
                <w:b/>
                <w:sz w:val="17"/>
              </w:rPr>
              <w:t>Question</w:t>
            </w:r>
          </w:p>
        </w:tc>
        <w:tc>
          <w:tcPr>
            <w:tcW w:type="dxa" w:w="8050"/>
          </w:tcPr>
          <w:p>
            <w:r>
              <w:rPr>
                <w:sz w:val="17"/>
              </w:rPr>
              <w:t>What drives volatility in the Irish stock market?</w:t>
            </w:r>
          </w:p>
        </w:tc>
      </w:tr>
      <w:tr>
        <w:tc>
          <w:tcPr>
            <w:tcW w:type="dxa" w:w="1587"/>
          </w:tcPr>
          <w:p>
            <w:r>
              <w:rPr>
                <w:b/>
                <w:sz w:val="17"/>
              </w:rPr>
              <w:t>Data</w:t>
            </w:r>
          </w:p>
        </w:tc>
        <w:tc>
          <w:tcPr>
            <w:tcW w:type="dxa" w:w="8050"/>
          </w:tcPr>
          <w:p>
            <w:r>
              <w:rPr>
                <w:sz w:val="17"/>
              </w:rPr>
              <w:t>Irish market, 1975–1994.</w:t>
            </w:r>
          </w:p>
        </w:tc>
      </w:tr>
      <w:tr>
        <w:tc>
          <w:tcPr>
            <w:tcW w:type="dxa" w:w="1587"/>
          </w:tcPr>
          <w:p>
            <w:r>
              <w:rPr>
                <w:b/>
                <w:sz w:val="17"/>
              </w:rPr>
              <w:t>Method</w:t>
            </w:r>
          </w:p>
        </w:tc>
        <w:tc>
          <w:tcPr>
            <w:tcW w:type="dxa" w:w="8050"/>
          </w:tcPr>
          <w:p>
            <w:r>
              <w:rPr>
                <w:sz w:val="17"/>
              </w:rPr>
              <w:t>(Read the paper.)</w:t>
            </w:r>
          </w:p>
        </w:tc>
      </w:tr>
      <w:tr>
        <w:tc>
          <w:tcPr>
            <w:tcW w:type="dxa" w:w="1587"/>
          </w:tcPr>
          <w:p>
            <w:r>
              <w:rPr>
                <w:b/>
                <w:sz w:val="17"/>
              </w:rPr>
              <w:t>Key findings</w:t>
            </w:r>
          </w:p>
        </w:tc>
        <w:tc>
          <w:tcPr>
            <w:tcW w:type="dxa" w:w="8050"/>
          </w:tcPr>
          <w:p>
            <w:r>
              <w:rPr>
                <w:sz w:val="17"/>
              </w:rPr>
              <w:t>• Title confirmed; treats Ireland as a small, internationally integrated market. Read for findings.</w:t>
            </w:r>
          </w:p>
        </w:tc>
      </w:tr>
      <w:tr>
        <w:tc>
          <w:tcPr>
            <w:tcW w:type="dxa" w:w="1587"/>
          </w:tcPr>
          <w:p>
            <w:r>
              <w:rPr>
                <w:b/>
                <w:sz w:val="17"/>
              </w:rPr>
              <w:t>Limitations</w:t>
            </w:r>
          </w:p>
        </w:tc>
        <w:tc>
          <w:tcPr>
            <w:tcW w:type="dxa" w:w="8050"/>
          </w:tcPr>
          <w:p>
            <w:r>
              <w:rPr>
                <w:sz w:val="17"/>
              </w:rPr>
              <w:t>Old sample; pre-euro.</w:t>
            </w:r>
          </w:p>
        </w:tc>
      </w:tr>
      <w:tr>
        <w:tc>
          <w:tcPr>
            <w:tcW w:type="dxa" w:w="1587"/>
            <w:shd w:val="clear" w:color="auto" w:fill="EAF1FB"/>
          </w:tcPr>
          <w:p>
            <w:r>
              <w:rPr>
                <w:b/>
                <w:sz w:val="17"/>
              </w:rPr>
              <w:t>How to use it</w:t>
            </w:r>
          </w:p>
        </w:tc>
        <w:tc>
          <w:tcPr>
            <w:tcW w:type="dxa" w:w="8050"/>
            <w:shd w:val="clear" w:color="auto" w:fill="EAF1FB"/>
          </w:tcPr>
          <w:p>
            <w:r>
              <w:rPr>
                <w:sz w:val="17"/>
              </w:rPr>
              <w:t>Historical Irish evidence that foreign factors matter — a precedent for your design.</w:t>
            </w:r>
          </w:p>
        </w:tc>
      </w:tr>
      <w:tr>
        <w:tc>
          <w:tcPr>
            <w:tcW w:type="dxa" w:w="1587"/>
          </w:tcPr>
          <w:p>
            <w:r>
              <w:rPr>
                <w:b/>
                <w:sz w:val="17"/>
              </w:rPr>
              <w:t>Feeds</w:t>
            </w:r>
          </w:p>
        </w:tc>
        <w:tc>
          <w:tcPr>
            <w:tcW w:type="dxa" w:w="8050"/>
          </w:tcPr>
          <w:p>
            <w:r>
              <w:rPr>
                <w:sz w:val="17"/>
              </w:rPr>
              <w:t>2.3.1; H2d.</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Twomey, C. (1998) Identifying the source of mean and volatility spillovers in Irish equities: a multivariate GARCH analysis. The Economic and Social Review.</w:t>
            </w:r>
          </w:p>
        </w:tc>
      </w:tr>
      <w:tr>
        <w:tc>
          <w:tcPr>
            <w:tcW w:type="dxa" w:w="1587"/>
            <w:shd w:val="clear" w:color="auto" w:fill="FFF2CC"/>
          </w:tcPr>
          <w:p>
            <w:r>
              <w:rPr>
                <w:b/>
                <w:sz w:val="17"/>
              </w:rPr>
              <w:t>Source basis</w:t>
            </w:r>
          </w:p>
        </w:tc>
        <w:tc>
          <w:tcPr>
            <w:tcW w:type="dxa" w:w="8050"/>
            <w:shd w:val="clear" w:color="auto" w:fill="FFF2CC"/>
          </w:tcPr>
          <w:p>
            <w:r>
              <w:rPr>
                <w:sz w:val="17"/>
              </w:rPr>
              <w:t>Abstract / official summary read in this session — read the full paper for details</w:t>
            </w:r>
          </w:p>
        </w:tc>
      </w:tr>
      <w:tr>
        <w:tc>
          <w:tcPr>
            <w:tcW w:type="dxa" w:w="1587"/>
          </w:tcPr>
          <w:p>
            <w:r>
              <w:rPr>
                <w:b/>
                <w:sz w:val="17"/>
              </w:rPr>
              <w:t>Question</w:t>
            </w:r>
          </w:p>
        </w:tc>
        <w:tc>
          <w:tcPr>
            <w:tcW w:type="dxa" w:w="8050"/>
          </w:tcPr>
          <w:p>
            <w:r>
              <w:rPr>
                <w:sz w:val="17"/>
              </w:rPr>
              <w:t>Where do Irish equity return and volatility spillovers come from?</w:t>
            </w:r>
          </w:p>
        </w:tc>
      </w:tr>
      <w:tr>
        <w:tc>
          <w:tcPr>
            <w:tcW w:type="dxa" w:w="1587"/>
          </w:tcPr>
          <w:p>
            <w:r>
              <w:rPr>
                <w:b/>
                <w:sz w:val="17"/>
              </w:rPr>
              <w:t>Data</w:t>
            </w:r>
          </w:p>
        </w:tc>
        <w:tc>
          <w:tcPr>
            <w:tcW w:type="dxa" w:w="8050"/>
          </w:tcPr>
          <w:p>
            <w:r>
              <w:rPr>
                <w:sz w:val="17"/>
              </w:rPr>
              <w:t>Ten largest Irish stocks, the Irish and UK markets.</w:t>
            </w:r>
          </w:p>
        </w:tc>
      </w:tr>
      <w:tr>
        <w:tc>
          <w:tcPr>
            <w:tcW w:type="dxa" w:w="1587"/>
          </w:tcPr>
          <w:p>
            <w:r>
              <w:rPr>
                <w:b/>
                <w:sz w:val="17"/>
              </w:rPr>
              <w:t>Method</w:t>
            </w:r>
          </w:p>
        </w:tc>
        <w:tc>
          <w:tcPr>
            <w:tcW w:type="dxa" w:w="8050"/>
          </w:tcPr>
          <w:p>
            <w:r>
              <w:rPr>
                <w:sz w:val="17"/>
              </w:rPr>
              <w:t>Multivariate VAR-GARCH.</w:t>
            </w:r>
          </w:p>
        </w:tc>
      </w:tr>
      <w:tr>
        <w:tc>
          <w:tcPr>
            <w:tcW w:type="dxa" w:w="1587"/>
          </w:tcPr>
          <w:p>
            <w:r>
              <w:rPr>
                <w:b/>
                <w:sz w:val="17"/>
              </w:rPr>
              <w:t>Key findings</w:t>
            </w:r>
          </w:p>
        </w:tc>
        <w:tc>
          <w:tcPr>
            <w:tcW w:type="dxa" w:w="8050"/>
          </w:tcPr>
          <w:p>
            <w:r>
              <w:rPr>
                <w:sz w:val="17"/>
              </w:rPr>
              <w:t>• Significant mean and volatility spillovers from the UK market to individual Irish stocks.</w:t>
            </w:r>
          </w:p>
        </w:tc>
      </w:tr>
      <w:tr>
        <w:tc>
          <w:tcPr>
            <w:tcW w:type="dxa" w:w="1587"/>
          </w:tcPr>
          <w:p>
            <w:r>
              <w:rPr>
                <w:b/>
                <w:sz w:val="17"/>
              </w:rPr>
              <w:t>Limitations</w:t>
            </w:r>
          </w:p>
        </w:tc>
        <w:tc>
          <w:tcPr>
            <w:tcW w:type="dxa" w:w="8050"/>
          </w:tcPr>
          <w:p>
            <w:r>
              <w:rPr>
                <w:sz w:val="17"/>
              </w:rPr>
              <w:t>Pre-euro, 1990s data; confirm volume and pages.</w:t>
            </w:r>
          </w:p>
        </w:tc>
      </w:tr>
      <w:tr>
        <w:tc>
          <w:tcPr>
            <w:tcW w:type="dxa" w:w="1587"/>
            <w:shd w:val="clear" w:color="auto" w:fill="EAF1FB"/>
          </w:tcPr>
          <w:p>
            <w:r>
              <w:rPr>
                <w:b/>
                <w:sz w:val="17"/>
              </w:rPr>
              <w:t>How to use it</w:t>
            </w:r>
          </w:p>
        </w:tc>
        <w:tc>
          <w:tcPr>
            <w:tcW w:type="dxa" w:w="8050"/>
            <w:shd w:val="clear" w:color="auto" w:fill="EAF1FB"/>
          </w:tcPr>
          <w:p>
            <w:r>
              <w:rPr>
                <w:sz w:val="17"/>
              </w:rPr>
              <w:t>Early Irish evidence: the basis for expecting a UK channel (H2d).</w:t>
            </w:r>
          </w:p>
        </w:tc>
      </w:tr>
      <w:tr>
        <w:tc>
          <w:tcPr>
            <w:tcW w:type="dxa" w:w="1587"/>
          </w:tcPr>
          <w:p>
            <w:r>
              <w:rPr>
                <w:b/>
                <w:sz w:val="17"/>
              </w:rPr>
              <w:t>Feeds</w:t>
            </w:r>
          </w:p>
        </w:tc>
        <w:tc>
          <w:tcPr>
            <w:tcW w:type="dxa" w:w="8050"/>
          </w:tcPr>
          <w:p>
            <w:r>
              <w:rPr>
                <w:sz w:val="17"/>
              </w:rPr>
              <w:t>2.3.1; H2d.</w:t>
            </w:r>
          </w:p>
        </w:tc>
      </w:tr>
    </w:tbl>
    <w:p>
      <w:pPr>
        <w:spacing w:after="60"/>
      </w:pPr>
    </w:p>
    <w:p>
      <w:pPr>
        <w:pStyle w:val="Heading2"/>
      </w:pPr>
      <w:r>
        <w:rPr>
          <w:color w:val="1F4E79"/>
        </w:rPr>
        <w:t>D3. Section 2.4 — How shocks travel</w:t>
      </w: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Forbes, K. &amp; Rigobon, R. (2002) No contagion, only interdependence: measuring stock market co-movements. Journal of Finance, 57(5), 2223–2261 (NBER WP 7267).</w:t>
            </w:r>
          </w:p>
        </w:tc>
      </w:tr>
      <w:tr>
        <w:tc>
          <w:tcPr>
            <w:tcW w:type="dxa" w:w="1587"/>
            <w:shd w:val="clear" w:color="auto" w:fill="D9EAD3"/>
          </w:tcPr>
          <w:p>
            <w:r>
              <w:rPr>
                <w:b/>
                <w:sz w:val="17"/>
              </w:rPr>
              <w:t>Source basis</w:t>
            </w:r>
          </w:p>
        </w:tc>
        <w:tc>
          <w:tcPr>
            <w:tcW w:type="dxa" w:w="8050"/>
            <w:shd w:val="clear" w:color="auto" w:fill="D9EAD3"/>
          </w:tcPr>
          <w:p>
            <w:r>
              <w:rPr>
                <w:sz w:val="17"/>
              </w:rPr>
              <w:t>Full text read in this session — facts checked against the paper</w:t>
            </w:r>
          </w:p>
        </w:tc>
      </w:tr>
      <w:tr>
        <w:tc>
          <w:tcPr>
            <w:tcW w:type="dxa" w:w="1587"/>
          </w:tcPr>
          <w:p>
            <w:r>
              <w:rPr>
                <w:b/>
                <w:sz w:val="17"/>
              </w:rPr>
              <w:t>Question</w:t>
            </w:r>
          </w:p>
        </w:tc>
        <w:tc>
          <w:tcPr>
            <w:tcW w:type="dxa" w:w="8050"/>
          </w:tcPr>
          <w:p>
            <w:r>
              <w:rPr>
                <w:sz w:val="17"/>
              </w:rPr>
              <w:t>Does correlation between markets really rise in crises, or is it a statistical artefact?</w:t>
            </w:r>
          </w:p>
        </w:tc>
      </w:tr>
      <w:tr>
        <w:tc>
          <w:tcPr>
            <w:tcW w:type="dxa" w:w="1587"/>
          </w:tcPr>
          <w:p>
            <w:r>
              <w:rPr>
                <w:b/>
                <w:sz w:val="17"/>
              </w:rPr>
              <w:t>Data</w:t>
            </w:r>
          </w:p>
        </w:tc>
        <w:tc>
          <w:tcPr>
            <w:tcW w:type="dxa" w:w="8050"/>
          </w:tcPr>
          <w:p>
            <w:r>
              <w:rPr>
                <w:sz w:val="17"/>
              </w:rPr>
              <w:t>Stock markets in the 1997 East Asian crisis, 1994 Mexican peso crisis and 1987 US crash.</w:t>
            </w:r>
          </w:p>
        </w:tc>
      </w:tr>
      <w:tr>
        <w:tc>
          <w:tcPr>
            <w:tcW w:type="dxa" w:w="1587"/>
          </w:tcPr>
          <w:p>
            <w:r>
              <w:rPr>
                <w:b/>
                <w:sz w:val="17"/>
              </w:rPr>
              <w:t>Method</w:t>
            </w:r>
          </w:p>
        </w:tc>
        <w:tc>
          <w:tcPr>
            <w:tcW w:type="dxa" w:w="8050"/>
          </w:tcPr>
          <w:p>
            <w:r>
              <w:rPr>
                <w:sz w:val="17"/>
              </w:rPr>
              <w:t>Correlation tests, with and without a volatility adjustment.</w:t>
            </w:r>
          </w:p>
        </w:tc>
      </w:tr>
      <w:tr>
        <w:tc>
          <w:tcPr>
            <w:tcW w:type="dxa" w:w="1587"/>
          </w:tcPr>
          <w:p>
            <w:r>
              <w:rPr>
                <w:b/>
                <w:sz w:val="17"/>
              </w:rPr>
              <w:t>Key findings</w:t>
            </w:r>
          </w:p>
        </w:tc>
        <w:tc>
          <w:tcPr>
            <w:tcW w:type="dxa" w:w="8050"/>
          </w:tcPr>
          <w:p>
            <w:r>
              <w:rPr>
                <w:sz w:val="17"/>
              </w:rPr>
              <w:t>• The standard correlation is biased upward when volatility rises.</w:t>
            </w:r>
          </w:p>
          <w:p>
            <w:r>
              <w:rPr>
                <w:sz w:val="17"/>
              </w:rPr>
              <w:t>• Unadjusted tests find contagion in several countries; adjusted tests find virtually none.</w:t>
            </w:r>
          </w:p>
          <w:p>
            <w:r>
              <w:rPr>
                <w:sz w:val="17"/>
              </w:rPr>
              <w:t>• High co-movement in these crises was a continuation of strong existing links (interdependence).</w:t>
            </w:r>
          </w:p>
          <w:p>
            <w:r>
              <w:rPr>
                <w:sz w:val="17"/>
              </w:rPr>
              <w:t>• The adjusted coefficient can still be biased by endogeneity or common unobserved shocks.</w:t>
            </w:r>
          </w:p>
        </w:tc>
      </w:tr>
      <w:tr>
        <w:tc>
          <w:tcPr>
            <w:tcW w:type="dxa" w:w="1587"/>
          </w:tcPr>
          <w:p>
            <w:r>
              <w:rPr>
                <w:b/>
                <w:sz w:val="17"/>
              </w:rPr>
              <w:t>Limitations</w:t>
            </w:r>
          </w:p>
        </w:tc>
        <w:tc>
          <w:tcPr>
            <w:tcW w:type="dxa" w:w="8050"/>
          </w:tcPr>
          <w:p>
            <w:r>
              <w:rPr>
                <w:sz w:val="17"/>
              </w:rPr>
              <w:t>Assumes no endogeneity/omitted variables; only three crises.</w:t>
            </w:r>
          </w:p>
        </w:tc>
      </w:tr>
      <w:tr>
        <w:tc>
          <w:tcPr>
            <w:tcW w:type="dxa" w:w="1587"/>
            <w:shd w:val="clear" w:color="auto" w:fill="EAF1FB"/>
          </w:tcPr>
          <w:p>
            <w:r>
              <w:rPr>
                <w:b/>
                <w:sz w:val="17"/>
              </w:rPr>
              <w:t>How to use it</w:t>
            </w:r>
          </w:p>
        </w:tc>
        <w:tc>
          <w:tcPr>
            <w:tcW w:type="dxa" w:w="8050"/>
            <w:shd w:val="clear" w:color="auto" w:fill="EAF1FB"/>
          </w:tcPr>
          <w:p>
            <w:r>
              <w:rPr>
                <w:sz w:val="17"/>
              </w:rPr>
              <w:t>Defines your vocabulary and the key caution: rising crisis-period attributions may reflect volatility, not new channels.</w:t>
            </w:r>
          </w:p>
        </w:tc>
      </w:tr>
      <w:tr>
        <w:tc>
          <w:tcPr>
            <w:tcW w:type="dxa" w:w="1587"/>
          </w:tcPr>
          <w:p>
            <w:r>
              <w:rPr>
                <w:b/>
                <w:sz w:val="17"/>
              </w:rPr>
              <w:t>Feeds</w:t>
            </w:r>
          </w:p>
        </w:tc>
        <w:tc>
          <w:tcPr>
            <w:tcW w:type="dxa" w:w="8050"/>
          </w:tcPr>
          <w:p>
            <w:r>
              <w:rPr>
                <w:sz w:val="17"/>
              </w:rPr>
              <w:t>2.4; H2 interpretation; Limitations.</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Engle, R., Ito, T. &amp; Lin, W.-L. (1990) Meteor showers or heat waves? Heteroskedastic intra-daily volatility in the foreign exchange market. Econometrica, 58(3), 525–542 (NBER WP 2609).</w:t>
            </w:r>
          </w:p>
        </w:tc>
      </w:tr>
      <w:tr>
        <w:tc>
          <w:tcPr>
            <w:tcW w:type="dxa" w:w="1587"/>
            <w:shd w:val="clear" w:color="auto" w:fill="D9EAD3"/>
          </w:tcPr>
          <w:p>
            <w:r>
              <w:rPr>
                <w:b/>
                <w:sz w:val="17"/>
              </w:rPr>
              <w:t>Source basis</w:t>
            </w:r>
          </w:p>
        </w:tc>
        <w:tc>
          <w:tcPr>
            <w:tcW w:type="dxa" w:w="8050"/>
            <w:shd w:val="clear" w:color="auto" w:fill="D9EAD3"/>
          </w:tcPr>
          <w:p>
            <w:r>
              <w:rPr>
                <w:sz w:val="17"/>
              </w:rPr>
              <w:t>Full text read in this session — facts checked against the paper</w:t>
            </w:r>
          </w:p>
        </w:tc>
      </w:tr>
      <w:tr>
        <w:tc>
          <w:tcPr>
            <w:tcW w:type="dxa" w:w="1587"/>
          </w:tcPr>
          <w:p>
            <w:r>
              <w:rPr>
                <w:b/>
                <w:sz w:val="17"/>
              </w:rPr>
              <w:t>Question</w:t>
            </w:r>
          </w:p>
        </w:tc>
        <w:tc>
          <w:tcPr>
            <w:tcW w:type="dxa" w:w="8050"/>
          </w:tcPr>
          <w:p>
            <w:r>
              <w:rPr>
                <w:sz w:val="17"/>
              </w:rPr>
              <w:t>Does volatility stay in one market (heat wave) or travel across markets (meteor shower)?</w:t>
            </w:r>
          </w:p>
        </w:tc>
      </w:tr>
      <w:tr>
        <w:tc>
          <w:tcPr>
            <w:tcW w:type="dxa" w:w="1587"/>
          </w:tcPr>
          <w:p>
            <w:r>
              <w:rPr>
                <w:b/>
                <w:sz w:val="17"/>
              </w:rPr>
              <w:t>Data</w:t>
            </w:r>
          </w:p>
        </w:tc>
        <w:tc>
          <w:tcPr>
            <w:tcW w:type="dxa" w:w="8050"/>
          </w:tcPr>
          <w:p>
            <w:r>
              <w:rPr>
                <w:sz w:val="17"/>
              </w:rPr>
              <w:t>Yen/dollar exchange rate across market segments (Tokyo, Europe, New York).</w:t>
            </w:r>
          </w:p>
        </w:tc>
      </w:tr>
      <w:tr>
        <w:tc>
          <w:tcPr>
            <w:tcW w:type="dxa" w:w="1587"/>
          </w:tcPr>
          <w:p>
            <w:r>
              <w:rPr>
                <w:b/>
                <w:sz w:val="17"/>
              </w:rPr>
              <w:t>Method</w:t>
            </w:r>
          </w:p>
        </w:tc>
        <w:tc>
          <w:tcPr>
            <w:tcW w:type="dxa" w:w="8050"/>
          </w:tcPr>
          <w:p>
            <w:r>
              <w:rPr>
                <w:sz w:val="17"/>
              </w:rPr>
              <w:t>ARCH models across intra-daily segments; volatility VAR.</w:t>
            </w:r>
          </w:p>
        </w:tc>
      </w:tr>
      <w:tr>
        <w:tc>
          <w:tcPr>
            <w:tcW w:type="dxa" w:w="1587"/>
          </w:tcPr>
          <w:p>
            <w:r>
              <w:rPr>
                <w:b/>
                <w:sz w:val="17"/>
              </w:rPr>
              <w:t>Key findings</w:t>
            </w:r>
          </w:p>
        </w:tc>
        <w:tc>
          <w:tcPr>
            <w:tcW w:type="dxa" w:w="8050"/>
          </w:tcPr>
          <w:p>
            <w:r>
              <w:rPr>
                <w:sz w:val="17"/>
              </w:rPr>
              <w:t>• The pure heat-wave hypothesis is rejected: volatility spills over from one market to the next.</w:t>
            </w:r>
          </w:p>
          <w:p>
            <w:r>
              <w:rPr>
                <w:sz w:val="17"/>
              </w:rPr>
              <w:t>• News in one market affects the path of volatility in others.</w:t>
            </w:r>
          </w:p>
        </w:tc>
      </w:tr>
      <w:tr>
        <w:tc>
          <w:tcPr>
            <w:tcW w:type="dxa" w:w="1587"/>
          </w:tcPr>
          <w:p>
            <w:r>
              <w:rPr>
                <w:b/>
                <w:sz w:val="17"/>
              </w:rPr>
              <w:t>Limitations</w:t>
            </w:r>
          </w:p>
        </w:tc>
        <w:tc>
          <w:tcPr>
            <w:tcW w:type="dxa" w:w="8050"/>
          </w:tcPr>
          <w:p>
            <w:r>
              <w:rPr>
                <w:sz w:val="17"/>
              </w:rPr>
              <w:t>Foreign exchange, not equities; 1980s data.</w:t>
            </w:r>
          </w:p>
        </w:tc>
      </w:tr>
      <w:tr>
        <w:tc>
          <w:tcPr>
            <w:tcW w:type="dxa" w:w="1587"/>
            <w:shd w:val="clear" w:color="auto" w:fill="EAF1FB"/>
          </w:tcPr>
          <w:p>
            <w:r>
              <w:rPr>
                <w:b/>
                <w:sz w:val="17"/>
              </w:rPr>
              <w:t>How to use it</w:t>
            </w:r>
          </w:p>
        </w:tc>
        <w:tc>
          <w:tcPr>
            <w:tcW w:type="dxa" w:w="8050"/>
            <w:shd w:val="clear" w:color="auto" w:fill="EAF1FB"/>
          </w:tcPr>
          <w:p>
            <w:r>
              <w:rPr>
                <w:sz w:val="17"/>
              </w:rPr>
              <w:t>Perfect metaphor for your channel groups: domestic = heat wave, foreign channels = meteor showers.</w:t>
            </w:r>
          </w:p>
        </w:tc>
      </w:tr>
      <w:tr>
        <w:tc>
          <w:tcPr>
            <w:tcW w:type="dxa" w:w="1587"/>
          </w:tcPr>
          <w:p>
            <w:r>
              <w:rPr>
                <w:b/>
                <w:sz w:val="17"/>
              </w:rPr>
              <w:t>Feeds</w:t>
            </w:r>
          </w:p>
        </w:tc>
        <w:tc>
          <w:tcPr>
            <w:tcW w:type="dxa" w:w="8050"/>
          </w:tcPr>
          <w:p>
            <w:r>
              <w:rPr>
                <w:sz w:val="17"/>
              </w:rPr>
              <w:t>2.4; RQ2 design.</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Hamao, Y., Masulis, R. &amp; Ng, V. (1990) Correlations in price changes and volatility across international stock markets. Review of Financial Studies, 3(2), 281–307.</w:t>
            </w:r>
          </w:p>
        </w:tc>
      </w:tr>
      <w:tr>
        <w:tc>
          <w:tcPr>
            <w:tcW w:type="dxa" w:w="1587"/>
            <w:shd w:val="clear" w:color="auto" w:fill="FFF2CC"/>
          </w:tcPr>
          <w:p>
            <w:r>
              <w:rPr>
                <w:b/>
                <w:sz w:val="17"/>
              </w:rPr>
              <w:t>Source basis</w:t>
            </w:r>
          </w:p>
        </w:tc>
        <w:tc>
          <w:tcPr>
            <w:tcW w:type="dxa" w:w="8050"/>
            <w:shd w:val="clear" w:color="auto" w:fill="FFF2CC"/>
          </w:tcPr>
          <w:p>
            <w:r>
              <w:rPr>
                <w:sz w:val="17"/>
              </w:rPr>
              <w:t>Abstract / official summary read in this session — read the full paper for details</w:t>
            </w:r>
          </w:p>
        </w:tc>
      </w:tr>
      <w:tr>
        <w:tc>
          <w:tcPr>
            <w:tcW w:type="dxa" w:w="1587"/>
          </w:tcPr>
          <w:p>
            <w:r>
              <w:rPr>
                <w:b/>
                <w:sz w:val="17"/>
              </w:rPr>
              <w:t>Question</w:t>
            </w:r>
          </w:p>
        </w:tc>
        <w:tc>
          <w:tcPr>
            <w:tcW w:type="dxa" w:w="8050"/>
          </w:tcPr>
          <w:p>
            <w:r>
              <w:rPr>
                <w:sz w:val="17"/>
              </w:rPr>
              <w:t>How do price changes and volatility spill over between Tokyo, London and New York?</w:t>
            </w:r>
          </w:p>
        </w:tc>
      </w:tr>
      <w:tr>
        <w:tc>
          <w:tcPr>
            <w:tcW w:type="dxa" w:w="1587"/>
          </w:tcPr>
          <w:p>
            <w:r>
              <w:rPr>
                <w:b/>
                <w:sz w:val="17"/>
              </w:rPr>
              <w:t>Data</w:t>
            </w:r>
          </w:p>
        </w:tc>
        <w:tc>
          <w:tcPr>
            <w:tcW w:type="dxa" w:w="8050"/>
          </w:tcPr>
          <w:p>
            <w:r>
              <w:rPr>
                <w:sz w:val="17"/>
              </w:rPr>
              <w:t>Daily open and close prices of major indices.</w:t>
            </w:r>
          </w:p>
        </w:tc>
      </w:tr>
      <w:tr>
        <w:tc>
          <w:tcPr>
            <w:tcW w:type="dxa" w:w="1587"/>
          </w:tcPr>
          <w:p>
            <w:r>
              <w:rPr>
                <w:b/>
                <w:sz w:val="17"/>
              </w:rPr>
              <w:t>Method</w:t>
            </w:r>
          </w:p>
        </w:tc>
        <w:tc>
          <w:tcPr>
            <w:tcW w:type="dxa" w:w="8050"/>
          </w:tcPr>
          <w:p>
            <w:r>
              <w:rPr>
                <w:sz w:val="17"/>
              </w:rPr>
              <w:t>ARCH-family models.</w:t>
            </w:r>
          </w:p>
        </w:tc>
      </w:tr>
      <w:tr>
        <w:tc>
          <w:tcPr>
            <w:tcW w:type="dxa" w:w="1587"/>
          </w:tcPr>
          <w:p>
            <w:r>
              <w:rPr>
                <w:b/>
                <w:sz w:val="17"/>
              </w:rPr>
              <w:t>Key findings</w:t>
            </w:r>
          </w:p>
        </w:tc>
        <w:tc>
          <w:tcPr>
            <w:tcW w:type="dxa" w:w="8050"/>
          </w:tcPr>
          <w:p>
            <w:r>
              <w:rPr>
                <w:sz w:val="17"/>
              </w:rPr>
              <w:t>• Volatility spillovers from New York to Tokyo, London to Tokyo, and New York to London.</w:t>
            </w:r>
          </w:p>
        </w:tc>
      </w:tr>
      <w:tr>
        <w:tc>
          <w:tcPr>
            <w:tcW w:type="dxa" w:w="1587"/>
          </w:tcPr>
          <w:p>
            <w:r>
              <w:rPr>
                <w:b/>
                <w:sz w:val="17"/>
              </w:rPr>
              <w:t>Limitations</w:t>
            </w:r>
          </w:p>
        </w:tc>
        <w:tc>
          <w:tcPr>
            <w:tcW w:type="dxa" w:w="8050"/>
          </w:tcPr>
          <w:p>
            <w:r>
              <w:rPr>
                <w:sz w:val="17"/>
              </w:rPr>
              <w:t>Three markets; late-1980s data.</w:t>
            </w:r>
          </w:p>
        </w:tc>
      </w:tr>
      <w:tr>
        <w:tc>
          <w:tcPr>
            <w:tcW w:type="dxa" w:w="1587"/>
            <w:shd w:val="clear" w:color="auto" w:fill="EAF1FB"/>
          </w:tcPr>
          <w:p>
            <w:r>
              <w:rPr>
                <w:b/>
                <w:sz w:val="17"/>
              </w:rPr>
              <w:t>How to use it</w:t>
            </w:r>
          </w:p>
        </w:tc>
        <w:tc>
          <w:tcPr>
            <w:tcW w:type="dxa" w:w="8050"/>
            <w:shd w:val="clear" w:color="auto" w:fill="EAF1FB"/>
          </w:tcPr>
          <w:p>
            <w:r>
              <w:rPr>
                <w:sz w:val="17"/>
              </w:rPr>
              <w:t>Justifies your time-zone design (New York closes after Dublin; use day-t US data for day t+1).</w:t>
            </w:r>
          </w:p>
        </w:tc>
      </w:tr>
      <w:tr>
        <w:tc>
          <w:tcPr>
            <w:tcW w:type="dxa" w:w="1587"/>
          </w:tcPr>
          <w:p>
            <w:r>
              <w:rPr>
                <w:b/>
                <w:sz w:val="17"/>
              </w:rPr>
              <w:t>Feeds</w:t>
            </w:r>
          </w:p>
        </w:tc>
        <w:tc>
          <w:tcPr>
            <w:tcW w:type="dxa" w:w="8050"/>
          </w:tcPr>
          <w:p>
            <w:r>
              <w:rPr>
                <w:sz w:val="17"/>
              </w:rPr>
              <w:t>2.4; Chapter 3 alignment.</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King, M. &amp; Wadhwani, S. (1990) Transmission of volatility between stock markets. Review of Financial Studies, 3(1), 5–33.</w:t>
            </w:r>
          </w:p>
        </w:tc>
      </w:tr>
      <w:tr>
        <w:tc>
          <w:tcPr>
            <w:tcW w:type="dxa" w:w="1587"/>
            <w:shd w:val="clear" w:color="auto" w:fill="F3F3F3"/>
          </w:tcPr>
          <w:p>
            <w:r>
              <w:rPr>
                <w:b/>
                <w:sz w:val="17"/>
              </w:rPr>
              <w:t>Source basis</w:t>
            </w:r>
          </w:p>
        </w:tc>
        <w:tc>
          <w:tcPr>
            <w:tcW w:type="dxa" w:w="8050"/>
            <w:shd w:val="clear" w:color="auto" w:fill="F3F3F3"/>
          </w:tcPr>
          <w:p>
            <w:r>
              <w:rPr>
                <w:sz w:val="17"/>
              </w:rPr>
              <w:t>Standard textbook knowledge, not re-read this session — confirm every detail before citing</w:t>
            </w:r>
          </w:p>
        </w:tc>
      </w:tr>
      <w:tr>
        <w:tc>
          <w:tcPr>
            <w:tcW w:type="dxa" w:w="1587"/>
          </w:tcPr>
          <w:p>
            <w:r>
              <w:rPr>
                <w:b/>
                <w:sz w:val="17"/>
              </w:rPr>
              <w:t>Question</w:t>
            </w:r>
          </w:p>
        </w:tc>
        <w:tc>
          <w:tcPr>
            <w:tcW w:type="dxa" w:w="8050"/>
          </w:tcPr>
          <w:p>
            <w:r>
              <w:rPr>
                <w:sz w:val="17"/>
              </w:rPr>
              <w:t>Why did correlations between markets rise around the 1987 crash?</w:t>
            </w:r>
          </w:p>
        </w:tc>
      </w:tr>
      <w:tr>
        <w:tc>
          <w:tcPr>
            <w:tcW w:type="dxa" w:w="1587"/>
          </w:tcPr>
          <w:p>
            <w:r>
              <w:rPr>
                <w:b/>
                <w:sz w:val="17"/>
              </w:rPr>
              <w:t>Data</w:t>
            </w:r>
          </w:p>
        </w:tc>
        <w:tc>
          <w:tcPr>
            <w:tcW w:type="dxa" w:w="8050"/>
          </w:tcPr>
          <w:p>
            <w:r>
              <w:rPr>
                <w:sz w:val="17"/>
              </w:rPr>
              <w:t>New York, London, Tokyo around October 1987.</w:t>
            </w:r>
          </w:p>
        </w:tc>
      </w:tr>
      <w:tr>
        <w:tc>
          <w:tcPr>
            <w:tcW w:type="dxa" w:w="1587"/>
          </w:tcPr>
          <w:p>
            <w:r>
              <w:rPr>
                <w:b/>
                <w:sz w:val="17"/>
              </w:rPr>
              <w:t>Method</w:t>
            </w:r>
          </w:p>
        </w:tc>
        <w:tc>
          <w:tcPr>
            <w:tcW w:type="dxa" w:w="8050"/>
          </w:tcPr>
          <w:p>
            <w:r>
              <w:rPr>
                <w:sz w:val="17"/>
              </w:rPr>
              <w:t>Contagion model with information inference.</w:t>
            </w:r>
          </w:p>
        </w:tc>
      </w:tr>
      <w:tr>
        <w:tc>
          <w:tcPr>
            <w:tcW w:type="dxa" w:w="1587"/>
          </w:tcPr>
          <w:p>
            <w:r>
              <w:rPr>
                <w:b/>
                <w:sz w:val="17"/>
              </w:rPr>
              <w:t>Key findings</w:t>
            </w:r>
          </w:p>
        </w:tc>
        <w:tc>
          <w:tcPr>
            <w:tcW w:type="dxa" w:w="8050"/>
          </w:tcPr>
          <w:p>
            <w:r>
              <w:rPr>
                <w:sz w:val="17"/>
              </w:rPr>
              <w:t>• Traders infer information from price moves in other markets, so mistakes spread; correlations rise with volatility.</w:t>
            </w:r>
          </w:p>
        </w:tc>
      </w:tr>
      <w:tr>
        <w:tc>
          <w:tcPr>
            <w:tcW w:type="dxa" w:w="1587"/>
          </w:tcPr>
          <w:p>
            <w:r>
              <w:rPr>
                <w:b/>
                <w:sz w:val="17"/>
              </w:rPr>
              <w:t>Limitations</w:t>
            </w:r>
          </w:p>
        </w:tc>
        <w:tc>
          <w:tcPr>
            <w:tcW w:type="dxa" w:w="8050"/>
          </w:tcPr>
          <w:p>
            <w:r>
              <w:rPr>
                <w:sz w:val="17"/>
              </w:rPr>
              <w:t>Single event.</w:t>
            </w:r>
          </w:p>
        </w:tc>
      </w:tr>
      <w:tr>
        <w:tc>
          <w:tcPr>
            <w:tcW w:type="dxa" w:w="1587"/>
            <w:shd w:val="clear" w:color="auto" w:fill="EAF1FB"/>
          </w:tcPr>
          <w:p>
            <w:r>
              <w:rPr>
                <w:b/>
                <w:sz w:val="17"/>
              </w:rPr>
              <w:t>How to use it</w:t>
            </w:r>
          </w:p>
        </w:tc>
        <w:tc>
          <w:tcPr>
            <w:tcW w:type="dxa" w:w="8050"/>
            <w:shd w:val="clear" w:color="auto" w:fill="EAF1FB"/>
          </w:tcPr>
          <w:p>
            <w:r>
              <w:rPr>
                <w:sz w:val="17"/>
              </w:rPr>
              <w:t>Early theory of contagion as information spillover.</w:t>
            </w:r>
          </w:p>
        </w:tc>
      </w:tr>
      <w:tr>
        <w:tc>
          <w:tcPr>
            <w:tcW w:type="dxa" w:w="1587"/>
          </w:tcPr>
          <w:p>
            <w:r>
              <w:rPr>
                <w:b/>
                <w:sz w:val="17"/>
              </w:rPr>
              <w:t>Feeds</w:t>
            </w:r>
          </w:p>
        </w:tc>
        <w:tc>
          <w:tcPr>
            <w:tcW w:type="dxa" w:w="8050"/>
          </w:tcPr>
          <w:p>
            <w:r>
              <w:rPr>
                <w:sz w:val="17"/>
              </w:rPr>
              <w:t>2.4.</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Kearney, C. (2000) The determination and international transmission of stock market volatility. Global Finance Journal, 11, 31–52.</w:t>
            </w:r>
          </w:p>
        </w:tc>
      </w:tr>
      <w:tr>
        <w:tc>
          <w:tcPr>
            <w:tcW w:type="dxa" w:w="1587"/>
            <w:shd w:val="clear" w:color="auto" w:fill="FFF2CC"/>
          </w:tcPr>
          <w:p>
            <w:r>
              <w:rPr>
                <w:b/>
                <w:sz w:val="17"/>
              </w:rPr>
              <w:t>Source basis</w:t>
            </w:r>
          </w:p>
        </w:tc>
        <w:tc>
          <w:tcPr>
            <w:tcW w:type="dxa" w:w="8050"/>
            <w:shd w:val="clear" w:color="auto" w:fill="FFF2CC"/>
          </w:tcPr>
          <w:p>
            <w:r>
              <w:rPr>
                <w:sz w:val="17"/>
              </w:rPr>
              <w:t>Abstract / official summary read in this session — read the full paper for details</w:t>
            </w:r>
          </w:p>
        </w:tc>
      </w:tr>
      <w:tr>
        <w:tc>
          <w:tcPr>
            <w:tcW w:type="dxa" w:w="1587"/>
          </w:tcPr>
          <w:p>
            <w:r>
              <w:rPr>
                <w:b/>
                <w:sz w:val="17"/>
              </w:rPr>
              <w:t>Question</w:t>
            </w:r>
          </w:p>
        </w:tc>
        <w:tc>
          <w:tcPr>
            <w:tcW w:type="dxa" w:w="8050"/>
          </w:tcPr>
          <w:p>
            <w:r>
              <w:rPr>
                <w:sz w:val="17"/>
              </w:rPr>
              <w:t>What drives stock-market volatility and how is it transmitted internationally?</w:t>
            </w:r>
          </w:p>
        </w:tc>
      </w:tr>
      <w:tr>
        <w:tc>
          <w:tcPr>
            <w:tcW w:type="dxa" w:w="1587"/>
          </w:tcPr>
          <w:p>
            <w:r>
              <w:rPr>
                <w:b/>
                <w:sz w:val="17"/>
              </w:rPr>
              <w:t>Data</w:t>
            </w:r>
          </w:p>
        </w:tc>
        <w:tc>
          <w:tcPr>
            <w:tcW w:type="dxa" w:w="8050"/>
          </w:tcPr>
          <w:p>
            <w:r>
              <w:rPr>
                <w:sz w:val="17"/>
              </w:rPr>
              <w:t>Monthly data, 1973–1994: Britain, France, Germany, Japan, US (returns, rates, FX, inflation, output).</w:t>
            </w:r>
          </w:p>
        </w:tc>
      </w:tr>
      <w:tr>
        <w:tc>
          <w:tcPr>
            <w:tcW w:type="dxa" w:w="1587"/>
          </w:tcPr>
          <w:p>
            <w:r>
              <w:rPr>
                <w:b/>
                <w:sz w:val="17"/>
              </w:rPr>
              <w:t>Method</w:t>
            </w:r>
          </w:p>
        </w:tc>
        <w:tc>
          <w:tcPr>
            <w:tcW w:type="dxa" w:w="8050"/>
          </w:tcPr>
          <w:p>
            <w:r>
              <w:rPr>
                <w:sz w:val="17"/>
              </w:rPr>
              <w:t>Portfolios, cointegration, conditional volatility transmission.</w:t>
            </w:r>
          </w:p>
        </w:tc>
      </w:tr>
      <w:tr>
        <w:tc>
          <w:tcPr>
            <w:tcW w:type="dxa" w:w="1587"/>
          </w:tcPr>
          <w:p>
            <w:r>
              <w:rPr>
                <w:b/>
                <w:sz w:val="17"/>
              </w:rPr>
              <w:t>Key findings</w:t>
            </w:r>
          </w:p>
        </w:tc>
        <w:tc>
          <w:tcPr>
            <w:tcW w:type="dxa" w:w="8050"/>
          </w:tcPr>
          <w:p>
            <w:r>
              <w:rPr>
                <w:sz w:val="17"/>
              </w:rPr>
              <w:t>• Documents cointegrating relationships between world, European and Japanese/US equity portfolios and transmission of conditional volatility between them.</w:t>
            </w:r>
          </w:p>
        </w:tc>
      </w:tr>
      <w:tr>
        <w:tc>
          <w:tcPr>
            <w:tcW w:type="dxa" w:w="1587"/>
          </w:tcPr>
          <w:p>
            <w:r>
              <w:rPr>
                <w:b/>
                <w:sz w:val="17"/>
              </w:rPr>
              <w:t>Limitations</w:t>
            </w:r>
          </w:p>
        </w:tc>
        <w:tc>
          <w:tcPr>
            <w:tcW w:type="dxa" w:w="8050"/>
          </w:tcPr>
          <w:p>
            <w:r>
              <w:rPr>
                <w:sz w:val="17"/>
              </w:rPr>
              <w:t>Monthly, pre-2000.</w:t>
            </w:r>
          </w:p>
        </w:tc>
      </w:tr>
      <w:tr>
        <w:tc>
          <w:tcPr>
            <w:tcW w:type="dxa" w:w="1587"/>
            <w:shd w:val="clear" w:color="auto" w:fill="EAF1FB"/>
          </w:tcPr>
          <w:p>
            <w:r>
              <w:rPr>
                <w:b/>
                <w:sz w:val="17"/>
              </w:rPr>
              <w:t>How to use it</w:t>
            </w:r>
          </w:p>
        </w:tc>
        <w:tc>
          <w:tcPr>
            <w:tcW w:type="dxa" w:w="8050"/>
            <w:shd w:val="clear" w:color="auto" w:fill="EAF1FB"/>
          </w:tcPr>
          <w:p>
            <w:r>
              <w:rPr>
                <w:sz w:val="17"/>
              </w:rPr>
              <w:t>Low-frequency transmission evidence by an Irish-based author.</w:t>
            </w:r>
          </w:p>
        </w:tc>
      </w:tr>
      <w:tr>
        <w:tc>
          <w:tcPr>
            <w:tcW w:type="dxa" w:w="1587"/>
          </w:tcPr>
          <w:p>
            <w:r>
              <w:rPr>
                <w:b/>
                <w:sz w:val="17"/>
              </w:rPr>
              <w:t>Feeds</w:t>
            </w:r>
          </w:p>
        </w:tc>
        <w:tc>
          <w:tcPr>
            <w:tcW w:type="dxa" w:w="8050"/>
          </w:tcPr>
          <w:p>
            <w:r>
              <w:rPr>
                <w:sz w:val="17"/>
              </w:rPr>
              <w:t>2.4.</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Diebold, F. &amp; Yilmaz, K. (2009) Measuring financial asset return and volatility spillovers, with application to global equity markets. Economic Journal, 119(534), 158–171 (NBER WP 13811).</w:t>
            </w:r>
          </w:p>
        </w:tc>
      </w:tr>
      <w:tr>
        <w:tc>
          <w:tcPr>
            <w:tcW w:type="dxa" w:w="1587"/>
            <w:shd w:val="clear" w:color="auto" w:fill="D9EAD3"/>
          </w:tcPr>
          <w:p>
            <w:r>
              <w:rPr>
                <w:b/>
                <w:sz w:val="17"/>
              </w:rPr>
              <w:t>Source basis</w:t>
            </w:r>
          </w:p>
        </w:tc>
        <w:tc>
          <w:tcPr>
            <w:tcW w:type="dxa" w:w="8050"/>
            <w:shd w:val="clear" w:color="auto" w:fill="D9EAD3"/>
          </w:tcPr>
          <w:p>
            <w:r>
              <w:rPr>
                <w:sz w:val="17"/>
              </w:rPr>
              <w:t>Full text read in this session — facts checked against the paper</w:t>
            </w:r>
          </w:p>
        </w:tc>
      </w:tr>
      <w:tr>
        <w:tc>
          <w:tcPr>
            <w:tcW w:type="dxa" w:w="1587"/>
          </w:tcPr>
          <w:p>
            <w:r>
              <w:rPr>
                <w:b/>
                <w:sz w:val="17"/>
              </w:rPr>
              <w:t>Question</w:t>
            </w:r>
          </w:p>
        </w:tc>
        <w:tc>
          <w:tcPr>
            <w:tcW w:type="dxa" w:w="8050"/>
          </w:tcPr>
          <w:p>
            <w:r>
              <w:rPr>
                <w:sz w:val="17"/>
              </w:rPr>
              <w:t>How can interdependence be measured simply, in calm and crisis periods?</w:t>
            </w:r>
          </w:p>
        </w:tc>
      </w:tr>
      <w:tr>
        <w:tc>
          <w:tcPr>
            <w:tcW w:type="dxa" w:w="1587"/>
          </w:tcPr>
          <w:p>
            <w:r>
              <w:rPr>
                <w:b/>
                <w:sz w:val="17"/>
              </w:rPr>
              <w:t>Data</w:t>
            </w:r>
          </w:p>
        </w:tc>
        <w:tc>
          <w:tcPr>
            <w:tcW w:type="dxa" w:w="8050"/>
          </w:tcPr>
          <w:p>
            <w:r>
              <w:rPr>
                <w:sz w:val="17"/>
              </w:rPr>
              <w:t>19 global equity markets, early 1990s – 2007.</w:t>
            </w:r>
          </w:p>
        </w:tc>
      </w:tr>
      <w:tr>
        <w:tc>
          <w:tcPr>
            <w:tcW w:type="dxa" w:w="1587"/>
          </w:tcPr>
          <w:p>
            <w:r>
              <w:rPr>
                <w:b/>
                <w:sz w:val="17"/>
              </w:rPr>
              <w:t>Method</w:t>
            </w:r>
          </w:p>
        </w:tc>
        <w:tc>
          <w:tcPr>
            <w:tcW w:type="dxa" w:w="8050"/>
          </w:tcPr>
          <w:p>
            <w:r>
              <w:rPr>
                <w:sz w:val="17"/>
              </w:rPr>
              <w:t>Spillover index from VAR forecast-error variance decompositions.</w:t>
            </w:r>
          </w:p>
        </w:tc>
      </w:tr>
      <w:tr>
        <w:tc>
          <w:tcPr>
            <w:tcW w:type="dxa" w:w="1587"/>
          </w:tcPr>
          <w:p>
            <w:r>
              <w:rPr>
                <w:b/>
                <w:sz w:val="17"/>
              </w:rPr>
              <w:t>Key findings</w:t>
            </w:r>
          </w:p>
        </w:tc>
        <w:tc>
          <w:tcPr>
            <w:tcW w:type="dxa" w:w="8050"/>
          </w:tcPr>
          <w:p>
            <w:r>
              <w:rPr>
                <w:sz w:val="17"/>
              </w:rPr>
              <w:t>• Separate measures for return and volatility spillovers.</w:t>
            </w:r>
          </w:p>
          <w:p>
            <w:r>
              <w:rPr>
                <w:sz w:val="17"/>
              </w:rPr>
              <w:t>• Return spillovers: gently increasing trend, no bursts.</w:t>
            </w:r>
          </w:p>
          <w:p>
            <w:r>
              <w:rPr>
                <w:sz w:val="17"/>
              </w:rPr>
              <w:t>• Volatility spillovers: no trend but clear bursts in crises.</w:t>
            </w:r>
          </w:p>
        </w:tc>
      </w:tr>
      <w:tr>
        <w:tc>
          <w:tcPr>
            <w:tcW w:type="dxa" w:w="1587"/>
          </w:tcPr>
          <w:p>
            <w:r>
              <w:rPr>
                <w:b/>
                <w:sz w:val="17"/>
              </w:rPr>
              <w:t>Limitations</w:t>
            </w:r>
          </w:p>
        </w:tc>
        <w:tc>
          <w:tcPr>
            <w:tcW w:type="dxa" w:w="8050"/>
          </w:tcPr>
          <w:p>
            <w:r>
              <w:rPr>
                <w:sz w:val="17"/>
              </w:rPr>
              <w:t>Order-dependent in this version (fixed by the generalised version in 2012).</w:t>
            </w:r>
          </w:p>
        </w:tc>
      </w:tr>
      <w:tr>
        <w:tc>
          <w:tcPr>
            <w:tcW w:type="dxa" w:w="1587"/>
            <w:shd w:val="clear" w:color="auto" w:fill="EAF1FB"/>
          </w:tcPr>
          <w:p>
            <w:r>
              <w:rPr>
                <w:b/>
                <w:sz w:val="17"/>
              </w:rPr>
              <w:t>How to use it</w:t>
            </w:r>
          </w:p>
        </w:tc>
        <w:tc>
          <w:tcPr>
            <w:tcW w:type="dxa" w:w="8050"/>
            <w:shd w:val="clear" w:color="auto" w:fill="EAF1FB"/>
          </w:tcPr>
          <w:p>
            <w:r>
              <w:rPr>
                <w:sz w:val="17"/>
              </w:rPr>
              <w:t>Evidence that volatility transmission bursts in crises (supports expecting foreign shares to rise); name it as the econometric validation you will add in the PhD.</w:t>
            </w:r>
          </w:p>
        </w:tc>
      </w:tr>
      <w:tr>
        <w:tc>
          <w:tcPr>
            <w:tcW w:type="dxa" w:w="1587"/>
          </w:tcPr>
          <w:p>
            <w:r>
              <w:rPr>
                <w:b/>
                <w:sz w:val="17"/>
              </w:rPr>
              <w:t>Feeds</w:t>
            </w:r>
          </w:p>
        </w:tc>
        <w:tc>
          <w:tcPr>
            <w:tcW w:type="dxa" w:w="8050"/>
          </w:tcPr>
          <w:p>
            <w:r>
              <w:rPr>
                <w:sz w:val="17"/>
              </w:rPr>
              <w:t>2.4; H2; Future research.</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Sahiner, M. (2023) Volatility spillovers and contagion during major crises: an early warning approach based on a deep learning model. Computational Economics.</w:t>
            </w:r>
          </w:p>
        </w:tc>
      </w:tr>
      <w:tr>
        <w:tc>
          <w:tcPr>
            <w:tcW w:type="dxa" w:w="1587"/>
            <w:shd w:val="clear" w:color="auto" w:fill="FFF2CC"/>
          </w:tcPr>
          <w:p>
            <w:r>
              <w:rPr>
                <w:b/>
                <w:sz w:val="17"/>
              </w:rPr>
              <w:t>Source basis</w:t>
            </w:r>
          </w:p>
        </w:tc>
        <w:tc>
          <w:tcPr>
            <w:tcW w:type="dxa" w:w="8050"/>
            <w:shd w:val="clear" w:color="auto" w:fill="FFF2CC"/>
          </w:tcPr>
          <w:p>
            <w:r>
              <w:rPr>
                <w:sz w:val="17"/>
              </w:rPr>
              <w:t>Abstract / official summary read in this session — read the full paper for details</w:t>
            </w:r>
          </w:p>
        </w:tc>
      </w:tr>
      <w:tr>
        <w:tc>
          <w:tcPr>
            <w:tcW w:type="dxa" w:w="1587"/>
          </w:tcPr>
          <w:p>
            <w:r>
              <w:rPr>
                <w:b/>
                <w:sz w:val="17"/>
              </w:rPr>
              <w:t>Question</w:t>
            </w:r>
          </w:p>
        </w:tc>
        <w:tc>
          <w:tcPr>
            <w:tcW w:type="dxa" w:w="8050"/>
          </w:tcPr>
          <w:p>
            <w:r>
              <w:rPr>
                <w:sz w:val="17"/>
              </w:rPr>
              <w:t>How is volatility transmitted in major crashes, and can deep learning give early warning?</w:t>
            </w:r>
          </w:p>
        </w:tc>
      </w:tr>
      <w:tr>
        <w:tc>
          <w:tcPr>
            <w:tcW w:type="dxa" w:w="1587"/>
          </w:tcPr>
          <w:p>
            <w:r>
              <w:rPr>
                <w:b/>
                <w:sz w:val="17"/>
              </w:rPr>
              <w:t>Data</w:t>
            </w:r>
          </w:p>
        </w:tc>
        <w:tc>
          <w:tcPr>
            <w:tcW w:type="dxa" w:w="8050"/>
          </w:tcPr>
          <w:p>
            <w:r>
              <w:rPr>
                <w:sz w:val="17"/>
              </w:rPr>
              <w:t>International stock markets, 3 Jul 1997 – 9 Mar 2021.</w:t>
            </w:r>
          </w:p>
        </w:tc>
      </w:tr>
      <w:tr>
        <w:tc>
          <w:tcPr>
            <w:tcW w:type="dxa" w:w="1587"/>
          </w:tcPr>
          <w:p>
            <w:r>
              <w:rPr>
                <w:b/>
                <w:sz w:val="17"/>
              </w:rPr>
              <w:t>Method</w:t>
            </w:r>
          </w:p>
        </w:tc>
        <w:tc>
          <w:tcPr>
            <w:tcW w:type="dxa" w:w="8050"/>
          </w:tcPr>
          <w:p>
            <w:r>
              <w:rPr>
                <w:sz w:val="17"/>
              </w:rPr>
              <w:t>DCC, GARCH-BEKK, Diebold–Yilmaz index, plus a deep-learning early-warning model.</w:t>
            </w:r>
          </w:p>
        </w:tc>
      </w:tr>
      <w:tr>
        <w:tc>
          <w:tcPr>
            <w:tcW w:type="dxa" w:w="1587"/>
          </w:tcPr>
          <w:p>
            <w:r>
              <w:rPr>
                <w:b/>
                <w:sz w:val="17"/>
              </w:rPr>
              <w:t>Key findings</w:t>
            </w:r>
          </w:p>
        </w:tc>
        <w:tc>
          <w:tcPr>
            <w:tcW w:type="dxa" w:w="8050"/>
          </w:tcPr>
          <w:p>
            <w:r>
              <w:rPr>
                <w:sz w:val="17"/>
              </w:rPr>
              <w:t>• External shocks have long-lasting domestic effects through contagion in crises.</w:t>
            </w:r>
          </w:p>
          <w:p>
            <w:r>
              <w:rPr>
                <w:sz w:val="17"/>
              </w:rPr>
              <w:t>• Asian financial stress was transmitted mainly via Hong Kong.</w:t>
            </w:r>
          </w:p>
        </w:tc>
      </w:tr>
      <w:tr>
        <w:tc>
          <w:tcPr>
            <w:tcW w:type="dxa" w:w="1587"/>
          </w:tcPr>
          <w:p>
            <w:r>
              <w:rPr>
                <w:b/>
                <w:sz w:val="17"/>
              </w:rPr>
              <w:t>Limitations</w:t>
            </w:r>
          </w:p>
        </w:tc>
        <w:tc>
          <w:tcPr>
            <w:tcW w:type="dxa" w:w="8050"/>
          </w:tcPr>
          <w:p>
            <w:r>
              <w:rPr>
                <w:sz w:val="17"/>
              </w:rPr>
              <w:t>No explanation-based channel attribution; not Ireland; no cross-crisis generalisation test.</w:t>
            </w:r>
          </w:p>
        </w:tc>
      </w:tr>
      <w:tr>
        <w:tc>
          <w:tcPr>
            <w:tcW w:type="dxa" w:w="1587"/>
            <w:shd w:val="clear" w:color="auto" w:fill="EAF1FB"/>
          </w:tcPr>
          <w:p>
            <w:r>
              <w:rPr>
                <w:b/>
                <w:sz w:val="17"/>
              </w:rPr>
              <w:t>How to use it</w:t>
            </w:r>
          </w:p>
        </w:tc>
        <w:tc>
          <w:tcPr>
            <w:tcW w:type="dxa" w:w="8050"/>
            <w:shd w:val="clear" w:color="auto" w:fill="EAF1FB"/>
          </w:tcPr>
          <w:p>
            <w:r>
              <w:rPr>
                <w:sz w:val="17"/>
              </w:rPr>
              <w:t>Closest prior work — cite it and state exactly how you differ (see Blueprint 5.12).</w:t>
            </w:r>
          </w:p>
        </w:tc>
      </w:tr>
      <w:tr>
        <w:tc>
          <w:tcPr>
            <w:tcW w:type="dxa" w:w="1587"/>
          </w:tcPr>
          <w:p>
            <w:r>
              <w:rPr>
                <w:b/>
                <w:sz w:val="17"/>
              </w:rPr>
              <w:t>Feeds</w:t>
            </w:r>
          </w:p>
        </w:tc>
        <w:tc>
          <w:tcPr>
            <w:tcW w:type="dxa" w:w="8050"/>
          </w:tcPr>
          <w:p>
            <w:r>
              <w:rPr>
                <w:sz w:val="17"/>
              </w:rPr>
              <w:t>2.4; 2.7 gap.</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Pericoli &amp; Sbracia (2003) J. Economic Surveys 17(4); Dungey et al. (2005) Quantitative Finance 5(1); Bekaert, Harvey &amp; Ng (2005) J. Business 78(1).</w:t>
            </w:r>
          </w:p>
        </w:tc>
      </w:tr>
      <w:tr>
        <w:tc>
          <w:tcPr>
            <w:tcW w:type="dxa" w:w="1587"/>
            <w:shd w:val="clear" w:color="auto" w:fill="F3F3F3"/>
          </w:tcPr>
          <w:p>
            <w:r>
              <w:rPr>
                <w:b/>
                <w:sz w:val="17"/>
              </w:rPr>
              <w:t>Source basis</w:t>
            </w:r>
          </w:p>
        </w:tc>
        <w:tc>
          <w:tcPr>
            <w:tcW w:type="dxa" w:w="8050"/>
            <w:shd w:val="clear" w:color="auto" w:fill="F3F3F3"/>
          </w:tcPr>
          <w:p>
            <w:r>
              <w:rPr>
                <w:sz w:val="17"/>
              </w:rPr>
              <w:t>Standard textbook knowledge, not re-read this session — confirm every detail before citing</w:t>
            </w:r>
          </w:p>
        </w:tc>
      </w:tr>
      <w:tr>
        <w:tc>
          <w:tcPr>
            <w:tcW w:type="dxa" w:w="1587"/>
          </w:tcPr>
          <w:p>
            <w:r>
              <w:rPr>
                <w:b/>
                <w:sz w:val="17"/>
              </w:rPr>
              <w:t>Question</w:t>
            </w:r>
          </w:p>
        </w:tc>
        <w:tc>
          <w:tcPr>
            <w:tcW w:type="dxa" w:w="8050"/>
          </w:tcPr>
          <w:p>
            <w:r>
              <w:rPr>
                <w:sz w:val="17"/>
              </w:rPr>
              <w:t>How should contagion be defined and measured?</w:t>
            </w:r>
          </w:p>
        </w:tc>
      </w:tr>
      <w:tr>
        <w:tc>
          <w:tcPr>
            <w:tcW w:type="dxa" w:w="1587"/>
          </w:tcPr>
          <w:p>
            <w:r>
              <w:rPr>
                <w:b/>
                <w:sz w:val="17"/>
              </w:rPr>
              <w:t>Data</w:t>
            </w:r>
          </w:p>
        </w:tc>
        <w:tc>
          <w:tcPr>
            <w:tcW w:type="dxa" w:w="8050"/>
          </w:tcPr>
          <w:p>
            <w:r>
              <w:rPr>
                <w:sz w:val="17"/>
              </w:rPr>
              <w:t>Reviews and a factor-model study.</w:t>
            </w:r>
          </w:p>
        </w:tc>
      </w:tr>
      <w:tr>
        <w:tc>
          <w:tcPr>
            <w:tcW w:type="dxa" w:w="1587"/>
          </w:tcPr>
          <w:p>
            <w:r>
              <w:rPr>
                <w:b/>
                <w:sz w:val="17"/>
              </w:rPr>
              <w:t>Method</w:t>
            </w:r>
          </w:p>
        </w:tc>
        <w:tc>
          <w:tcPr>
            <w:tcW w:type="dxa" w:w="8050"/>
          </w:tcPr>
          <w:p>
            <w:r>
              <w:rPr>
                <w:sz w:val="17"/>
              </w:rPr>
              <w:t>Surveys; factor model of integration.</w:t>
            </w:r>
          </w:p>
        </w:tc>
      </w:tr>
      <w:tr>
        <w:tc>
          <w:tcPr>
            <w:tcW w:type="dxa" w:w="1587"/>
          </w:tcPr>
          <w:p>
            <w:r>
              <w:rPr>
                <w:b/>
                <w:sz w:val="17"/>
              </w:rPr>
              <w:t>Key findings</w:t>
            </w:r>
          </w:p>
        </w:tc>
        <w:tc>
          <w:tcPr>
            <w:tcW w:type="dxa" w:w="8050"/>
          </w:tcPr>
          <w:p>
            <w:r>
              <w:rPr>
                <w:sz w:val="17"/>
              </w:rPr>
              <w:t>• Several competing definitions of contagion exist (Pericoli &amp; Sbracia).</w:t>
            </w:r>
          </w:p>
          <w:p>
            <w:r>
              <w:rPr>
                <w:sz w:val="17"/>
              </w:rPr>
              <w:t>• Many contagion tests fit into a common latent-factor framework (Dungey et al.).</w:t>
            </w:r>
          </w:p>
          <w:p>
            <w:r>
              <w:rPr>
                <w:sz w:val="17"/>
              </w:rPr>
              <w:t>• Contagion measured as excess correlation of factor-model residuals (Bekaert, Harvey &amp; Ng).</w:t>
            </w:r>
          </w:p>
        </w:tc>
      </w:tr>
      <w:tr>
        <w:tc>
          <w:tcPr>
            <w:tcW w:type="dxa" w:w="1587"/>
          </w:tcPr>
          <w:p>
            <w:r>
              <w:rPr>
                <w:b/>
                <w:sz w:val="17"/>
              </w:rPr>
              <w:t>Limitations</w:t>
            </w:r>
          </w:p>
        </w:tc>
        <w:tc>
          <w:tcPr>
            <w:tcW w:type="dxa" w:w="8050"/>
          </w:tcPr>
          <w:p>
            <w:r>
              <w:rPr>
                <w:sz w:val="17"/>
              </w:rPr>
              <w:t>Confirm details before citing.</w:t>
            </w:r>
          </w:p>
        </w:tc>
      </w:tr>
      <w:tr>
        <w:tc>
          <w:tcPr>
            <w:tcW w:type="dxa" w:w="1587"/>
            <w:shd w:val="clear" w:color="auto" w:fill="EAF1FB"/>
          </w:tcPr>
          <w:p>
            <w:r>
              <w:rPr>
                <w:b/>
                <w:sz w:val="17"/>
              </w:rPr>
              <w:t>How to use it</w:t>
            </w:r>
          </w:p>
        </w:tc>
        <w:tc>
          <w:tcPr>
            <w:tcW w:type="dxa" w:w="8050"/>
            <w:shd w:val="clear" w:color="auto" w:fill="EAF1FB"/>
          </w:tcPr>
          <w:p>
            <w:r>
              <w:rPr>
                <w:sz w:val="17"/>
              </w:rPr>
              <w:t>Use for definitions and method overview in 2.4.</w:t>
            </w:r>
          </w:p>
        </w:tc>
      </w:tr>
      <w:tr>
        <w:tc>
          <w:tcPr>
            <w:tcW w:type="dxa" w:w="1587"/>
          </w:tcPr>
          <w:p>
            <w:r>
              <w:rPr>
                <w:b/>
                <w:sz w:val="17"/>
              </w:rPr>
              <w:t>Feeds</w:t>
            </w:r>
          </w:p>
        </w:tc>
        <w:tc>
          <w:tcPr>
            <w:tcW w:type="dxa" w:w="8050"/>
          </w:tcPr>
          <w:p>
            <w:r>
              <w:rPr>
                <w:sz w:val="17"/>
              </w:rPr>
              <w:t>2.4.</w:t>
            </w:r>
          </w:p>
        </w:tc>
      </w:tr>
    </w:tbl>
    <w:p>
      <w:pPr>
        <w:spacing w:after="60"/>
      </w:pPr>
    </w:p>
    <w:p>
      <w:pPr>
        <w:pStyle w:val="Heading2"/>
      </w:pPr>
      <w:r>
        <w:rPr>
          <w:color w:val="1F4E79"/>
        </w:rPr>
        <w:t>D4. Section 2.5 — Forecasting volatility</w:t>
      </w: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Engle, R. (1982) Econometrica 50(4); Bollerslev, T. (1986) Journal of Econometrics 31(3).</w:t>
            </w:r>
          </w:p>
        </w:tc>
      </w:tr>
      <w:tr>
        <w:tc>
          <w:tcPr>
            <w:tcW w:type="dxa" w:w="1587"/>
            <w:shd w:val="clear" w:color="auto" w:fill="F3F3F3"/>
          </w:tcPr>
          <w:p>
            <w:r>
              <w:rPr>
                <w:b/>
                <w:sz w:val="17"/>
              </w:rPr>
              <w:t>Source basis</w:t>
            </w:r>
          </w:p>
        </w:tc>
        <w:tc>
          <w:tcPr>
            <w:tcW w:type="dxa" w:w="8050"/>
            <w:shd w:val="clear" w:color="auto" w:fill="F3F3F3"/>
          </w:tcPr>
          <w:p>
            <w:r>
              <w:rPr>
                <w:sz w:val="17"/>
              </w:rPr>
              <w:t>Standard textbook knowledge, not re-read this session — confirm every detail before citing</w:t>
            </w:r>
          </w:p>
        </w:tc>
      </w:tr>
      <w:tr>
        <w:tc>
          <w:tcPr>
            <w:tcW w:type="dxa" w:w="1587"/>
          </w:tcPr>
          <w:p>
            <w:r>
              <w:rPr>
                <w:b/>
                <w:sz w:val="17"/>
              </w:rPr>
              <w:t>Question</w:t>
            </w:r>
          </w:p>
        </w:tc>
        <w:tc>
          <w:tcPr>
            <w:tcW w:type="dxa" w:w="8050"/>
          </w:tcPr>
          <w:p>
            <w:r>
              <w:rPr>
                <w:sz w:val="17"/>
              </w:rPr>
              <w:t>How can time-varying variance be modelled?</w:t>
            </w:r>
          </w:p>
        </w:tc>
      </w:tr>
      <w:tr>
        <w:tc>
          <w:tcPr>
            <w:tcW w:type="dxa" w:w="1587"/>
          </w:tcPr>
          <w:p>
            <w:r>
              <w:rPr>
                <w:b/>
                <w:sz w:val="17"/>
              </w:rPr>
              <w:t>Data</w:t>
            </w:r>
          </w:p>
        </w:tc>
        <w:tc>
          <w:tcPr>
            <w:tcW w:type="dxa" w:w="8050"/>
          </w:tcPr>
          <w:p>
            <w:r>
              <w:rPr>
                <w:sz w:val="17"/>
              </w:rPr>
              <w:t>UK inflation (Engle); general (Bollerslev).</w:t>
            </w:r>
          </w:p>
        </w:tc>
      </w:tr>
      <w:tr>
        <w:tc>
          <w:tcPr>
            <w:tcW w:type="dxa" w:w="1587"/>
          </w:tcPr>
          <w:p>
            <w:r>
              <w:rPr>
                <w:b/>
                <w:sz w:val="17"/>
              </w:rPr>
              <w:t>Method</w:t>
            </w:r>
          </w:p>
        </w:tc>
        <w:tc>
          <w:tcPr>
            <w:tcW w:type="dxa" w:w="8050"/>
          </w:tcPr>
          <w:p>
            <w:r>
              <w:rPr>
                <w:sz w:val="17"/>
              </w:rPr>
              <w:t>ARCH; GARCH.</w:t>
            </w:r>
          </w:p>
        </w:tc>
      </w:tr>
      <w:tr>
        <w:tc>
          <w:tcPr>
            <w:tcW w:type="dxa" w:w="1587"/>
          </w:tcPr>
          <w:p>
            <w:r>
              <w:rPr>
                <w:b/>
                <w:sz w:val="17"/>
              </w:rPr>
              <w:t>Key findings</w:t>
            </w:r>
          </w:p>
        </w:tc>
        <w:tc>
          <w:tcPr>
            <w:tcW w:type="dxa" w:w="8050"/>
          </w:tcPr>
          <w:p>
            <w:r>
              <w:rPr>
                <w:sz w:val="17"/>
              </w:rPr>
              <w:t>• ARCH: variance depends on past squared shocks.</w:t>
            </w:r>
          </w:p>
          <w:p>
            <w:r>
              <w:rPr>
                <w:sz w:val="17"/>
              </w:rPr>
              <w:t>• GARCH: adds past variance, giving a parsimonious model of persistent volatility.</w:t>
            </w:r>
          </w:p>
        </w:tc>
      </w:tr>
      <w:tr>
        <w:tc>
          <w:tcPr>
            <w:tcW w:type="dxa" w:w="1587"/>
          </w:tcPr>
          <w:p>
            <w:r>
              <w:rPr>
                <w:b/>
                <w:sz w:val="17"/>
              </w:rPr>
              <w:t>Limitations</w:t>
            </w:r>
          </w:p>
        </w:tc>
        <w:tc>
          <w:tcPr>
            <w:tcW w:type="dxa" w:w="8050"/>
          </w:tcPr>
          <w:p>
            <w:r>
              <w:rPr>
                <w:sz w:val="17"/>
              </w:rPr>
              <w:t>Symmetric response to good and bad news (GJR-GARCH adds the leverage effect).</w:t>
            </w:r>
          </w:p>
        </w:tc>
      </w:tr>
      <w:tr>
        <w:tc>
          <w:tcPr>
            <w:tcW w:type="dxa" w:w="1587"/>
            <w:shd w:val="clear" w:color="auto" w:fill="EAF1FB"/>
          </w:tcPr>
          <w:p>
            <w:r>
              <w:rPr>
                <w:b/>
                <w:sz w:val="17"/>
              </w:rPr>
              <w:t>How to use it</w:t>
            </w:r>
          </w:p>
        </w:tc>
        <w:tc>
          <w:tcPr>
            <w:tcW w:type="dxa" w:w="8050"/>
            <w:shd w:val="clear" w:color="auto" w:fill="EAF1FB"/>
          </w:tcPr>
          <w:p>
            <w:r>
              <w:rPr>
                <w:sz w:val="17"/>
              </w:rPr>
              <w:t>Foundations of your first benchmark.</w:t>
            </w:r>
          </w:p>
        </w:tc>
      </w:tr>
      <w:tr>
        <w:tc>
          <w:tcPr>
            <w:tcW w:type="dxa" w:w="1587"/>
          </w:tcPr>
          <w:p>
            <w:r>
              <w:rPr>
                <w:b/>
                <w:sz w:val="17"/>
              </w:rPr>
              <w:t>Feeds</w:t>
            </w:r>
          </w:p>
        </w:tc>
        <w:tc>
          <w:tcPr>
            <w:tcW w:type="dxa" w:w="8050"/>
          </w:tcPr>
          <w:p>
            <w:r>
              <w:rPr>
                <w:sz w:val="17"/>
              </w:rPr>
              <w:t>2.5.</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Hansen, P. &amp; Lunde, A. (2005) A forecast comparison of volatility models: does anything beat a GARCH(1,1)? Journal of Applied Econometrics, 20(7), 873–889.</w:t>
            </w:r>
          </w:p>
        </w:tc>
      </w:tr>
      <w:tr>
        <w:tc>
          <w:tcPr>
            <w:tcW w:type="dxa" w:w="1587"/>
            <w:shd w:val="clear" w:color="auto" w:fill="F3F3F3"/>
          </w:tcPr>
          <w:p>
            <w:r>
              <w:rPr>
                <w:b/>
                <w:sz w:val="17"/>
              </w:rPr>
              <w:t>Source basis</w:t>
            </w:r>
          </w:p>
        </w:tc>
        <w:tc>
          <w:tcPr>
            <w:tcW w:type="dxa" w:w="8050"/>
            <w:shd w:val="clear" w:color="auto" w:fill="F3F3F3"/>
          </w:tcPr>
          <w:p>
            <w:r>
              <w:rPr>
                <w:sz w:val="17"/>
              </w:rPr>
              <w:t>Standard textbook knowledge, not re-read this session — confirm every detail before citing</w:t>
            </w:r>
          </w:p>
        </w:tc>
      </w:tr>
      <w:tr>
        <w:tc>
          <w:tcPr>
            <w:tcW w:type="dxa" w:w="1587"/>
          </w:tcPr>
          <w:p>
            <w:r>
              <w:rPr>
                <w:b/>
                <w:sz w:val="17"/>
              </w:rPr>
              <w:t>Question</w:t>
            </w:r>
          </w:p>
        </w:tc>
        <w:tc>
          <w:tcPr>
            <w:tcW w:type="dxa" w:w="8050"/>
          </w:tcPr>
          <w:p>
            <w:r>
              <w:rPr>
                <w:sz w:val="17"/>
              </w:rPr>
              <w:t>Do more complex volatility models beat GARCH(1,1)?</w:t>
            </w:r>
          </w:p>
        </w:tc>
      </w:tr>
      <w:tr>
        <w:tc>
          <w:tcPr>
            <w:tcW w:type="dxa" w:w="1587"/>
          </w:tcPr>
          <w:p>
            <w:r>
              <w:rPr>
                <w:b/>
                <w:sz w:val="17"/>
              </w:rPr>
              <w:t>Data</w:t>
            </w:r>
          </w:p>
        </w:tc>
        <w:tc>
          <w:tcPr>
            <w:tcW w:type="dxa" w:w="8050"/>
          </w:tcPr>
          <w:p>
            <w:r>
              <w:rPr>
                <w:sz w:val="17"/>
              </w:rPr>
              <w:t>DM–USD exchange rate and IBM stock returns.</w:t>
            </w:r>
          </w:p>
        </w:tc>
      </w:tr>
      <w:tr>
        <w:tc>
          <w:tcPr>
            <w:tcW w:type="dxa" w:w="1587"/>
          </w:tcPr>
          <w:p>
            <w:r>
              <w:rPr>
                <w:b/>
                <w:sz w:val="17"/>
              </w:rPr>
              <w:t>Method</w:t>
            </w:r>
          </w:p>
        </w:tc>
        <w:tc>
          <w:tcPr>
            <w:tcW w:type="dxa" w:w="8050"/>
          </w:tcPr>
          <w:p>
            <w:r>
              <w:rPr>
                <w:sz w:val="17"/>
              </w:rPr>
              <w:t>330 ARCH-type models compared with realised variance and a superior-predictive-ability test.</w:t>
            </w:r>
          </w:p>
        </w:tc>
      </w:tr>
      <w:tr>
        <w:tc>
          <w:tcPr>
            <w:tcW w:type="dxa" w:w="1587"/>
          </w:tcPr>
          <w:p>
            <w:r>
              <w:rPr>
                <w:b/>
                <w:sz w:val="17"/>
              </w:rPr>
              <w:t>Key findings</w:t>
            </w:r>
          </w:p>
        </w:tc>
        <w:tc>
          <w:tcPr>
            <w:tcW w:type="dxa" w:w="8050"/>
          </w:tcPr>
          <w:p>
            <w:r>
              <w:rPr>
                <w:sz w:val="17"/>
              </w:rPr>
              <w:t>• Exchange rate: no evidence that GARCH(1,1) is beaten.</w:t>
            </w:r>
          </w:p>
          <w:p>
            <w:r>
              <w:rPr>
                <w:sz w:val="17"/>
              </w:rPr>
              <w:t>• IBM stock: GARCH(1,1) is inferior to models with a leverage effect.</w:t>
            </w:r>
          </w:p>
        </w:tc>
      </w:tr>
      <w:tr>
        <w:tc>
          <w:tcPr>
            <w:tcW w:type="dxa" w:w="1587"/>
          </w:tcPr>
          <w:p>
            <w:r>
              <w:rPr>
                <w:b/>
                <w:sz w:val="17"/>
              </w:rPr>
              <w:t>Limitations</w:t>
            </w:r>
          </w:p>
        </w:tc>
        <w:tc>
          <w:tcPr>
            <w:tcW w:type="dxa" w:w="8050"/>
          </w:tcPr>
          <w:p>
            <w:r>
              <w:rPr>
                <w:sz w:val="17"/>
              </w:rPr>
              <w:t>Two series only.</w:t>
            </w:r>
          </w:p>
        </w:tc>
      </w:tr>
      <w:tr>
        <w:tc>
          <w:tcPr>
            <w:tcW w:type="dxa" w:w="1587"/>
            <w:shd w:val="clear" w:color="auto" w:fill="EAF1FB"/>
          </w:tcPr>
          <w:p>
            <w:r>
              <w:rPr>
                <w:b/>
                <w:sz w:val="17"/>
              </w:rPr>
              <w:t>How to use it</w:t>
            </w:r>
          </w:p>
        </w:tc>
        <w:tc>
          <w:tcPr>
            <w:tcW w:type="dxa" w:w="8050"/>
            <w:shd w:val="clear" w:color="auto" w:fill="EAF1FB"/>
          </w:tcPr>
          <w:p>
            <w:r>
              <w:rPr>
                <w:sz w:val="17"/>
              </w:rPr>
              <w:t>Sets the bar: GARCH(1,1) is a serious benchmark; for equities, a leverage version (GJR) could be a robustness check.</w:t>
            </w:r>
          </w:p>
        </w:tc>
      </w:tr>
      <w:tr>
        <w:tc>
          <w:tcPr>
            <w:tcW w:type="dxa" w:w="1587"/>
          </w:tcPr>
          <w:p>
            <w:r>
              <w:rPr>
                <w:b/>
                <w:sz w:val="17"/>
              </w:rPr>
              <w:t>Feeds</w:t>
            </w:r>
          </w:p>
        </w:tc>
        <w:tc>
          <w:tcPr>
            <w:tcW w:type="dxa" w:w="8050"/>
          </w:tcPr>
          <w:p>
            <w:r>
              <w:rPr>
                <w:sz w:val="17"/>
              </w:rPr>
              <w:t>2.5; H1.</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Andersen, T. &amp; Bollerslev, T. (1998) International Economic Review 39(4); Andersen, Bollerslev, Diebold &amp; Labys (2003) Econometrica 71(2).</w:t>
            </w:r>
          </w:p>
        </w:tc>
      </w:tr>
      <w:tr>
        <w:tc>
          <w:tcPr>
            <w:tcW w:type="dxa" w:w="1587"/>
            <w:shd w:val="clear" w:color="auto" w:fill="F3F3F3"/>
          </w:tcPr>
          <w:p>
            <w:r>
              <w:rPr>
                <w:b/>
                <w:sz w:val="17"/>
              </w:rPr>
              <w:t>Source basis</w:t>
            </w:r>
          </w:p>
        </w:tc>
        <w:tc>
          <w:tcPr>
            <w:tcW w:type="dxa" w:w="8050"/>
            <w:shd w:val="clear" w:color="auto" w:fill="F3F3F3"/>
          </w:tcPr>
          <w:p>
            <w:r>
              <w:rPr>
                <w:sz w:val="17"/>
              </w:rPr>
              <w:t>Standard textbook knowledge, not re-read this session — confirm every detail before citing</w:t>
            </w:r>
          </w:p>
        </w:tc>
      </w:tr>
      <w:tr>
        <w:tc>
          <w:tcPr>
            <w:tcW w:type="dxa" w:w="1587"/>
          </w:tcPr>
          <w:p>
            <w:r>
              <w:rPr>
                <w:b/>
                <w:sz w:val="17"/>
              </w:rPr>
              <w:t>Question</w:t>
            </w:r>
          </w:p>
        </w:tc>
        <w:tc>
          <w:tcPr>
            <w:tcW w:type="dxa" w:w="8050"/>
          </w:tcPr>
          <w:p>
            <w:r>
              <w:rPr>
                <w:sz w:val="17"/>
              </w:rPr>
              <w:t>Are volatility models really poor, or is the yardstick poor? How should realised volatility be modelled?</w:t>
            </w:r>
          </w:p>
        </w:tc>
      </w:tr>
      <w:tr>
        <w:tc>
          <w:tcPr>
            <w:tcW w:type="dxa" w:w="1587"/>
          </w:tcPr>
          <w:p>
            <w:r>
              <w:rPr>
                <w:b/>
                <w:sz w:val="17"/>
              </w:rPr>
              <w:t>Data</w:t>
            </w:r>
          </w:p>
        </w:tc>
        <w:tc>
          <w:tcPr>
            <w:tcW w:type="dxa" w:w="8050"/>
          </w:tcPr>
          <w:p>
            <w:r>
              <w:rPr>
                <w:sz w:val="17"/>
              </w:rPr>
              <w:t>Foreign exchange, high-frequency data.</w:t>
            </w:r>
          </w:p>
        </w:tc>
      </w:tr>
      <w:tr>
        <w:tc>
          <w:tcPr>
            <w:tcW w:type="dxa" w:w="1587"/>
          </w:tcPr>
          <w:p>
            <w:r>
              <w:rPr>
                <w:b/>
                <w:sz w:val="17"/>
              </w:rPr>
              <w:t>Method</w:t>
            </w:r>
          </w:p>
        </w:tc>
        <w:tc>
          <w:tcPr>
            <w:tcW w:type="dxa" w:w="8050"/>
          </w:tcPr>
          <w:p>
            <w:r>
              <w:rPr>
                <w:sz w:val="17"/>
              </w:rPr>
              <w:t>Realised volatility from intraday returns; long-memory models of log RV.</w:t>
            </w:r>
          </w:p>
        </w:tc>
      </w:tr>
      <w:tr>
        <w:tc>
          <w:tcPr>
            <w:tcW w:type="dxa" w:w="1587"/>
          </w:tcPr>
          <w:p>
            <w:r>
              <w:rPr>
                <w:b/>
                <w:sz w:val="17"/>
              </w:rPr>
              <w:t>Key findings</w:t>
            </w:r>
          </w:p>
        </w:tc>
        <w:tc>
          <w:tcPr>
            <w:tcW w:type="dxa" w:w="8050"/>
          </w:tcPr>
          <w:p>
            <w:r>
              <w:rPr>
                <w:sz w:val="17"/>
              </w:rPr>
              <w:t>• GARCH looks poor when judged against noisy squared daily returns, but good against realised volatility.</w:t>
            </w:r>
          </w:p>
          <w:p>
            <w:r>
              <w:rPr>
                <w:sz w:val="17"/>
              </w:rPr>
              <w:t>• Modelling log realised volatility directly gives strong forecasts.</w:t>
            </w:r>
          </w:p>
        </w:tc>
      </w:tr>
      <w:tr>
        <w:tc>
          <w:tcPr>
            <w:tcW w:type="dxa" w:w="1587"/>
          </w:tcPr>
          <w:p>
            <w:r>
              <w:rPr>
                <w:b/>
                <w:sz w:val="17"/>
              </w:rPr>
              <w:t>Limitations</w:t>
            </w:r>
          </w:p>
        </w:tc>
        <w:tc>
          <w:tcPr>
            <w:tcW w:type="dxa" w:w="8050"/>
          </w:tcPr>
          <w:p>
            <w:r>
              <w:rPr>
                <w:sz w:val="17"/>
              </w:rPr>
              <w:t>Rely on intraday data (you use daily closes).</w:t>
            </w:r>
          </w:p>
        </w:tc>
      </w:tr>
      <w:tr>
        <w:tc>
          <w:tcPr>
            <w:tcW w:type="dxa" w:w="1587"/>
            <w:shd w:val="clear" w:color="auto" w:fill="EAF1FB"/>
          </w:tcPr>
          <w:p>
            <w:r>
              <w:rPr>
                <w:b/>
                <w:sz w:val="17"/>
              </w:rPr>
              <w:t>How to use it</w:t>
            </w:r>
          </w:p>
        </w:tc>
        <w:tc>
          <w:tcPr>
            <w:tcW w:type="dxa" w:w="8050"/>
            <w:shd w:val="clear" w:color="auto" w:fill="EAF1FB"/>
          </w:tcPr>
          <w:p>
            <w:r>
              <w:rPr>
                <w:sz w:val="17"/>
              </w:rPr>
              <w:t>Why you use 5-day realised variance (less noise) and model it in logs.</w:t>
            </w:r>
          </w:p>
        </w:tc>
      </w:tr>
      <w:tr>
        <w:tc>
          <w:tcPr>
            <w:tcW w:type="dxa" w:w="1587"/>
          </w:tcPr>
          <w:p>
            <w:r>
              <w:rPr>
                <w:b/>
                <w:sz w:val="17"/>
              </w:rPr>
              <w:t>Feeds</w:t>
            </w:r>
          </w:p>
        </w:tc>
        <w:tc>
          <w:tcPr>
            <w:tcW w:type="dxa" w:w="8050"/>
          </w:tcPr>
          <w:p>
            <w:r>
              <w:rPr>
                <w:sz w:val="17"/>
              </w:rPr>
              <w:t>2.5; Chapter 3.</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Corsi, F. (2009) A simple approximate long-memory model of realized volatility. Journal of Financial Econometrics, 7(2), 174–196.</w:t>
            </w:r>
          </w:p>
        </w:tc>
      </w:tr>
      <w:tr>
        <w:tc>
          <w:tcPr>
            <w:tcW w:type="dxa" w:w="1587"/>
            <w:shd w:val="clear" w:color="auto" w:fill="F3F3F3"/>
          </w:tcPr>
          <w:p>
            <w:r>
              <w:rPr>
                <w:b/>
                <w:sz w:val="17"/>
              </w:rPr>
              <w:t>Source basis</w:t>
            </w:r>
          </w:p>
        </w:tc>
        <w:tc>
          <w:tcPr>
            <w:tcW w:type="dxa" w:w="8050"/>
            <w:shd w:val="clear" w:color="auto" w:fill="F3F3F3"/>
          </w:tcPr>
          <w:p>
            <w:r>
              <w:rPr>
                <w:sz w:val="17"/>
              </w:rPr>
              <w:t>Standard textbook knowledge, not re-read this session — confirm every detail before citing</w:t>
            </w:r>
          </w:p>
        </w:tc>
      </w:tr>
      <w:tr>
        <w:tc>
          <w:tcPr>
            <w:tcW w:type="dxa" w:w="1587"/>
          </w:tcPr>
          <w:p>
            <w:r>
              <w:rPr>
                <w:b/>
                <w:sz w:val="17"/>
              </w:rPr>
              <w:t>Question</w:t>
            </w:r>
          </w:p>
        </w:tc>
        <w:tc>
          <w:tcPr>
            <w:tcW w:type="dxa" w:w="8050"/>
          </w:tcPr>
          <w:p>
            <w:r>
              <w:rPr>
                <w:sz w:val="17"/>
              </w:rPr>
              <w:t>Can a simple model capture volatility’s long memory?</w:t>
            </w:r>
          </w:p>
        </w:tc>
      </w:tr>
      <w:tr>
        <w:tc>
          <w:tcPr>
            <w:tcW w:type="dxa" w:w="1587"/>
          </w:tcPr>
          <w:p>
            <w:r>
              <w:rPr>
                <w:b/>
                <w:sz w:val="17"/>
              </w:rPr>
              <w:t>Data</w:t>
            </w:r>
          </w:p>
        </w:tc>
        <w:tc>
          <w:tcPr>
            <w:tcW w:type="dxa" w:w="8050"/>
          </w:tcPr>
          <w:p>
            <w:r>
              <w:rPr>
                <w:sz w:val="17"/>
              </w:rPr>
              <w:t>High-frequency financial data.</w:t>
            </w:r>
          </w:p>
        </w:tc>
      </w:tr>
      <w:tr>
        <w:tc>
          <w:tcPr>
            <w:tcW w:type="dxa" w:w="1587"/>
          </w:tcPr>
          <w:p>
            <w:r>
              <w:rPr>
                <w:b/>
                <w:sz w:val="17"/>
              </w:rPr>
              <w:t>Method</w:t>
            </w:r>
          </w:p>
        </w:tc>
        <w:tc>
          <w:tcPr>
            <w:tcW w:type="dxa" w:w="8050"/>
          </w:tcPr>
          <w:p>
            <w:r>
              <w:rPr>
                <w:sz w:val="17"/>
              </w:rPr>
              <w:t>HAR-RV: OLS on daily, weekly and monthly realised volatility.</w:t>
            </w:r>
          </w:p>
        </w:tc>
      </w:tr>
      <w:tr>
        <w:tc>
          <w:tcPr>
            <w:tcW w:type="dxa" w:w="1587"/>
          </w:tcPr>
          <w:p>
            <w:r>
              <w:rPr>
                <w:b/>
                <w:sz w:val="17"/>
              </w:rPr>
              <w:t>Key findings</w:t>
            </w:r>
          </w:p>
        </w:tc>
        <w:tc>
          <w:tcPr>
            <w:tcW w:type="dxa" w:w="8050"/>
          </w:tcPr>
          <w:p>
            <w:r>
              <w:rPr>
                <w:sz w:val="17"/>
              </w:rPr>
              <w:t>• Three components reproduce long memory and fat tails.</w:t>
            </w:r>
          </w:p>
          <w:p>
            <w:r>
              <w:rPr>
                <w:sz w:val="17"/>
              </w:rPr>
              <w:t>• Forecasts well despite its simplicity; now the standard benchmark.</w:t>
            </w:r>
          </w:p>
        </w:tc>
      </w:tr>
      <w:tr>
        <w:tc>
          <w:tcPr>
            <w:tcW w:type="dxa" w:w="1587"/>
          </w:tcPr>
          <w:p>
            <w:r>
              <w:rPr>
                <w:b/>
                <w:sz w:val="17"/>
              </w:rPr>
              <w:t>Limitations</w:t>
            </w:r>
          </w:p>
        </w:tc>
        <w:tc>
          <w:tcPr>
            <w:tcW w:type="dxa" w:w="8050"/>
          </w:tcPr>
          <w:p>
            <w:r>
              <w:rPr>
                <w:sz w:val="17"/>
              </w:rPr>
              <w:t>Linear; designed for intraday-based RV.</w:t>
            </w:r>
          </w:p>
        </w:tc>
      </w:tr>
      <w:tr>
        <w:tc>
          <w:tcPr>
            <w:tcW w:type="dxa" w:w="1587"/>
            <w:shd w:val="clear" w:color="auto" w:fill="EAF1FB"/>
          </w:tcPr>
          <w:p>
            <w:r>
              <w:rPr>
                <w:b/>
                <w:sz w:val="17"/>
              </w:rPr>
              <w:t>How to use it</w:t>
            </w:r>
          </w:p>
        </w:tc>
        <w:tc>
          <w:tcPr>
            <w:tcW w:type="dxa" w:w="8050"/>
            <w:shd w:val="clear" w:color="auto" w:fill="EAF1FB"/>
          </w:tcPr>
          <w:p>
            <w:r>
              <w:rPr>
                <w:sz w:val="17"/>
              </w:rPr>
              <w:t>Your second benchmark and the natural competitor for an LSTM (both use a history of volatility).</w:t>
            </w:r>
          </w:p>
        </w:tc>
      </w:tr>
      <w:tr>
        <w:tc>
          <w:tcPr>
            <w:tcW w:type="dxa" w:w="1587"/>
          </w:tcPr>
          <w:p>
            <w:r>
              <w:rPr>
                <w:b/>
                <w:sz w:val="17"/>
              </w:rPr>
              <w:t>Feeds</w:t>
            </w:r>
          </w:p>
        </w:tc>
        <w:tc>
          <w:tcPr>
            <w:tcW w:type="dxa" w:w="8050"/>
          </w:tcPr>
          <w:p>
            <w:r>
              <w:rPr>
                <w:sz w:val="17"/>
              </w:rPr>
              <w:t>2.5; H1.</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Patton, A. (2011) Volatility forecast comparison using imperfect volatility proxies. Journal of Econometrics, 160(1), 246–256.</w:t>
            </w:r>
          </w:p>
        </w:tc>
      </w:tr>
      <w:tr>
        <w:tc>
          <w:tcPr>
            <w:tcW w:type="dxa" w:w="1587"/>
            <w:shd w:val="clear" w:color="auto" w:fill="D9EAD3"/>
          </w:tcPr>
          <w:p>
            <w:r>
              <w:rPr>
                <w:b/>
                <w:sz w:val="17"/>
              </w:rPr>
              <w:t>Source basis</w:t>
            </w:r>
          </w:p>
        </w:tc>
        <w:tc>
          <w:tcPr>
            <w:tcW w:type="dxa" w:w="8050"/>
            <w:shd w:val="clear" w:color="auto" w:fill="D9EAD3"/>
          </w:tcPr>
          <w:p>
            <w:r>
              <w:rPr>
                <w:sz w:val="17"/>
              </w:rPr>
              <w:t>Full text read in this session — facts checked against the paper</w:t>
            </w:r>
          </w:p>
        </w:tc>
      </w:tr>
      <w:tr>
        <w:tc>
          <w:tcPr>
            <w:tcW w:type="dxa" w:w="1587"/>
          </w:tcPr>
          <w:p>
            <w:r>
              <w:rPr>
                <w:b/>
                <w:sz w:val="17"/>
              </w:rPr>
              <w:t>Question</w:t>
            </w:r>
          </w:p>
        </w:tc>
        <w:tc>
          <w:tcPr>
            <w:tcW w:type="dxa" w:w="8050"/>
          </w:tcPr>
          <w:p>
            <w:r>
              <w:rPr>
                <w:sz w:val="17"/>
              </w:rPr>
              <w:t>Can forecast comparisons be trusted when true volatility is unobserved?</w:t>
            </w:r>
          </w:p>
        </w:tc>
      </w:tr>
      <w:tr>
        <w:tc>
          <w:tcPr>
            <w:tcW w:type="dxa" w:w="1587"/>
          </w:tcPr>
          <w:p>
            <w:r>
              <w:rPr>
                <w:b/>
                <w:sz w:val="17"/>
              </w:rPr>
              <w:t>Data</w:t>
            </w:r>
          </w:p>
        </w:tc>
        <w:tc>
          <w:tcPr>
            <w:tcW w:type="dxa" w:w="8050"/>
          </w:tcPr>
          <w:p>
            <w:r>
              <w:rPr>
                <w:sz w:val="17"/>
              </w:rPr>
              <w:t>Theory; application to IBM volatility.</w:t>
            </w:r>
          </w:p>
        </w:tc>
      </w:tr>
      <w:tr>
        <w:tc>
          <w:tcPr>
            <w:tcW w:type="dxa" w:w="1587"/>
          </w:tcPr>
          <w:p>
            <w:r>
              <w:rPr>
                <w:b/>
                <w:sz w:val="17"/>
              </w:rPr>
              <w:t>Method</w:t>
            </w:r>
          </w:p>
        </w:tc>
        <w:tc>
          <w:tcPr>
            <w:tcW w:type="dxa" w:w="8050"/>
          </w:tcPr>
          <w:p>
            <w:r>
              <w:rPr>
                <w:sz w:val="17"/>
              </w:rPr>
              <w:t>Analytical results on loss functions.</w:t>
            </w:r>
          </w:p>
        </w:tc>
      </w:tr>
      <w:tr>
        <w:tc>
          <w:tcPr>
            <w:tcW w:type="dxa" w:w="1587"/>
          </w:tcPr>
          <w:p>
            <w:r>
              <w:rPr>
                <w:b/>
                <w:sz w:val="17"/>
              </w:rPr>
              <w:t>Key findings</w:t>
            </w:r>
          </w:p>
        </w:tc>
        <w:tc>
          <w:tcPr>
            <w:tcW w:type="dxa" w:w="8050"/>
          </w:tcPr>
          <w:p>
            <w:r>
              <w:rPr>
                <w:sz w:val="17"/>
              </w:rPr>
              <w:t>• Noisy proxies can make a worse forecast look better under some loss functions — affecting test size, not just power.</w:t>
            </w:r>
          </w:p>
          <w:p>
            <w:r>
              <w:rPr>
                <w:sz w:val="17"/>
              </w:rPr>
              <w:t>• Less noisy proxies (range, realised volatility) reduce but do not remove the distortion.</w:t>
            </w:r>
          </w:p>
          <w:p>
            <w:r>
              <w:rPr>
                <w:sz w:val="17"/>
              </w:rPr>
              <w:t>• Derives conditions for robust loss functions; a family that nests MSE and QLIKE.</w:t>
            </w:r>
          </w:p>
        </w:tc>
      </w:tr>
      <w:tr>
        <w:tc>
          <w:tcPr>
            <w:tcW w:type="dxa" w:w="1587"/>
          </w:tcPr>
          <w:p>
            <w:r>
              <w:rPr>
                <w:b/>
                <w:sz w:val="17"/>
              </w:rPr>
              <w:t>Limitations</w:t>
            </w:r>
          </w:p>
        </w:tc>
        <w:tc>
          <w:tcPr>
            <w:tcW w:type="dxa" w:w="8050"/>
          </w:tcPr>
          <w:p>
            <w:r>
              <w:rPr>
                <w:sz w:val="17"/>
              </w:rPr>
              <w:t>Theory-focused.</w:t>
            </w:r>
          </w:p>
        </w:tc>
      </w:tr>
      <w:tr>
        <w:tc>
          <w:tcPr>
            <w:tcW w:type="dxa" w:w="1587"/>
            <w:shd w:val="clear" w:color="auto" w:fill="EAF1FB"/>
          </w:tcPr>
          <w:p>
            <w:r>
              <w:rPr>
                <w:b/>
                <w:sz w:val="17"/>
              </w:rPr>
              <w:t>How to use it</w:t>
            </w:r>
          </w:p>
        </w:tc>
        <w:tc>
          <w:tcPr>
            <w:tcW w:type="dxa" w:w="8050"/>
            <w:shd w:val="clear" w:color="auto" w:fill="EAF1FB"/>
          </w:tcPr>
          <w:p>
            <w:r>
              <w:rPr>
                <w:sz w:val="17"/>
              </w:rPr>
              <w:t>Justifies reporting MSE and QLIKE, with QLIKE primary.</w:t>
            </w:r>
          </w:p>
        </w:tc>
      </w:tr>
      <w:tr>
        <w:tc>
          <w:tcPr>
            <w:tcW w:type="dxa" w:w="1587"/>
          </w:tcPr>
          <w:p>
            <w:r>
              <w:rPr>
                <w:b/>
                <w:sz w:val="17"/>
              </w:rPr>
              <w:t>Feeds</w:t>
            </w:r>
          </w:p>
        </w:tc>
        <w:tc>
          <w:tcPr>
            <w:tcW w:type="dxa" w:w="8050"/>
          </w:tcPr>
          <w:p>
            <w:r>
              <w:rPr>
                <w:sz w:val="17"/>
              </w:rPr>
              <w:t>2.5; Chapter 3; H1.</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Diebold, F. &amp; Mariano, R. (1995) JBES 13(3); Harvey, D., Leybourne, S. &amp; Newbold, P. (1997) IJF 13(2).</w:t>
            </w:r>
          </w:p>
        </w:tc>
      </w:tr>
      <w:tr>
        <w:tc>
          <w:tcPr>
            <w:tcW w:type="dxa" w:w="1587"/>
            <w:shd w:val="clear" w:color="auto" w:fill="F3F3F3"/>
          </w:tcPr>
          <w:p>
            <w:r>
              <w:rPr>
                <w:b/>
                <w:sz w:val="17"/>
              </w:rPr>
              <w:t>Source basis</w:t>
            </w:r>
          </w:p>
        </w:tc>
        <w:tc>
          <w:tcPr>
            <w:tcW w:type="dxa" w:w="8050"/>
            <w:shd w:val="clear" w:color="auto" w:fill="F3F3F3"/>
          </w:tcPr>
          <w:p>
            <w:r>
              <w:rPr>
                <w:sz w:val="17"/>
              </w:rPr>
              <w:t>Standard textbook knowledge, not re-read this session — confirm every detail before citing</w:t>
            </w:r>
          </w:p>
        </w:tc>
      </w:tr>
      <w:tr>
        <w:tc>
          <w:tcPr>
            <w:tcW w:type="dxa" w:w="1587"/>
          </w:tcPr>
          <w:p>
            <w:r>
              <w:rPr>
                <w:b/>
                <w:sz w:val="17"/>
              </w:rPr>
              <w:t>Question</w:t>
            </w:r>
          </w:p>
        </w:tc>
        <w:tc>
          <w:tcPr>
            <w:tcW w:type="dxa" w:w="8050"/>
          </w:tcPr>
          <w:p>
            <w:r>
              <w:rPr>
                <w:sz w:val="17"/>
              </w:rPr>
              <w:t>How can two forecasts be compared formally?</w:t>
            </w:r>
          </w:p>
        </w:tc>
      </w:tr>
      <w:tr>
        <w:tc>
          <w:tcPr>
            <w:tcW w:type="dxa" w:w="1587"/>
          </w:tcPr>
          <w:p>
            <w:r>
              <w:rPr>
                <w:b/>
                <w:sz w:val="17"/>
              </w:rPr>
              <w:t>Data</w:t>
            </w:r>
          </w:p>
        </w:tc>
        <w:tc>
          <w:tcPr>
            <w:tcW w:type="dxa" w:w="8050"/>
          </w:tcPr>
          <w:p>
            <w:r>
              <w:rPr>
                <w:sz w:val="17"/>
              </w:rPr>
              <w:t>General.</w:t>
            </w:r>
          </w:p>
        </w:tc>
      </w:tr>
      <w:tr>
        <w:tc>
          <w:tcPr>
            <w:tcW w:type="dxa" w:w="1587"/>
          </w:tcPr>
          <w:p>
            <w:r>
              <w:rPr>
                <w:b/>
                <w:sz w:val="17"/>
              </w:rPr>
              <w:t>Method</w:t>
            </w:r>
          </w:p>
        </w:tc>
        <w:tc>
          <w:tcPr>
            <w:tcW w:type="dxa" w:w="8050"/>
          </w:tcPr>
          <w:p>
            <w:r>
              <w:rPr>
                <w:sz w:val="17"/>
              </w:rPr>
              <w:t>Test on the mean loss differential; small-sample fix.</w:t>
            </w:r>
          </w:p>
        </w:tc>
      </w:tr>
      <w:tr>
        <w:tc>
          <w:tcPr>
            <w:tcW w:type="dxa" w:w="1587"/>
          </w:tcPr>
          <w:p>
            <w:r>
              <w:rPr>
                <w:b/>
                <w:sz w:val="17"/>
              </w:rPr>
              <w:t>Key findings</w:t>
            </w:r>
          </w:p>
        </w:tc>
        <w:tc>
          <w:tcPr>
            <w:tcW w:type="dxa" w:w="8050"/>
          </w:tcPr>
          <w:p>
            <w:r>
              <w:rPr>
                <w:sz w:val="17"/>
              </w:rPr>
              <w:t>• DM: tests whether the average loss difference is zero, robust to autocorrelation.</w:t>
            </w:r>
          </w:p>
          <w:p>
            <w:r>
              <w:rPr>
                <w:sz w:val="17"/>
              </w:rPr>
              <w:t>• HLN: corrects the DM statistic for small samples and multi-step forecasts; use t critical values.</w:t>
            </w:r>
          </w:p>
        </w:tc>
      </w:tr>
      <w:tr>
        <w:tc>
          <w:tcPr>
            <w:tcW w:type="dxa" w:w="1587"/>
          </w:tcPr>
          <w:p>
            <w:r>
              <w:rPr>
                <w:b/>
                <w:sz w:val="17"/>
              </w:rPr>
              <w:t>Limitations</w:t>
            </w:r>
          </w:p>
        </w:tc>
        <w:tc>
          <w:tcPr>
            <w:tcW w:type="dxa" w:w="8050"/>
          </w:tcPr>
          <w:p>
            <w:r>
              <w:rPr>
                <w:sz w:val="17"/>
              </w:rPr>
              <w:t>Designed for non-nested comparisons; see literature on nested models.</w:t>
            </w:r>
          </w:p>
        </w:tc>
      </w:tr>
      <w:tr>
        <w:tc>
          <w:tcPr>
            <w:tcW w:type="dxa" w:w="1587"/>
            <w:shd w:val="clear" w:color="auto" w:fill="EAF1FB"/>
          </w:tcPr>
          <w:p>
            <w:r>
              <w:rPr>
                <w:b/>
                <w:sz w:val="17"/>
              </w:rPr>
              <w:t>How to use it</w:t>
            </w:r>
          </w:p>
        </w:tc>
        <w:tc>
          <w:tcPr>
            <w:tcW w:type="dxa" w:w="8050"/>
            <w:shd w:val="clear" w:color="auto" w:fill="EAF1FB"/>
          </w:tcPr>
          <w:p>
            <w:r>
              <w:rPr>
                <w:sz w:val="17"/>
              </w:rPr>
              <w:t>Your RQ1 test.</w:t>
            </w:r>
          </w:p>
        </w:tc>
      </w:tr>
      <w:tr>
        <w:tc>
          <w:tcPr>
            <w:tcW w:type="dxa" w:w="1587"/>
          </w:tcPr>
          <w:p>
            <w:r>
              <w:rPr>
                <w:b/>
                <w:sz w:val="17"/>
              </w:rPr>
              <w:t>Feeds</w:t>
            </w:r>
          </w:p>
        </w:tc>
        <w:tc>
          <w:tcPr>
            <w:tcW w:type="dxa" w:w="8050"/>
          </w:tcPr>
          <w:p>
            <w:r>
              <w:rPr>
                <w:sz w:val="17"/>
              </w:rPr>
              <w:t>2.5; Chapter 3.</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Hochreiter, S. &amp; Schmidhuber, J. (1997) Long short-term memory. Neural Computation, 9(8), 1735–1780.</w:t>
            </w:r>
          </w:p>
        </w:tc>
      </w:tr>
      <w:tr>
        <w:tc>
          <w:tcPr>
            <w:tcW w:type="dxa" w:w="1587"/>
            <w:shd w:val="clear" w:color="auto" w:fill="F3F3F3"/>
          </w:tcPr>
          <w:p>
            <w:r>
              <w:rPr>
                <w:b/>
                <w:sz w:val="17"/>
              </w:rPr>
              <w:t>Source basis</w:t>
            </w:r>
          </w:p>
        </w:tc>
        <w:tc>
          <w:tcPr>
            <w:tcW w:type="dxa" w:w="8050"/>
            <w:shd w:val="clear" w:color="auto" w:fill="F3F3F3"/>
          </w:tcPr>
          <w:p>
            <w:r>
              <w:rPr>
                <w:sz w:val="17"/>
              </w:rPr>
              <w:t>Standard textbook knowledge, not re-read this session — confirm every detail before citing</w:t>
            </w:r>
          </w:p>
        </w:tc>
      </w:tr>
      <w:tr>
        <w:tc>
          <w:tcPr>
            <w:tcW w:type="dxa" w:w="1587"/>
          </w:tcPr>
          <w:p>
            <w:r>
              <w:rPr>
                <w:b/>
                <w:sz w:val="17"/>
              </w:rPr>
              <w:t>Question</w:t>
            </w:r>
          </w:p>
        </w:tc>
        <w:tc>
          <w:tcPr>
            <w:tcW w:type="dxa" w:w="8050"/>
          </w:tcPr>
          <w:p>
            <w:r>
              <w:rPr>
                <w:sz w:val="17"/>
              </w:rPr>
              <w:t>How can recurrent networks learn long time lags?</w:t>
            </w:r>
          </w:p>
        </w:tc>
      </w:tr>
      <w:tr>
        <w:tc>
          <w:tcPr>
            <w:tcW w:type="dxa" w:w="1587"/>
          </w:tcPr>
          <w:p>
            <w:r>
              <w:rPr>
                <w:b/>
                <w:sz w:val="17"/>
              </w:rPr>
              <w:t>Data</w:t>
            </w:r>
          </w:p>
        </w:tc>
        <w:tc>
          <w:tcPr>
            <w:tcW w:type="dxa" w:w="8050"/>
          </w:tcPr>
          <w:p>
            <w:r>
              <w:rPr>
                <w:sz w:val="17"/>
              </w:rPr>
              <w:t>Artificial benchmark tasks.</w:t>
            </w:r>
          </w:p>
        </w:tc>
      </w:tr>
      <w:tr>
        <w:tc>
          <w:tcPr>
            <w:tcW w:type="dxa" w:w="1587"/>
          </w:tcPr>
          <w:p>
            <w:r>
              <w:rPr>
                <w:b/>
                <w:sz w:val="17"/>
              </w:rPr>
              <w:t>Method</w:t>
            </w:r>
          </w:p>
        </w:tc>
        <w:tc>
          <w:tcPr>
            <w:tcW w:type="dxa" w:w="8050"/>
          </w:tcPr>
          <w:p>
            <w:r>
              <w:rPr>
                <w:sz w:val="17"/>
              </w:rPr>
              <w:t>LSTM architecture.</w:t>
            </w:r>
          </w:p>
        </w:tc>
      </w:tr>
      <w:tr>
        <w:tc>
          <w:tcPr>
            <w:tcW w:type="dxa" w:w="1587"/>
          </w:tcPr>
          <w:p>
            <w:r>
              <w:rPr>
                <w:b/>
                <w:sz w:val="17"/>
              </w:rPr>
              <w:t>Key findings</w:t>
            </w:r>
          </w:p>
        </w:tc>
        <w:tc>
          <w:tcPr>
            <w:tcW w:type="dxa" w:w="8050"/>
          </w:tcPr>
          <w:p>
            <w:r>
              <w:rPr>
                <w:sz w:val="17"/>
              </w:rPr>
              <w:t>• Constant error carousel keeps gradients from vanishing; gates control access.</w:t>
            </w:r>
          </w:p>
          <w:p>
            <w:r>
              <w:rPr>
                <w:sz w:val="17"/>
              </w:rPr>
              <w:t>• Learns dependencies over very long lags where plain RNNs fail.</w:t>
            </w:r>
          </w:p>
        </w:tc>
      </w:tr>
      <w:tr>
        <w:tc>
          <w:tcPr>
            <w:tcW w:type="dxa" w:w="1587"/>
          </w:tcPr>
          <w:p>
            <w:r>
              <w:rPr>
                <w:b/>
                <w:sz w:val="17"/>
              </w:rPr>
              <w:t>Limitations</w:t>
            </w:r>
          </w:p>
        </w:tc>
        <w:tc>
          <w:tcPr>
            <w:tcW w:type="dxa" w:w="8050"/>
          </w:tcPr>
          <w:p>
            <w:r>
              <w:rPr>
                <w:sz w:val="17"/>
              </w:rPr>
              <w:t>Original version had no forget gate (added by Gers et al., 2000).</w:t>
            </w:r>
          </w:p>
        </w:tc>
      </w:tr>
      <w:tr>
        <w:tc>
          <w:tcPr>
            <w:tcW w:type="dxa" w:w="1587"/>
            <w:shd w:val="clear" w:color="auto" w:fill="EAF1FB"/>
          </w:tcPr>
          <w:p>
            <w:r>
              <w:rPr>
                <w:b/>
                <w:sz w:val="17"/>
              </w:rPr>
              <w:t>How to use it</w:t>
            </w:r>
          </w:p>
        </w:tc>
        <w:tc>
          <w:tcPr>
            <w:tcW w:type="dxa" w:w="8050"/>
            <w:shd w:val="clear" w:color="auto" w:fill="EAF1FB"/>
          </w:tcPr>
          <w:p>
            <w:r>
              <w:rPr>
                <w:sz w:val="17"/>
              </w:rPr>
              <w:t>Cite for the LSTM itself in 2.5 and Chapter 3.</w:t>
            </w:r>
          </w:p>
        </w:tc>
      </w:tr>
      <w:tr>
        <w:tc>
          <w:tcPr>
            <w:tcW w:type="dxa" w:w="1587"/>
          </w:tcPr>
          <w:p>
            <w:r>
              <w:rPr>
                <w:b/>
                <w:sz w:val="17"/>
              </w:rPr>
              <w:t>Feeds</w:t>
            </w:r>
          </w:p>
        </w:tc>
        <w:tc>
          <w:tcPr>
            <w:tcW w:type="dxa" w:w="8050"/>
          </w:tcPr>
          <w:p>
            <w:r>
              <w:rPr>
                <w:sz w:val="17"/>
              </w:rPr>
              <w:t>2.5.</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Fischer, T. &amp; Krauss, C. (2018) Deep learning with LSTM networks for financial market predictions. European Journal of Operational Research, 270(2), 654–669.</w:t>
            </w:r>
          </w:p>
        </w:tc>
      </w:tr>
      <w:tr>
        <w:tc>
          <w:tcPr>
            <w:tcW w:type="dxa" w:w="1587"/>
            <w:shd w:val="clear" w:color="auto" w:fill="F3F3F3"/>
          </w:tcPr>
          <w:p>
            <w:r>
              <w:rPr>
                <w:b/>
                <w:sz w:val="17"/>
              </w:rPr>
              <w:t>Source basis</w:t>
            </w:r>
          </w:p>
        </w:tc>
        <w:tc>
          <w:tcPr>
            <w:tcW w:type="dxa" w:w="8050"/>
            <w:shd w:val="clear" w:color="auto" w:fill="F3F3F3"/>
          </w:tcPr>
          <w:p>
            <w:r>
              <w:rPr>
                <w:sz w:val="17"/>
              </w:rPr>
              <w:t>Standard textbook knowledge, not re-read this session — confirm every detail before citing</w:t>
            </w:r>
          </w:p>
        </w:tc>
      </w:tr>
      <w:tr>
        <w:tc>
          <w:tcPr>
            <w:tcW w:type="dxa" w:w="1587"/>
          </w:tcPr>
          <w:p>
            <w:r>
              <w:rPr>
                <w:b/>
                <w:sz w:val="17"/>
              </w:rPr>
              <w:t>Question</w:t>
            </w:r>
          </w:p>
        </w:tc>
        <w:tc>
          <w:tcPr>
            <w:tcW w:type="dxa" w:w="8050"/>
          </w:tcPr>
          <w:p>
            <w:r>
              <w:rPr>
                <w:sz w:val="17"/>
              </w:rPr>
              <w:t>Can LSTMs predict stock movements better than other methods?</w:t>
            </w:r>
          </w:p>
        </w:tc>
      </w:tr>
      <w:tr>
        <w:tc>
          <w:tcPr>
            <w:tcW w:type="dxa" w:w="1587"/>
          </w:tcPr>
          <w:p>
            <w:r>
              <w:rPr>
                <w:b/>
                <w:sz w:val="17"/>
              </w:rPr>
              <w:t>Data</w:t>
            </w:r>
          </w:p>
        </w:tc>
        <w:tc>
          <w:tcPr>
            <w:tcW w:type="dxa" w:w="8050"/>
          </w:tcPr>
          <w:p>
            <w:r>
              <w:rPr>
                <w:sz w:val="17"/>
              </w:rPr>
              <w:t>S&amp;P 500 constituents, 1992–2015.</w:t>
            </w:r>
          </w:p>
        </w:tc>
      </w:tr>
      <w:tr>
        <w:tc>
          <w:tcPr>
            <w:tcW w:type="dxa" w:w="1587"/>
          </w:tcPr>
          <w:p>
            <w:r>
              <w:rPr>
                <w:b/>
                <w:sz w:val="17"/>
              </w:rPr>
              <w:t>Method</w:t>
            </w:r>
          </w:p>
        </w:tc>
        <w:tc>
          <w:tcPr>
            <w:tcW w:type="dxa" w:w="8050"/>
          </w:tcPr>
          <w:p>
            <w:r>
              <w:rPr>
                <w:sz w:val="17"/>
              </w:rPr>
              <w:t>LSTM vs random forest, deep feed-forward network, logistic regression.</w:t>
            </w:r>
          </w:p>
        </w:tc>
      </w:tr>
      <w:tr>
        <w:tc>
          <w:tcPr>
            <w:tcW w:type="dxa" w:w="1587"/>
          </w:tcPr>
          <w:p>
            <w:r>
              <w:rPr>
                <w:b/>
                <w:sz w:val="17"/>
              </w:rPr>
              <w:t>Key findings</w:t>
            </w:r>
          </w:p>
        </w:tc>
        <w:tc>
          <w:tcPr>
            <w:tcW w:type="dxa" w:w="8050"/>
          </w:tcPr>
          <w:p>
            <w:r>
              <w:rPr>
                <w:sz w:val="17"/>
              </w:rPr>
              <w:t>• LSTM outperformed the other methods on directional prediction.</w:t>
            </w:r>
          </w:p>
          <w:p>
            <w:r>
              <w:rPr>
                <w:sz w:val="17"/>
              </w:rPr>
              <w:t>• Returns declined in later years, consistent with the edge being competed away.</w:t>
            </w:r>
          </w:p>
        </w:tc>
      </w:tr>
      <w:tr>
        <w:tc>
          <w:tcPr>
            <w:tcW w:type="dxa" w:w="1587"/>
          </w:tcPr>
          <w:p>
            <w:r>
              <w:rPr>
                <w:b/>
                <w:sz w:val="17"/>
              </w:rPr>
              <w:t>Limitations</w:t>
            </w:r>
          </w:p>
        </w:tc>
        <w:tc>
          <w:tcPr>
            <w:tcW w:type="dxa" w:w="8050"/>
          </w:tcPr>
          <w:p>
            <w:r>
              <w:rPr>
                <w:sz w:val="17"/>
              </w:rPr>
              <w:t>Returns direction, not volatility; confirm figures.</w:t>
            </w:r>
          </w:p>
        </w:tc>
      </w:tr>
      <w:tr>
        <w:tc>
          <w:tcPr>
            <w:tcW w:type="dxa" w:w="1587"/>
            <w:shd w:val="clear" w:color="auto" w:fill="EAF1FB"/>
          </w:tcPr>
          <w:p>
            <w:r>
              <w:rPr>
                <w:b/>
                <w:sz w:val="17"/>
              </w:rPr>
              <w:t>How to use it</w:t>
            </w:r>
          </w:p>
        </w:tc>
        <w:tc>
          <w:tcPr>
            <w:tcW w:type="dxa" w:w="8050"/>
            <w:shd w:val="clear" w:color="auto" w:fill="EAF1FB"/>
          </w:tcPr>
          <w:p>
            <w:r>
              <w:rPr>
                <w:sz w:val="17"/>
              </w:rPr>
              <w:t>Evidence that LSTMs capture structure in financial data; contrast with EMH.</w:t>
            </w:r>
          </w:p>
        </w:tc>
      </w:tr>
      <w:tr>
        <w:tc>
          <w:tcPr>
            <w:tcW w:type="dxa" w:w="1587"/>
          </w:tcPr>
          <w:p>
            <w:r>
              <w:rPr>
                <w:b/>
                <w:sz w:val="17"/>
              </w:rPr>
              <w:t>Feeds</w:t>
            </w:r>
          </w:p>
        </w:tc>
        <w:tc>
          <w:tcPr>
            <w:tcW w:type="dxa" w:w="8050"/>
          </w:tcPr>
          <w:p>
            <w:r>
              <w:rPr>
                <w:sz w:val="17"/>
              </w:rPr>
              <w:t>2.5.</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Kim, H. &amp; Won, C. (2018) Forecasting the volatility of stock price index: a hybrid model integrating LSTM with multiple GARCH-type models. Expert Systems with Applications, 103, 25–37.</w:t>
            </w:r>
          </w:p>
        </w:tc>
      </w:tr>
      <w:tr>
        <w:tc>
          <w:tcPr>
            <w:tcW w:type="dxa" w:w="1587"/>
            <w:shd w:val="clear" w:color="auto" w:fill="F3F3F3"/>
          </w:tcPr>
          <w:p>
            <w:r>
              <w:rPr>
                <w:b/>
                <w:sz w:val="17"/>
              </w:rPr>
              <w:t>Source basis</w:t>
            </w:r>
          </w:p>
        </w:tc>
        <w:tc>
          <w:tcPr>
            <w:tcW w:type="dxa" w:w="8050"/>
            <w:shd w:val="clear" w:color="auto" w:fill="F3F3F3"/>
          </w:tcPr>
          <w:p>
            <w:r>
              <w:rPr>
                <w:sz w:val="17"/>
              </w:rPr>
              <w:t>Standard textbook knowledge, not re-read this session — confirm every detail before citing</w:t>
            </w:r>
          </w:p>
        </w:tc>
      </w:tr>
      <w:tr>
        <w:tc>
          <w:tcPr>
            <w:tcW w:type="dxa" w:w="1587"/>
          </w:tcPr>
          <w:p>
            <w:r>
              <w:rPr>
                <w:b/>
                <w:sz w:val="17"/>
              </w:rPr>
              <w:t>Question</w:t>
            </w:r>
          </w:p>
        </w:tc>
        <w:tc>
          <w:tcPr>
            <w:tcW w:type="dxa" w:w="8050"/>
          </w:tcPr>
          <w:p>
            <w:r>
              <w:rPr>
                <w:sz w:val="17"/>
              </w:rPr>
              <w:t>Does combining LSTM with GARCH-type forecasts improve volatility prediction?</w:t>
            </w:r>
          </w:p>
        </w:tc>
      </w:tr>
      <w:tr>
        <w:tc>
          <w:tcPr>
            <w:tcW w:type="dxa" w:w="1587"/>
          </w:tcPr>
          <w:p>
            <w:r>
              <w:rPr>
                <w:b/>
                <w:sz w:val="17"/>
              </w:rPr>
              <w:t>Data</w:t>
            </w:r>
          </w:p>
        </w:tc>
        <w:tc>
          <w:tcPr>
            <w:tcW w:type="dxa" w:w="8050"/>
          </w:tcPr>
          <w:p>
            <w:r>
              <w:rPr>
                <w:sz w:val="17"/>
              </w:rPr>
              <w:t>KOSPI 200 index (Korea).</w:t>
            </w:r>
          </w:p>
        </w:tc>
      </w:tr>
      <w:tr>
        <w:tc>
          <w:tcPr>
            <w:tcW w:type="dxa" w:w="1587"/>
          </w:tcPr>
          <w:p>
            <w:r>
              <w:rPr>
                <w:b/>
                <w:sz w:val="17"/>
              </w:rPr>
              <w:t>Method</w:t>
            </w:r>
          </w:p>
        </w:tc>
        <w:tc>
          <w:tcPr>
            <w:tcW w:type="dxa" w:w="8050"/>
          </w:tcPr>
          <w:p>
            <w:r>
              <w:rPr>
                <w:sz w:val="17"/>
              </w:rPr>
              <w:t>LSTM fed with GARCH-family outputs (hybrid).</w:t>
            </w:r>
          </w:p>
        </w:tc>
      </w:tr>
      <w:tr>
        <w:tc>
          <w:tcPr>
            <w:tcW w:type="dxa" w:w="1587"/>
          </w:tcPr>
          <w:p>
            <w:r>
              <w:rPr>
                <w:b/>
                <w:sz w:val="17"/>
              </w:rPr>
              <w:t>Key findings</w:t>
            </w:r>
          </w:p>
        </w:tc>
        <w:tc>
          <w:tcPr>
            <w:tcW w:type="dxa" w:w="8050"/>
          </w:tcPr>
          <w:p>
            <w:r>
              <w:rPr>
                <w:sz w:val="17"/>
              </w:rPr>
              <w:t>• Hybrid models reduced forecast errors relative to single models.</w:t>
            </w:r>
          </w:p>
        </w:tc>
      </w:tr>
      <w:tr>
        <w:tc>
          <w:tcPr>
            <w:tcW w:type="dxa" w:w="1587"/>
          </w:tcPr>
          <w:p>
            <w:r>
              <w:rPr>
                <w:b/>
                <w:sz w:val="17"/>
              </w:rPr>
              <w:t>Limitations</w:t>
            </w:r>
          </w:p>
        </w:tc>
        <w:tc>
          <w:tcPr>
            <w:tcW w:type="dxa" w:w="8050"/>
          </w:tcPr>
          <w:p>
            <w:r>
              <w:rPr>
                <w:sz w:val="17"/>
              </w:rPr>
              <w:t>One market; confirm details.</w:t>
            </w:r>
          </w:p>
        </w:tc>
      </w:tr>
      <w:tr>
        <w:tc>
          <w:tcPr>
            <w:tcW w:type="dxa" w:w="1587"/>
            <w:shd w:val="clear" w:color="auto" w:fill="EAF1FB"/>
          </w:tcPr>
          <w:p>
            <w:r>
              <w:rPr>
                <w:b/>
                <w:sz w:val="17"/>
              </w:rPr>
              <w:t>How to use it</w:t>
            </w:r>
          </w:p>
        </w:tc>
        <w:tc>
          <w:tcPr>
            <w:tcW w:type="dxa" w:w="8050"/>
            <w:shd w:val="clear" w:color="auto" w:fill="EAF1FB"/>
          </w:tcPr>
          <w:p>
            <w:r>
              <w:rPr>
                <w:sz w:val="17"/>
              </w:rPr>
              <w:t>Shows LSTM–GARCH complementarity; a PhD extension idea.</w:t>
            </w:r>
          </w:p>
        </w:tc>
      </w:tr>
      <w:tr>
        <w:tc>
          <w:tcPr>
            <w:tcW w:type="dxa" w:w="1587"/>
          </w:tcPr>
          <w:p>
            <w:r>
              <w:rPr>
                <w:b/>
                <w:sz w:val="17"/>
              </w:rPr>
              <w:t>Feeds</w:t>
            </w:r>
          </w:p>
        </w:tc>
        <w:tc>
          <w:tcPr>
            <w:tcW w:type="dxa" w:w="8050"/>
          </w:tcPr>
          <w:p>
            <w:r>
              <w:rPr>
                <w:sz w:val="17"/>
              </w:rPr>
              <w:t>2.5.</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Bucci, A. (2020) Realized volatility forecasting with neural networks. Journal of Financial Econometrics, 18(3), 502–531.</w:t>
            </w:r>
          </w:p>
        </w:tc>
      </w:tr>
      <w:tr>
        <w:tc>
          <w:tcPr>
            <w:tcW w:type="dxa" w:w="1587"/>
            <w:shd w:val="clear" w:color="auto" w:fill="D9EAD3"/>
          </w:tcPr>
          <w:p>
            <w:r>
              <w:rPr>
                <w:b/>
                <w:sz w:val="17"/>
              </w:rPr>
              <w:t>Source basis</w:t>
            </w:r>
          </w:p>
        </w:tc>
        <w:tc>
          <w:tcPr>
            <w:tcW w:type="dxa" w:w="8050"/>
            <w:shd w:val="clear" w:color="auto" w:fill="D9EAD3"/>
          </w:tcPr>
          <w:p>
            <w:r>
              <w:rPr>
                <w:sz w:val="17"/>
              </w:rPr>
              <w:t>Full text read in this session — facts checked against the paper</w:t>
            </w:r>
          </w:p>
        </w:tc>
      </w:tr>
      <w:tr>
        <w:tc>
          <w:tcPr>
            <w:tcW w:type="dxa" w:w="1587"/>
          </w:tcPr>
          <w:p>
            <w:r>
              <w:rPr>
                <w:b/>
                <w:sz w:val="17"/>
              </w:rPr>
              <w:t>Question</w:t>
            </w:r>
          </w:p>
        </w:tc>
        <w:tc>
          <w:tcPr>
            <w:tcW w:type="dxa" w:w="8050"/>
          </w:tcPr>
          <w:p>
            <w:r>
              <w:rPr>
                <w:sz w:val="17"/>
              </w:rPr>
              <w:t>Do neural networks forecast realised volatility better than econometric models?</w:t>
            </w:r>
          </w:p>
        </w:tc>
      </w:tr>
      <w:tr>
        <w:tc>
          <w:tcPr>
            <w:tcW w:type="dxa" w:w="1587"/>
          </w:tcPr>
          <w:p>
            <w:r>
              <w:rPr>
                <w:b/>
                <w:sz w:val="17"/>
              </w:rPr>
              <w:t>Data</w:t>
            </w:r>
          </w:p>
        </w:tc>
        <w:tc>
          <w:tcPr>
            <w:tcW w:type="dxa" w:w="8050"/>
          </w:tcPr>
          <w:p>
            <w:r>
              <w:rPr>
                <w:sz w:val="17"/>
              </w:rPr>
              <w:t>Monthly S&amp;P 500, Feb 1950 – Dec 2017 (815 observations); log RV from daily squared returns; macro and financial predictors.</w:t>
            </w:r>
          </w:p>
        </w:tc>
      </w:tr>
      <w:tr>
        <w:tc>
          <w:tcPr>
            <w:tcW w:type="dxa" w:w="1587"/>
          </w:tcPr>
          <w:p>
            <w:r>
              <w:rPr>
                <w:b/>
                <w:sz w:val="17"/>
              </w:rPr>
              <w:t>Method</w:t>
            </w:r>
          </w:p>
        </w:tc>
        <w:tc>
          <w:tcPr>
            <w:tcW w:type="dxa" w:w="8050"/>
          </w:tcPr>
          <w:p>
            <w:r>
              <w:rPr>
                <w:sz w:val="17"/>
              </w:rPr>
              <w:t>FNN, Elman, Jordan, LSTM and NARX networks vs ARFIMA(X) and LSTAR(X); out-of-sample 1997–2017 and a 2007–09 subsample; MSE and QLIKE; Model Confidence Set.</w:t>
            </w:r>
          </w:p>
        </w:tc>
      </w:tr>
      <w:tr>
        <w:tc>
          <w:tcPr>
            <w:tcW w:type="dxa" w:w="1587"/>
          </w:tcPr>
          <w:p>
            <w:r>
              <w:rPr>
                <w:b/>
                <w:sz w:val="17"/>
              </w:rPr>
              <w:t>Key findings</w:t>
            </w:r>
          </w:p>
        </w:tc>
        <w:tc>
          <w:tcPr>
            <w:tcW w:type="dxa" w:w="8050"/>
          </w:tcPr>
          <w:p>
            <w:r>
              <w:rPr>
                <w:sz w:val="17"/>
              </w:rPr>
              <w:t>• Recurrent networks outperform traditional econometric methods.</w:t>
            </w:r>
          </w:p>
          <w:p>
            <w:r>
              <w:rPr>
                <w:sz w:val="17"/>
              </w:rPr>
              <w:t>• LSTM and NARX — the long-memory networks — are best, and consistently beat FNN, Elman and Jordan.</w:t>
            </w:r>
          </w:p>
          <w:p>
            <w:r>
              <w:rPr>
                <w:sz w:val="17"/>
              </w:rPr>
              <w:t>• Their advantage also holds in the highly volatile 2007–09 period.</w:t>
            </w:r>
          </w:p>
        </w:tc>
      </w:tr>
      <w:tr>
        <w:tc>
          <w:tcPr>
            <w:tcW w:type="dxa" w:w="1587"/>
          </w:tcPr>
          <w:p>
            <w:r>
              <w:rPr>
                <w:b/>
                <w:sz w:val="17"/>
              </w:rPr>
              <w:t>Limitations</w:t>
            </w:r>
          </w:p>
        </w:tc>
        <w:tc>
          <w:tcPr>
            <w:tcW w:type="dxa" w:w="8050"/>
          </w:tcPr>
          <w:p>
            <w:r>
              <w:rPr>
                <w:sz w:val="17"/>
              </w:rPr>
              <w:t>Monthly data (yours is daily/weekly); US only; no explanation of predictions.</w:t>
            </w:r>
          </w:p>
        </w:tc>
      </w:tr>
      <w:tr>
        <w:tc>
          <w:tcPr>
            <w:tcW w:type="dxa" w:w="1587"/>
            <w:shd w:val="clear" w:color="auto" w:fill="EAF1FB"/>
          </w:tcPr>
          <w:p>
            <w:r>
              <w:rPr>
                <w:b/>
                <w:sz w:val="17"/>
              </w:rPr>
              <w:t>How to use it</w:t>
            </w:r>
          </w:p>
        </w:tc>
        <w:tc>
          <w:tcPr>
            <w:tcW w:type="dxa" w:w="8050"/>
            <w:shd w:val="clear" w:color="auto" w:fill="EAF1FB"/>
          </w:tcPr>
          <w:p>
            <w:r>
              <w:rPr>
                <w:sz w:val="17"/>
              </w:rPr>
              <w:t>Main evidence for H1, especially for crises. Note the frequency difference.</w:t>
            </w:r>
          </w:p>
        </w:tc>
      </w:tr>
      <w:tr>
        <w:tc>
          <w:tcPr>
            <w:tcW w:type="dxa" w:w="1587"/>
          </w:tcPr>
          <w:p>
            <w:r>
              <w:rPr>
                <w:b/>
                <w:sz w:val="17"/>
              </w:rPr>
              <w:t>Feeds</w:t>
            </w:r>
          </w:p>
        </w:tc>
        <w:tc>
          <w:tcPr>
            <w:tcW w:type="dxa" w:w="8050"/>
          </w:tcPr>
          <w:p>
            <w:r>
              <w:rPr>
                <w:sz w:val="17"/>
              </w:rPr>
              <w:t>2.5; H1.</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Christensen, K., Siggaard, M. &amp; Veliyev, B. (2023) A machine learning approach to volatility forecasting. Journal of Financial Econometrics, 21(5), 1680–1727.</w:t>
            </w:r>
          </w:p>
        </w:tc>
      </w:tr>
      <w:tr>
        <w:tc>
          <w:tcPr>
            <w:tcW w:type="dxa" w:w="1587"/>
            <w:shd w:val="clear" w:color="auto" w:fill="D9EAD3"/>
          </w:tcPr>
          <w:p>
            <w:r>
              <w:rPr>
                <w:b/>
                <w:sz w:val="17"/>
              </w:rPr>
              <w:t>Source basis</w:t>
            </w:r>
          </w:p>
        </w:tc>
        <w:tc>
          <w:tcPr>
            <w:tcW w:type="dxa" w:w="8050"/>
            <w:shd w:val="clear" w:color="auto" w:fill="D9EAD3"/>
          </w:tcPr>
          <w:p>
            <w:r>
              <w:rPr>
                <w:sz w:val="17"/>
              </w:rPr>
              <w:t>Full text read in this session — facts checked against the paper</w:t>
            </w:r>
          </w:p>
        </w:tc>
      </w:tr>
      <w:tr>
        <w:tc>
          <w:tcPr>
            <w:tcW w:type="dxa" w:w="1587"/>
          </w:tcPr>
          <w:p>
            <w:r>
              <w:rPr>
                <w:b/>
                <w:sz w:val="17"/>
              </w:rPr>
              <w:t>Question</w:t>
            </w:r>
          </w:p>
        </w:tc>
        <w:tc>
          <w:tcPr>
            <w:tcW w:type="dxa" w:w="8050"/>
          </w:tcPr>
          <w:p>
            <w:r>
              <w:rPr>
                <w:sz w:val="17"/>
              </w:rPr>
              <w:t>How accurate is machine learning at forecasting realised variance compared with HAR models?</w:t>
            </w:r>
          </w:p>
        </w:tc>
      </w:tr>
      <w:tr>
        <w:tc>
          <w:tcPr>
            <w:tcW w:type="dxa" w:w="1587"/>
          </w:tcPr>
          <w:p>
            <w:r>
              <w:rPr>
                <w:b/>
                <w:sz w:val="17"/>
              </w:rPr>
              <w:t>Data</w:t>
            </w:r>
          </w:p>
        </w:tc>
        <w:tc>
          <w:tcPr>
            <w:tcW w:type="dxa" w:w="8050"/>
          </w:tcPr>
          <w:p>
            <w:r>
              <w:rPr>
                <w:sz w:val="17"/>
              </w:rPr>
              <w:t>DJIA constituents, 29 Jan 2001 – 31 Dec 2017 (4,257 trading days).</w:t>
            </w:r>
          </w:p>
        </w:tc>
      </w:tr>
      <w:tr>
        <w:tc>
          <w:tcPr>
            <w:tcW w:type="dxa" w:w="1587"/>
          </w:tcPr>
          <w:p>
            <w:r>
              <w:rPr>
                <w:b/>
                <w:sz w:val="17"/>
              </w:rPr>
              <w:t>Method</w:t>
            </w:r>
          </w:p>
        </w:tc>
        <w:tc>
          <w:tcPr>
            <w:tcW w:type="dxa" w:w="8050"/>
          </w:tcPr>
          <w:p>
            <w:r>
              <w:rPr>
                <w:sz w:val="17"/>
              </w:rPr>
              <w:t>Regularised regression, trees, random forest, gradient boosting, neural networks vs a suite of HAR models; minimal tuning; 1-day, 1-week, 1-month horizons; accumulated local effects (ALE) for importance.</w:t>
            </w:r>
          </w:p>
        </w:tc>
      </w:tr>
      <w:tr>
        <w:tc>
          <w:tcPr>
            <w:tcW w:type="dxa" w:w="1587"/>
          </w:tcPr>
          <w:p>
            <w:r>
              <w:rPr>
                <w:b/>
                <w:sz w:val="17"/>
              </w:rPr>
              <w:t>Key findings</w:t>
            </w:r>
          </w:p>
        </w:tc>
        <w:tc>
          <w:tcPr>
            <w:tcW w:type="dxa" w:w="8050"/>
          </w:tcPr>
          <w:p>
            <w:r>
              <w:rPr>
                <w:sz w:val="17"/>
              </w:rPr>
              <w:t>• ML is competitive and beats the HAR family even with only HAR’s own lags as inputs.</w:t>
            </w:r>
          </w:p>
          <w:p>
            <w:r>
              <w:rPr>
                <w:sz w:val="17"/>
              </w:rPr>
              <w:t>• Gains are minor for next-day forecasts but larger at weekly and monthly horizons (better long-memory capture).</w:t>
            </w:r>
          </w:p>
          <w:p>
            <w:r>
              <w:rPr>
                <w:sz w:val="17"/>
              </w:rPr>
              <w:t>• Random forest and neural networks are best; ML finds extra information in additional predictors.</w:t>
            </w:r>
          </w:p>
          <w:p>
            <w:r>
              <w:rPr>
                <w:sz w:val="17"/>
              </w:rPr>
              <w:t>• Models agree on the most important predictors but disagree on their ranking.</w:t>
            </w:r>
          </w:p>
          <w:p>
            <w:r>
              <w:rPr>
                <w:sz w:val="17"/>
              </w:rPr>
              <w:t>• Lower losses in a Value-at-Risk application, less significant.</w:t>
            </w:r>
          </w:p>
        </w:tc>
      </w:tr>
      <w:tr>
        <w:tc>
          <w:tcPr>
            <w:tcW w:type="dxa" w:w="1587"/>
          </w:tcPr>
          <w:p>
            <w:r>
              <w:rPr>
                <w:b/>
                <w:sz w:val="17"/>
              </w:rPr>
              <w:t>Limitations</w:t>
            </w:r>
          </w:p>
        </w:tc>
        <w:tc>
          <w:tcPr>
            <w:tcW w:type="dxa" w:w="8050"/>
          </w:tcPr>
          <w:p>
            <w:r>
              <w:rPr>
                <w:sz w:val="17"/>
              </w:rPr>
              <w:t>US large caps; intraday RV.</w:t>
            </w:r>
          </w:p>
        </w:tc>
      </w:tr>
      <w:tr>
        <w:tc>
          <w:tcPr>
            <w:tcW w:type="dxa" w:w="1587"/>
            <w:shd w:val="clear" w:color="auto" w:fill="EAF1FB"/>
          </w:tcPr>
          <w:p>
            <w:r>
              <w:rPr>
                <w:b/>
                <w:sz w:val="17"/>
              </w:rPr>
              <w:t>How to use it</w:t>
            </w:r>
          </w:p>
        </w:tc>
        <w:tc>
          <w:tcPr>
            <w:tcW w:type="dxa" w:w="8050"/>
            <w:shd w:val="clear" w:color="auto" w:fill="EAF1FB"/>
          </w:tcPr>
          <w:p>
            <w:r>
              <w:rPr>
                <w:sz w:val="17"/>
              </w:rPr>
              <w:t>Supports H1 and your weekly (5-day) target. The ranking-disagreement finding motivates your RQ4 stability test.</w:t>
            </w:r>
          </w:p>
        </w:tc>
      </w:tr>
      <w:tr>
        <w:tc>
          <w:tcPr>
            <w:tcW w:type="dxa" w:w="1587"/>
          </w:tcPr>
          <w:p>
            <w:r>
              <w:rPr>
                <w:b/>
                <w:sz w:val="17"/>
              </w:rPr>
              <w:t>Feeds</w:t>
            </w:r>
          </w:p>
        </w:tc>
        <w:tc>
          <w:tcPr>
            <w:tcW w:type="dxa" w:w="8050"/>
          </w:tcPr>
          <w:p>
            <w:r>
              <w:rPr>
                <w:sz w:val="17"/>
              </w:rPr>
              <w:t>2.5, 2.6; H1; H4.</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Bergmeir, C. &amp; Benítez, J. (2012) On the use of cross-validation for time series predictor evaluation. Information Sciences, 191, 192–213.</w:t>
            </w:r>
          </w:p>
        </w:tc>
      </w:tr>
      <w:tr>
        <w:tc>
          <w:tcPr>
            <w:tcW w:type="dxa" w:w="1587"/>
            <w:shd w:val="clear" w:color="auto" w:fill="F3F3F3"/>
          </w:tcPr>
          <w:p>
            <w:r>
              <w:rPr>
                <w:b/>
                <w:sz w:val="17"/>
              </w:rPr>
              <w:t>Source basis</w:t>
            </w:r>
          </w:p>
        </w:tc>
        <w:tc>
          <w:tcPr>
            <w:tcW w:type="dxa" w:w="8050"/>
            <w:shd w:val="clear" w:color="auto" w:fill="F3F3F3"/>
          </w:tcPr>
          <w:p>
            <w:r>
              <w:rPr>
                <w:sz w:val="17"/>
              </w:rPr>
              <w:t>Standard textbook knowledge, not re-read this session — confirm every detail before citing</w:t>
            </w:r>
          </w:p>
        </w:tc>
      </w:tr>
      <w:tr>
        <w:tc>
          <w:tcPr>
            <w:tcW w:type="dxa" w:w="1587"/>
          </w:tcPr>
          <w:p>
            <w:r>
              <w:rPr>
                <w:b/>
                <w:sz w:val="17"/>
              </w:rPr>
              <w:t>Question</w:t>
            </w:r>
          </w:p>
        </w:tc>
        <w:tc>
          <w:tcPr>
            <w:tcW w:type="dxa" w:w="8050"/>
          </w:tcPr>
          <w:p>
            <w:r>
              <w:rPr>
                <w:sz w:val="17"/>
              </w:rPr>
              <w:t>How should forecasting models be validated on time series?</w:t>
            </w:r>
          </w:p>
        </w:tc>
      </w:tr>
      <w:tr>
        <w:tc>
          <w:tcPr>
            <w:tcW w:type="dxa" w:w="1587"/>
          </w:tcPr>
          <w:p>
            <w:r>
              <w:rPr>
                <w:b/>
                <w:sz w:val="17"/>
              </w:rPr>
              <w:t>Data</w:t>
            </w:r>
          </w:p>
        </w:tc>
        <w:tc>
          <w:tcPr>
            <w:tcW w:type="dxa" w:w="8050"/>
          </w:tcPr>
          <w:p>
            <w:r>
              <w:rPr>
                <w:sz w:val="17"/>
              </w:rPr>
              <w:t>Simulations and real series.</w:t>
            </w:r>
          </w:p>
        </w:tc>
      </w:tr>
      <w:tr>
        <w:tc>
          <w:tcPr>
            <w:tcW w:type="dxa" w:w="1587"/>
          </w:tcPr>
          <w:p>
            <w:r>
              <w:rPr>
                <w:b/>
                <w:sz w:val="17"/>
              </w:rPr>
              <w:t>Method</w:t>
            </w:r>
          </w:p>
        </w:tc>
        <w:tc>
          <w:tcPr>
            <w:tcW w:type="dxa" w:w="8050"/>
          </w:tcPr>
          <w:p>
            <w:r>
              <w:rPr>
                <w:sz w:val="17"/>
              </w:rPr>
              <w:t>Comparison of validation schemes.</w:t>
            </w:r>
          </w:p>
        </w:tc>
      </w:tr>
      <w:tr>
        <w:tc>
          <w:tcPr>
            <w:tcW w:type="dxa" w:w="1587"/>
          </w:tcPr>
          <w:p>
            <w:r>
              <w:rPr>
                <w:b/>
                <w:sz w:val="17"/>
              </w:rPr>
              <w:t>Key findings</w:t>
            </w:r>
          </w:p>
        </w:tc>
        <w:tc>
          <w:tcPr>
            <w:tcW w:type="dxa" w:w="8050"/>
          </w:tcPr>
          <w:p>
            <w:r>
              <w:rPr>
                <w:sz w:val="17"/>
              </w:rPr>
              <w:t>• Random shuffling breaks time order; blocked/forward schemes are safer.</w:t>
            </w:r>
          </w:p>
        </w:tc>
      </w:tr>
      <w:tr>
        <w:tc>
          <w:tcPr>
            <w:tcW w:type="dxa" w:w="1587"/>
          </w:tcPr>
          <w:p>
            <w:r>
              <w:rPr>
                <w:b/>
                <w:sz w:val="17"/>
              </w:rPr>
              <w:t>Limitations</w:t>
            </w:r>
          </w:p>
        </w:tc>
        <w:tc>
          <w:tcPr>
            <w:tcW w:type="dxa" w:w="8050"/>
          </w:tcPr>
          <w:p>
            <w:r>
              <w:rPr>
                <w:sz w:val="17"/>
              </w:rPr>
              <w:t>Confirm details.</w:t>
            </w:r>
          </w:p>
        </w:tc>
      </w:tr>
      <w:tr>
        <w:tc>
          <w:tcPr>
            <w:tcW w:type="dxa" w:w="1587"/>
            <w:shd w:val="clear" w:color="auto" w:fill="EAF1FB"/>
          </w:tcPr>
          <w:p>
            <w:r>
              <w:rPr>
                <w:b/>
                <w:sz w:val="17"/>
              </w:rPr>
              <w:t>How to use it</w:t>
            </w:r>
          </w:p>
        </w:tc>
        <w:tc>
          <w:tcPr>
            <w:tcW w:type="dxa" w:w="8050"/>
            <w:shd w:val="clear" w:color="auto" w:fill="EAF1FB"/>
          </w:tcPr>
          <w:p>
            <w:r>
              <w:rPr>
                <w:sz w:val="17"/>
              </w:rPr>
              <w:t>Justifies walk-forward (expanding-window) evaluation.</w:t>
            </w:r>
          </w:p>
        </w:tc>
      </w:tr>
      <w:tr>
        <w:tc>
          <w:tcPr>
            <w:tcW w:type="dxa" w:w="1587"/>
          </w:tcPr>
          <w:p>
            <w:r>
              <w:rPr>
                <w:b/>
                <w:sz w:val="17"/>
              </w:rPr>
              <w:t>Feeds</w:t>
            </w:r>
          </w:p>
        </w:tc>
        <w:tc>
          <w:tcPr>
            <w:tcW w:type="dxa" w:w="8050"/>
          </w:tcPr>
          <w:p>
            <w:r>
              <w:rPr>
                <w:sz w:val="17"/>
              </w:rPr>
              <w:t>2.5; Chapter 3.</w:t>
            </w:r>
          </w:p>
        </w:tc>
      </w:tr>
    </w:tbl>
    <w:p>
      <w:pPr>
        <w:spacing w:after="60"/>
      </w:pPr>
    </w:p>
    <w:p>
      <w:pPr>
        <w:pStyle w:val="Heading2"/>
      </w:pPr>
      <w:r>
        <w:rPr>
          <w:color w:val="1F4E79"/>
        </w:rPr>
        <w:t>D5. Section 2.6 — Explaining ML forecasts</w:t>
      </w: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Lundberg, S. &amp; Lee, S.-I. (2017) A unified approach to interpreting model predictions. NeurIPS 30.</w:t>
            </w:r>
          </w:p>
        </w:tc>
      </w:tr>
      <w:tr>
        <w:tc>
          <w:tcPr>
            <w:tcW w:type="dxa" w:w="1587"/>
            <w:shd w:val="clear" w:color="auto" w:fill="D9EAD3"/>
          </w:tcPr>
          <w:p>
            <w:r>
              <w:rPr>
                <w:b/>
                <w:sz w:val="17"/>
              </w:rPr>
              <w:t>Source basis</w:t>
            </w:r>
          </w:p>
        </w:tc>
        <w:tc>
          <w:tcPr>
            <w:tcW w:type="dxa" w:w="8050"/>
            <w:shd w:val="clear" w:color="auto" w:fill="D9EAD3"/>
          </w:tcPr>
          <w:p>
            <w:r>
              <w:rPr>
                <w:sz w:val="17"/>
              </w:rPr>
              <w:t>Full text read in this session — facts checked against the paper</w:t>
            </w:r>
          </w:p>
        </w:tc>
      </w:tr>
      <w:tr>
        <w:tc>
          <w:tcPr>
            <w:tcW w:type="dxa" w:w="1587"/>
          </w:tcPr>
          <w:p>
            <w:r>
              <w:rPr>
                <w:b/>
                <w:sz w:val="17"/>
              </w:rPr>
              <w:t>Question</w:t>
            </w:r>
          </w:p>
        </w:tc>
        <w:tc>
          <w:tcPr>
            <w:tcW w:type="dxa" w:w="8050"/>
          </w:tcPr>
          <w:p>
            <w:r>
              <w:rPr>
                <w:sz w:val="17"/>
              </w:rPr>
              <w:t>Can the many explanation methods be unified on a sound theoretical basis?</w:t>
            </w:r>
          </w:p>
        </w:tc>
      </w:tr>
      <w:tr>
        <w:tc>
          <w:tcPr>
            <w:tcW w:type="dxa" w:w="1587"/>
          </w:tcPr>
          <w:p>
            <w:r>
              <w:rPr>
                <w:b/>
                <w:sz w:val="17"/>
              </w:rPr>
              <w:t>Data</w:t>
            </w:r>
          </w:p>
        </w:tc>
        <w:tc>
          <w:tcPr>
            <w:tcW w:type="dxa" w:w="8050"/>
          </w:tcPr>
          <w:p>
            <w:r>
              <w:rPr>
                <w:sz w:val="17"/>
              </w:rPr>
              <w:t>Theory plus experiments.</w:t>
            </w:r>
          </w:p>
        </w:tc>
      </w:tr>
      <w:tr>
        <w:tc>
          <w:tcPr>
            <w:tcW w:type="dxa" w:w="1587"/>
          </w:tcPr>
          <w:p>
            <w:r>
              <w:rPr>
                <w:b/>
                <w:sz w:val="17"/>
              </w:rPr>
              <w:t>Method</w:t>
            </w:r>
          </w:p>
        </w:tc>
        <w:tc>
          <w:tcPr>
            <w:tcW w:type="dxa" w:w="8050"/>
          </w:tcPr>
          <w:p>
            <w:r>
              <w:rPr>
                <w:sz w:val="17"/>
              </w:rPr>
              <w:t>Additive feature attribution framework based on Shapley values.</w:t>
            </w:r>
          </w:p>
        </w:tc>
      </w:tr>
      <w:tr>
        <w:tc>
          <w:tcPr>
            <w:tcW w:type="dxa" w:w="1587"/>
          </w:tcPr>
          <w:p>
            <w:r>
              <w:rPr>
                <w:b/>
                <w:sz w:val="17"/>
              </w:rPr>
              <w:t>Key findings</w:t>
            </w:r>
          </w:p>
        </w:tc>
        <w:tc>
          <w:tcPr>
            <w:tcW w:type="dxa" w:w="8050"/>
          </w:tcPr>
          <w:p>
            <w:r>
              <w:rPr>
                <w:sz w:val="17"/>
              </w:rPr>
              <w:t>• Defines a class of additive attribution methods that includes six earlier methods.</w:t>
            </w:r>
          </w:p>
          <w:p>
            <w:r>
              <w:rPr>
                <w:sz w:val="17"/>
              </w:rPr>
              <w:t>• Shows a unique solution with local accuracy, missingness and consistency: SHAP values.</w:t>
            </w:r>
          </w:p>
          <w:p>
            <w:r>
              <w:rPr>
                <w:sz w:val="17"/>
              </w:rPr>
              <w:t>• Estimators: Kernel SHAP (model-agnostic), Deep SHAP (DeepLIFT + Shapley), and others.</w:t>
            </w:r>
          </w:p>
          <w:p>
            <w:r>
              <w:rPr>
                <w:sz w:val="17"/>
              </w:rPr>
              <w:t>• Accuracy vs interpretability tension motivates the work.</w:t>
            </w:r>
          </w:p>
        </w:tc>
      </w:tr>
      <w:tr>
        <w:tc>
          <w:tcPr>
            <w:tcW w:type="dxa" w:w="1587"/>
          </w:tcPr>
          <w:p>
            <w:r>
              <w:rPr>
                <w:b/>
                <w:sz w:val="17"/>
              </w:rPr>
              <w:t>Limitations</w:t>
            </w:r>
          </w:p>
        </w:tc>
        <w:tc>
          <w:tcPr>
            <w:tcW w:type="dxa" w:w="8050"/>
          </w:tcPr>
          <w:p>
            <w:r>
              <w:rPr>
                <w:sz w:val="17"/>
              </w:rPr>
              <w:t>Exact Shapley values are expensive; estimators make assumptions (e.g., feature independence).</w:t>
            </w:r>
          </w:p>
        </w:tc>
      </w:tr>
      <w:tr>
        <w:tc>
          <w:tcPr>
            <w:tcW w:type="dxa" w:w="1587"/>
            <w:shd w:val="clear" w:color="auto" w:fill="EAF1FB"/>
          </w:tcPr>
          <w:p>
            <w:r>
              <w:rPr>
                <w:b/>
                <w:sz w:val="17"/>
              </w:rPr>
              <w:t>How to use it</w:t>
            </w:r>
          </w:p>
        </w:tc>
        <w:tc>
          <w:tcPr>
            <w:tcW w:type="dxa" w:w="8050"/>
            <w:shd w:val="clear" w:color="auto" w:fill="EAF1FB"/>
          </w:tcPr>
          <w:p>
            <w:r>
              <w:rPr>
                <w:sz w:val="17"/>
              </w:rPr>
              <w:t>Cite for SHAP’s definition and properties.</w:t>
            </w:r>
          </w:p>
        </w:tc>
      </w:tr>
      <w:tr>
        <w:tc>
          <w:tcPr>
            <w:tcW w:type="dxa" w:w="1587"/>
          </w:tcPr>
          <w:p>
            <w:r>
              <w:rPr>
                <w:b/>
                <w:sz w:val="17"/>
              </w:rPr>
              <w:t>Feeds</w:t>
            </w:r>
          </w:p>
        </w:tc>
        <w:tc>
          <w:tcPr>
            <w:tcW w:type="dxa" w:w="8050"/>
          </w:tcPr>
          <w:p>
            <w:r>
              <w:rPr>
                <w:sz w:val="17"/>
              </w:rPr>
              <w:t>2.6; Chapter 3.</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Sundararajan, M., Taly, A. &amp; Yan, Q. (2017) Axiomatic attribution for deep networks. ICML.</w:t>
            </w:r>
          </w:p>
        </w:tc>
      </w:tr>
      <w:tr>
        <w:tc>
          <w:tcPr>
            <w:tcW w:type="dxa" w:w="1587"/>
            <w:shd w:val="clear" w:color="auto" w:fill="D9EAD3"/>
          </w:tcPr>
          <w:p>
            <w:r>
              <w:rPr>
                <w:b/>
                <w:sz w:val="17"/>
              </w:rPr>
              <w:t>Source basis</w:t>
            </w:r>
          </w:p>
        </w:tc>
        <w:tc>
          <w:tcPr>
            <w:tcW w:type="dxa" w:w="8050"/>
            <w:shd w:val="clear" w:color="auto" w:fill="D9EAD3"/>
          </w:tcPr>
          <w:p>
            <w:r>
              <w:rPr>
                <w:sz w:val="17"/>
              </w:rPr>
              <w:t>Full text read in this session — facts checked against the paper</w:t>
            </w:r>
          </w:p>
        </w:tc>
      </w:tr>
      <w:tr>
        <w:tc>
          <w:tcPr>
            <w:tcW w:type="dxa" w:w="1587"/>
          </w:tcPr>
          <w:p>
            <w:r>
              <w:rPr>
                <w:b/>
                <w:sz w:val="17"/>
              </w:rPr>
              <w:t>Question</w:t>
            </w:r>
          </w:p>
        </w:tc>
        <w:tc>
          <w:tcPr>
            <w:tcW w:type="dxa" w:w="8050"/>
          </w:tcPr>
          <w:p>
            <w:r>
              <w:rPr>
                <w:sz w:val="17"/>
              </w:rPr>
              <w:t>What properties should attributions for deep networks satisfy?</w:t>
            </w:r>
          </w:p>
        </w:tc>
      </w:tr>
      <w:tr>
        <w:tc>
          <w:tcPr>
            <w:tcW w:type="dxa" w:w="1587"/>
          </w:tcPr>
          <w:p>
            <w:r>
              <w:rPr>
                <w:b/>
                <w:sz w:val="17"/>
              </w:rPr>
              <w:t>Data</w:t>
            </w:r>
          </w:p>
        </w:tc>
        <w:tc>
          <w:tcPr>
            <w:tcW w:type="dxa" w:w="8050"/>
          </w:tcPr>
          <w:p>
            <w:r>
              <w:rPr>
                <w:sz w:val="17"/>
              </w:rPr>
              <w:t>Image, text and chemistry models.</w:t>
            </w:r>
          </w:p>
        </w:tc>
      </w:tr>
      <w:tr>
        <w:tc>
          <w:tcPr>
            <w:tcW w:type="dxa" w:w="1587"/>
          </w:tcPr>
          <w:p>
            <w:r>
              <w:rPr>
                <w:b/>
                <w:sz w:val="17"/>
              </w:rPr>
              <w:t>Method</w:t>
            </w:r>
          </w:p>
        </w:tc>
        <w:tc>
          <w:tcPr>
            <w:tcW w:type="dxa" w:w="8050"/>
          </w:tcPr>
          <w:p>
            <w:r>
              <w:rPr>
                <w:sz w:val="17"/>
              </w:rPr>
              <w:t>Axioms and the Integrated Gradients method.</w:t>
            </w:r>
          </w:p>
        </w:tc>
      </w:tr>
      <w:tr>
        <w:tc>
          <w:tcPr>
            <w:tcW w:type="dxa" w:w="1587"/>
          </w:tcPr>
          <w:p>
            <w:r>
              <w:rPr>
                <w:b/>
                <w:sz w:val="17"/>
              </w:rPr>
              <w:t>Key findings</w:t>
            </w:r>
          </w:p>
        </w:tc>
        <w:tc>
          <w:tcPr>
            <w:tcW w:type="dxa" w:w="8050"/>
          </w:tcPr>
          <w:p>
            <w:r>
              <w:rPr>
                <w:sz w:val="17"/>
              </w:rPr>
              <w:t>• Two axioms — Sensitivity and Implementation Invariance — are violated by most earlier methods.</w:t>
            </w:r>
          </w:p>
          <w:p>
            <w:r>
              <w:rPr>
                <w:sz w:val="17"/>
              </w:rPr>
              <w:t>• Integrated Gradients satisfies them, needs only gradient calls and no change to the network.</w:t>
            </w:r>
          </w:p>
          <w:p>
            <w:r>
              <w:rPr>
                <w:sz w:val="17"/>
              </w:rPr>
              <w:t>• Does not explain interactions between features.</w:t>
            </w:r>
          </w:p>
        </w:tc>
      </w:tr>
      <w:tr>
        <w:tc>
          <w:tcPr>
            <w:tcW w:type="dxa" w:w="1587"/>
          </w:tcPr>
          <w:p>
            <w:r>
              <w:rPr>
                <w:b/>
                <w:sz w:val="17"/>
              </w:rPr>
              <w:t>Limitations</w:t>
            </w:r>
          </w:p>
        </w:tc>
        <w:tc>
          <w:tcPr>
            <w:tcW w:type="dxa" w:w="8050"/>
          </w:tcPr>
          <w:p>
            <w:r>
              <w:rPr>
                <w:sz w:val="17"/>
              </w:rPr>
              <w:t>Result depends on the baseline chosen.</w:t>
            </w:r>
          </w:p>
        </w:tc>
      </w:tr>
      <w:tr>
        <w:tc>
          <w:tcPr>
            <w:tcW w:type="dxa" w:w="1587"/>
            <w:shd w:val="clear" w:color="auto" w:fill="EAF1FB"/>
          </w:tcPr>
          <w:p>
            <w:r>
              <w:rPr>
                <w:b/>
                <w:sz w:val="17"/>
              </w:rPr>
              <w:t>How to use it</w:t>
            </w:r>
          </w:p>
        </w:tc>
        <w:tc>
          <w:tcPr>
            <w:tcW w:type="dxa" w:w="8050"/>
            <w:shd w:val="clear" w:color="auto" w:fill="EAF1FB"/>
          </w:tcPr>
          <w:p>
            <w:r>
              <w:rPr>
                <w:sz w:val="17"/>
              </w:rPr>
              <w:t>Theoretical basis for gradient-based SHAP on your LSTM.</w:t>
            </w:r>
          </w:p>
        </w:tc>
      </w:tr>
      <w:tr>
        <w:tc>
          <w:tcPr>
            <w:tcW w:type="dxa" w:w="1587"/>
          </w:tcPr>
          <w:p>
            <w:r>
              <w:rPr>
                <w:b/>
                <w:sz w:val="17"/>
              </w:rPr>
              <w:t>Feeds</w:t>
            </w:r>
          </w:p>
        </w:tc>
        <w:tc>
          <w:tcPr>
            <w:tcW w:type="dxa" w:w="8050"/>
          </w:tcPr>
          <w:p>
            <w:r>
              <w:rPr>
                <w:sz w:val="17"/>
              </w:rPr>
              <w:t>2.6.</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Erion, G. et al. (2021) Improving performance of deep learning models with axiomatic attribution priors and expected gradients. Nature Machine Intelligence, 3, 620–631.</w:t>
            </w:r>
          </w:p>
        </w:tc>
      </w:tr>
      <w:tr>
        <w:tc>
          <w:tcPr>
            <w:tcW w:type="dxa" w:w="1587"/>
            <w:shd w:val="clear" w:color="auto" w:fill="D9EAD3"/>
          </w:tcPr>
          <w:p>
            <w:r>
              <w:rPr>
                <w:b/>
                <w:sz w:val="17"/>
              </w:rPr>
              <w:t>Source basis</w:t>
            </w:r>
          </w:p>
        </w:tc>
        <w:tc>
          <w:tcPr>
            <w:tcW w:type="dxa" w:w="8050"/>
            <w:shd w:val="clear" w:color="auto" w:fill="D9EAD3"/>
          </w:tcPr>
          <w:p>
            <w:r>
              <w:rPr>
                <w:sz w:val="17"/>
              </w:rPr>
              <w:t>Full text read in this session — facts checked against the paper</w:t>
            </w:r>
          </w:p>
        </w:tc>
      </w:tr>
      <w:tr>
        <w:tc>
          <w:tcPr>
            <w:tcW w:type="dxa" w:w="1587"/>
          </w:tcPr>
          <w:p>
            <w:r>
              <w:rPr>
                <w:b/>
                <w:sz w:val="17"/>
              </w:rPr>
              <w:t>Question</w:t>
            </w:r>
          </w:p>
        </w:tc>
        <w:tc>
          <w:tcPr>
            <w:tcW w:type="dxa" w:w="8050"/>
          </w:tcPr>
          <w:p>
            <w:r>
              <w:rPr>
                <w:sz w:val="17"/>
              </w:rPr>
              <w:t>Can a fast attribution method satisfy the axioms, and can attributions improve training?</w:t>
            </w:r>
          </w:p>
        </w:tc>
      </w:tr>
      <w:tr>
        <w:tc>
          <w:tcPr>
            <w:tcW w:type="dxa" w:w="1587"/>
          </w:tcPr>
          <w:p>
            <w:r>
              <w:rPr>
                <w:b/>
                <w:sz w:val="17"/>
              </w:rPr>
              <w:t>Data</w:t>
            </w:r>
          </w:p>
        </w:tc>
        <w:tc>
          <w:tcPr>
            <w:tcW w:type="dxa" w:w="8050"/>
          </w:tcPr>
          <w:p>
            <w:r>
              <w:rPr>
                <w:sz w:val="17"/>
              </w:rPr>
              <w:t>Images, genomics, health data.</w:t>
            </w:r>
          </w:p>
        </w:tc>
      </w:tr>
      <w:tr>
        <w:tc>
          <w:tcPr>
            <w:tcW w:type="dxa" w:w="1587"/>
          </w:tcPr>
          <w:p>
            <w:r>
              <w:rPr>
                <w:b/>
                <w:sz w:val="17"/>
              </w:rPr>
              <w:t>Method</w:t>
            </w:r>
          </w:p>
        </w:tc>
        <w:tc>
          <w:tcPr>
            <w:tcW w:type="dxa" w:w="8050"/>
          </w:tcPr>
          <w:p>
            <w:r>
              <w:rPr>
                <w:sz w:val="17"/>
              </w:rPr>
              <w:t>Expected gradients (IG averaged over baselines from the data).</w:t>
            </w:r>
          </w:p>
        </w:tc>
      </w:tr>
      <w:tr>
        <w:tc>
          <w:tcPr>
            <w:tcW w:type="dxa" w:w="1587"/>
          </w:tcPr>
          <w:p>
            <w:r>
              <w:rPr>
                <w:b/>
                <w:sz w:val="17"/>
              </w:rPr>
              <w:t>Key findings</w:t>
            </w:r>
          </w:p>
        </w:tc>
        <w:tc>
          <w:tcPr>
            <w:tcW w:type="dxa" w:w="8050"/>
          </w:tcPr>
          <w:p>
            <w:r>
              <w:rPr>
                <w:sz w:val="17"/>
              </w:rPr>
              <w:t>• Expected gradients satisfies key axioms such as completeness and implementation invariance.</w:t>
            </w:r>
          </w:p>
          <w:p>
            <w:r>
              <w:rPr>
                <w:sz w:val="17"/>
              </w:rPr>
              <w:t>• Using it in training (attribution priors) improves performance.</w:t>
            </w:r>
          </w:p>
        </w:tc>
      </w:tr>
      <w:tr>
        <w:tc>
          <w:tcPr>
            <w:tcW w:type="dxa" w:w="1587"/>
          </w:tcPr>
          <w:p>
            <w:r>
              <w:rPr>
                <w:b/>
                <w:sz w:val="17"/>
              </w:rPr>
              <w:t>Limitations</w:t>
            </w:r>
          </w:p>
        </w:tc>
        <w:tc>
          <w:tcPr>
            <w:tcW w:type="dxa" w:w="8050"/>
          </w:tcPr>
          <w:p>
            <w:r>
              <w:rPr>
                <w:sz w:val="17"/>
              </w:rPr>
              <w:t>Main focus is training, not explanation per se.</w:t>
            </w:r>
          </w:p>
        </w:tc>
      </w:tr>
      <w:tr>
        <w:tc>
          <w:tcPr>
            <w:tcW w:type="dxa" w:w="1587"/>
            <w:shd w:val="clear" w:color="auto" w:fill="EAF1FB"/>
          </w:tcPr>
          <w:p>
            <w:r>
              <w:rPr>
                <w:b/>
                <w:sz w:val="17"/>
              </w:rPr>
              <w:t>How to use it</w:t>
            </w:r>
          </w:p>
        </w:tc>
        <w:tc>
          <w:tcPr>
            <w:tcW w:type="dxa" w:w="8050"/>
            <w:shd w:val="clear" w:color="auto" w:fill="EAF1FB"/>
          </w:tcPr>
          <w:p>
            <w:r>
              <w:rPr>
                <w:sz w:val="17"/>
              </w:rPr>
              <w:t>Justifies GradientShap with a background sample of real training windows.</w:t>
            </w:r>
          </w:p>
        </w:tc>
      </w:tr>
      <w:tr>
        <w:tc>
          <w:tcPr>
            <w:tcW w:type="dxa" w:w="1587"/>
          </w:tcPr>
          <w:p>
            <w:r>
              <w:rPr>
                <w:b/>
                <w:sz w:val="17"/>
              </w:rPr>
              <w:t>Feeds</w:t>
            </w:r>
          </w:p>
        </w:tc>
        <w:tc>
          <w:tcPr>
            <w:tcW w:type="dxa" w:w="8050"/>
          </w:tcPr>
          <w:p>
            <w:r>
              <w:rPr>
                <w:sz w:val="17"/>
              </w:rPr>
              <w:t>2.6; Chapter 3.</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Aas, K., Jullum, M. &amp; Løland, A. (2021) Explaining individual predictions when features are dependent. Artificial Intelligence, 298, 103502.</w:t>
            </w:r>
          </w:p>
        </w:tc>
      </w:tr>
      <w:tr>
        <w:tc>
          <w:tcPr>
            <w:tcW w:type="dxa" w:w="1587"/>
            <w:shd w:val="clear" w:color="auto" w:fill="D9EAD3"/>
          </w:tcPr>
          <w:p>
            <w:r>
              <w:rPr>
                <w:b/>
                <w:sz w:val="17"/>
              </w:rPr>
              <w:t>Source basis</w:t>
            </w:r>
          </w:p>
        </w:tc>
        <w:tc>
          <w:tcPr>
            <w:tcW w:type="dxa" w:w="8050"/>
            <w:shd w:val="clear" w:color="auto" w:fill="D9EAD3"/>
          </w:tcPr>
          <w:p>
            <w:r>
              <w:rPr>
                <w:sz w:val="17"/>
              </w:rPr>
              <w:t>Full text read in this session — facts checked against the paper</w:t>
            </w:r>
          </w:p>
        </w:tc>
      </w:tr>
      <w:tr>
        <w:tc>
          <w:tcPr>
            <w:tcW w:type="dxa" w:w="1587"/>
          </w:tcPr>
          <w:p>
            <w:r>
              <w:rPr>
                <w:b/>
                <w:sz w:val="17"/>
              </w:rPr>
              <w:t>Question</w:t>
            </w:r>
          </w:p>
        </w:tc>
        <w:tc>
          <w:tcPr>
            <w:tcW w:type="dxa" w:w="8050"/>
          </w:tcPr>
          <w:p>
            <w:r>
              <w:rPr>
                <w:sz w:val="17"/>
              </w:rPr>
              <w:t>What goes wrong with Kernel SHAP when features are correlated?</w:t>
            </w:r>
          </w:p>
        </w:tc>
      </w:tr>
      <w:tr>
        <w:tc>
          <w:tcPr>
            <w:tcW w:type="dxa" w:w="1587"/>
          </w:tcPr>
          <w:p>
            <w:r>
              <w:rPr>
                <w:b/>
                <w:sz w:val="17"/>
              </w:rPr>
              <w:t>Data</w:t>
            </w:r>
          </w:p>
        </w:tc>
        <w:tc>
          <w:tcPr>
            <w:tcW w:type="dxa" w:w="8050"/>
          </w:tcPr>
          <w:p>
            <w:r>
              <w:rPr>
                <w:sz w:val="17"/>
              </w:rPr>
              <w:t>Simulated linear and non-linear models.</w:t>
            </w:r>
          </w:p>
        </w:tc>
      </w:tr>
      <w:tr>
        <w:tc>
          <w:tcPr>
            <w:tcW w:type="dxa" w:w="1587"/>
          </w:tcPr>
          <w:p>
            <w:r>
              <w:rPr>
                <w:b/>
                <w:sz w:val="17"/>
              </w:rPr>
              <w:t>Method</w:t>
            </w:r>
          </w:p>
        </w:tc>
        <w:tc>
          <w:tcPr>
            <w:tcW w:type="dxa" w:w="8050"/>
          </w:tcPr>
          <w:p>
            <w:r>
              <w:rPr>
                <w:sz w:val="17"/>
              </w:rPr>
              <w:t>Extensions of Kernel SHAP for dependent features.</w:t>
            </w:r>
          </w:p>
        </w:tc>
      </w:tr>
      <w:tr>
        <w:tc>
          <w:tcPr>
            <w:tcW w:type="dxa" w:w="1587"/>
          </w:tcPr>
          <w:p>
            <w:r>
              <w:rPr>
                <w:b/>
                <w:sz w:val="17"/>
              </w:rPr>
              <w:t>Key findings</w:t>
            </w:r>
          </w:p>
        </w:tc>
        <w:tc>
          <w:tcPr>
            <w:tcW w:type="dxa" w:w="8050"/>
          </w:tcPr>
          <w:p>
            <w:r>
              <w:rPr>
                <w:sz w:val="17"/>
              </w:rPr>
              <w:t>• Kernel SHAP assumes independent features, which can give very wrong explanations — even for linear models.</w:t>
            </w:r>
          </w:p>
          <w:p>
            <w:r>
              <w:rPr>
                <w:sz w:val="17"/>
              </w:rPr>
              <w:t>• Their dependence-aware versions approximate true Shapley values more accurately.</w:t>
            </w:r>
          </w:p>
        </w:tc>
      </w:tr>
      <w:tr>
        <w:tc>
          <w:tcPr>
            <w:tcW w:type="dxa" w:w="1587"/>
          </w:tcPr>
          <w:p>
            <w:r>
              <w:rPr>
                <w:b/>
                <w:sz w:val="17"/>
              </w:rPr>
              <w:t>Limitations</w:t>
            </w:r>
          </w:p>
        </w:tc>
        <w:tc>
          <w:tcPr>
            <w:tcW w:type="dxa" w:w="8050"/>
          </w:tcPr>
          <w:p>
            <w:r>
              <w:rPr>
                <w:sz w:val="17"/>
              </w:rPr>
              <w:t>Computationally heavier.</w:t>
            </w:r>
          </w:p>
        </w:tc>
      </w:tr>
      <w:tr>
        <w:tc>
          <w:tcPr>
            <w:tcW w:type="dxa" w:w="1587"/>
            <w:shd w:val="clear" w:color="auto" w:fill="EAF1FB"/>
          </w:tcPr>
          <w:p>
            <w:r>
              <w:rPr>
                <w:b/>
                <w:sz w:val="17"/>
              </w:rPr>
              <w:t>How to use it</w:t>
            </w:r>
          </w:p>
        </w:tc>
        <w:tc>
          <w:tcPr>
            <w:tcW w:type="dxa" w:w="8050"/>
            <w:shd w:val="clear" w:color="auto" w:fill="EAF1FB"/>
          </w:tcPr>
          <w:p>
            <w:r>
              <w:rPr>
                <w:sz w:val="17"/>
              </w:rPr>
              <w:t>Justifies channel grouping and the Nasdaq-excess-return design.</w:t>
            </w:r>
          </w:p>
        </w:tc>
      </w:tr>
      <w:tr>
        <w:tc>
          <w:tcPr>
            <w:tcW w:type="dxa" w:w="1587"/>
          </w:tcPr>
          <w:p>
            <w:r>
              <w:rPr>
                <w:b/>
                <w:sz w:val="17"/>
              </w:rPr>
              <w:t>Feeds</w:t>
            </w:r>
          </w:p>
        </w:tc>
        <w:tc>
          <w:tcPr>
            <w:tcW w:type="dxa" w:w="8050"/>
          </w:tcPr>
          <w:p>
            <w:r>
              <w:rPr>
                <w:sz w:val="17"/>
              </w:rPr>
              <w:t>2.6; H4.</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Kumar, I., Venkatasubramanian, S., Scheidegger, C. &amp; Friedler, S. (2020) Problems with Shapley-value-based explanations as feature importance measures. ICML.</w:t>
            </w:r>
          </w:p>
        </w:tc>
      </w:tr>
      <w:tr>
        <w:tc>
          <w:tcPr>
            <w:tcW w:type="dxa" w:w="1587"/>
            <w:shd w:val="clear" w:color="auto" w:fill="D9EAD3"/>
          </w:tcPr>
          <w:p>
            <w:r>
              <w:rPr>
                <w:b/>
                <w:sz w:val="17"/>
              </w:rPr>
              <w:t>Source basis</w:t>
            </w:r>
          </w:p>
        </w:tc>
        <w:tc>
          <w:tcPr>
            <w:tcW w:type="dxa" w:w="8050"/>
            <w:shd w:val="clear" w:color="auto" w:fill="D9EAD3"/>
          </w:tcPr>
          <w:p>
            <w:r>
              <w:rPr>
                <w:sz w:val="17"/>
              </w:rPr>
              <w:t>Full text read in this session — facts checked against the paper</w:t>
            </w:r>
          </w:p>
        </w:tc>
      </w:tr>
      <w:tr>
        <w:tc>
          <w:tcPr>
            <w:tcW w:type="dxa" w:w="1587"/>
          </w:tcPr>
          <w:p>
            <w:r>
              <w:rPr>
                <w:b/>
                <w:sz w:val="17"/>
              </w:rPr>
              <w:t>Question</w:t>
            </w:r>
          </w:p>
        </w:tc>
        <w:tc>
          <w:tcPr>
            <w:tcW w:type="dxa" w:w="8050"/>
          </w:tcPr>
          <w:p>
            <w:r>
              <w:rPr>
                <w:sz w:val="17"/>
              </w:rPr>
              <w:t>Are Shapley values a sound general answer to ‘feature importance’?</w:t>
            </w:r>
          </w:p>
        </w:tc>
      </w:tr>
      <w:tr>
        <w:tc>
          <w:tcPr>
            <w:tcW w:type="dxa" w:w="1587"/>
          </w:tcPr>
          <w:p>
            <w:r>
              <w:rPr>
                <w:b/>
                <w:sz w:val="17"/>
              </w:rPr>
              <w:t>Data</w:t>
            </w:r>
          </w:p>
        </w:tc>
        <w:tc>
          <w:tcPr>
            <w:tcW w:type="dxa" w:w="8050"/>
          </w:tcPr>
          <w:p>
            <w:r>
              <w:rPr>
                <w:sz w:val="17"/>
              </w:rPr>
              <w:t>Theoretical analysis.</w:t>
            </w:r>
          </w:p>
        </w:tc>
      </w:tr>
      <w:tr>
        <w:tc>
          <w:tcPr>
            <w:tcW w:type="dxa" w:w="1587"/>
          </w:tcPr>
          <w:p>
            <w:r>
              <w:rPr>
                <w:b/>
                <w:sz w:val="17"/>
              </w:rPr>
              <w:t>Method</w:t>
            </w:r>
          </w:p>
        </w:tc>
        <w:tc>
          <w:tcPr>
            <w:tcW w:type="dxa" w:w="8050"/>
          </w:tcPr>
          <w:p>
            <w:r>
              <w:rPr>
                <w:sz w:val="17"/>
              </w:rPr>
              <w:t>Mathematical and human-centred critique.</w:t>
            </w:r>
          </w:p>
        </w:tc>
      </w:tr>
      <w:tr>
        <w:tc>
          <w:tcPr>
            <w:tcW w:type="dxa" w:w="1587"/>
          </w:tcPr>
          <w:p>
            <w:r>
              <w:rPr>
                <w:b/>
                <w:sz w:val="17"/>
              </w:rPr>
              <w:t>Key findings</w:t>
            </w:r>
          </w:p>
        </w:tc>
        <w:tc>
          <w:tcPr>
            <w:tcW w:type="dxa" w:w="8050"/>
          </w:tcPr>
          <w:p>
            <w:r>
              <w:rPr>
                <w:sz w:val="17"/>
              </w:rPr>
              <w:t>• Mathematical problems arise when Shapley values are used for feature importance.</w:t>
            </w:r>
          </w:p>
          <w:p>
            <w:r>
              <w:rPr>
                <w:sz w:val="17"/>
              </w:rPr>
              <w:t>• Fixing them requires extra complexity such as causal reasoning.</w:t>
            </w:r>
          </w:p>
          <w:p>
            <w:r>
              <w:rPr>
                <w:sz w:val="17"/>
              </w:rPr>
              <w:t>• Shapley values do not naturally meet human explanation goals; approaches should fit specific use cases.</w:t>
            </w:r>
          </w:p>
        </w:tc>
      </w:tr>
      <w:tr>
        <w:tc>
          <w:tcPr>
            <w:tcW w:type="dxa" w:w="1587"/>
          </w:tcPr>
          <w:p>
            <w:r>
              <w:rPr>
                <w:b/>
                <w:sz w:val="17"/>
              </w:rPr>
              <w:t>Limitations</w:t>
            </w:r>
          </w:p>
        </w:tc>
        <w:tc>
          <w:tcPr>
            <w:tcW w:type="dxa" w:w="8050"/>
          </w:tcPr>
          <w:p>
            <w:r>
              <w:rPr>
                <w:sz w:val="17"/>
              </w:rPr>
              <w:t>Critique, not an alternative method.</w:t>
            </w:r>
          </w:p>
        </w:tc>
      </w:tr>
      <w:tr>
        <w:tc>
          <w:tcPr>
            <w:tcW w:type="dxa" w:w="1587"/>
            <w:shd w:val="clear" w:color="auto" w:fill="EAF1FB"/>
          </w:tcPr>
          <w:p>
            <w:r>
              <w:rPr>
                <w:b/>
                <w:sz w:val="17"/>
              </w:rPr>
              <w:t>How to use it</w:t>
            </w:r>
          </w:p>
        </w:tc>
        <w:tc>
          <w:tcPr>
            <w:tcW w:type="dxa" w:w="8050"/>
            <w:shd w:val="clear" w:color="auto" w:fill="EAF1FB"/>
          </w:tcPr>
          <w:p>
            <w:r>
              <w:rPr>
                <w:sz w:val="17"/>
              </w:rPr>
              <w:t>Your main ‘limits of SHAP’ source; supports the interpretation rule.</w:t>
            </w:r>
          </w:p>
        </w:tc>
      </w:tr>
      <w:tr>
        <w:tc>
          <w:tcPr>
            <w:tcW w:type="dxa" w:w="1587"/>
          </w:tcPr>
          <w:p>
            <w:r>
              <w:rPr>
                <w:b/>
                <w:sz w:val="17"/>
              </w:rPr>
              <w:t>Feeds</w:t>
            </w:r>
          </w:p>
        </w:tc>
        <w:tc>
          <w:tcPr>
            <w:tcW w:type="dxa" w:w="8050"/>
          </w:tcPr>
          <w:p>
            <w:r>
              <w:rPr>
                <w:sz w:val="17"/>
              </w:rPr>
              <w:t>2.6; Limitations.</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Rudin, C. (2019) Stop explaining black box machine learning models for high stakes decisions and use interpretable models instead. Nature Machine Intelligence, 1, 206–215.</w:t>
            </w:r>
          </w:p>
        </w:tc>
      </w:tr>
      <w:tr>
        <w:tc>
          <w:tcPr>
            <w:tcW w:type="dxa" w:w="1587"/>
            <w:shd w:val="clear" w:color="auto" w:fill="D9EAD3"/>
          </w:tcPr>
          <w:p>
            <w:r>
              <w:rPr>
                <w:b/>
                <w:sz w:val="17"/>
              </w:rPr>
              <w:t>Source basis</w:t>
            </w:r>
          </w:p>
        </w:tc>
        <w:tc>
          <w:tcPr>
            <w:tcW w:type="dxa" w:w="8050"/>
            <w:shd w:val="clear" w:color="auto" w:fill="D9EAD3"/>
          </w:tcPr>
          <w:p>
            <w:r>
              <w:rPr>
                <w:sz w:val="17"/>
              </w:rPr>
              <w:t>Full text read in this session — facts checked against the paper</w:t>
            </w:r>
          </w:p>
        </w:tc>
      </w:tr>
      <w:tr>
        <w:tc>
          <w:tcPr>
            <w:tcW w:type="dxa" w:w="1587"/>
          </w:tcPr>
          <w:p>
            <w:r>
              <w:rPr>
                <w:b/>
                <w:sz w:val="17"/>
              </w:rPr>
              <w:t>Question</w:t>
            </w:r>
          </w:p>
        </w:tc>
        <w:tc>
          <w:tcPr>
            <w:tcW w:type="dxa" w:w="8050"/>
          </w:tcPr>
          <w:p>
            <w:r>
              <w:rPr>
                <w:sz w:val="17"/>
              </w:rPr>
              <w:t>Should we explain black boxes or build interpretable models?</w:t>
            </w:r>
          </w:p>
        </w:tc>
      </w:tr>
      <w:tr>
        <w:tc>
          <w:tcPr>
            <w:tcW w:type="dxa" w:w="1587"/>
          </w:tcPr>
          <w:p>
            <w:r>
              <w:rPr>
                <w:b/>
                <w:sz w:val="17"/>
              </w:rPr>
              <w:t>Data</w:t>
            </w:r>
          </w:p>
        </w:tc>
        <w:tc>
          <w:tcPr>
            <w:tcW w:type="dxa" w:w="8050"/>
          </w:tcPr>
          <w:p>
            <w:r>
              <w:rPr>
                <w:sz w:val="17"/>
              </w:rPr>
              <w:t>Examples from criminal justice, healthcare and more.</w:t>
            </w:r>
          </w:p>
        </w:tc>
      </w:tr>
      <w:tr>
        <w:tc>
          <w:tcPr>
            <w:tcW w:type="dxa" w:w="1587"/>
          </w:tcPr>
          <w:p>
            <w:r>
              <w:rPr>
                <w:b/>
                <w:sz w:val="17"/>
              </w:rPr>
              <w:t>Method</w:t>
            </w:r>
          </w:p>
        </w:tc>
        <w:tc>
          <w:tcPr>
            <w:tcW w:type="dxa" w:w="8050"/>
          </w:tcPr>
          <w:p>
            <w:r>
              <w:rPr>
                <w:sz w:val="17"/>
              </w:rPr>
              <w:t>Position paper.</w:t>
            </w:r>
          </w:p>
        </w:tc>
      </w:tr>
      <w:tr>
        <w:tc>
          <w:tcPr>
            <w:tcW w:type="dxa" w:w="1587"/>
          </w:tcPr>
          <w:p>
            <w:r>
              <w:rPr>
                <w:b/>
                <w:sz w:val="17"/>
              </w:rPr>
              <w:t>Key findings</w:t>
            </w:r>
          </w:p>
        </w:tc>
        <w:tc>
          <w:tcPr>
            <w:tcW w:type="dxa" w:w="8050"/>
          </w:tcPr>
          <w:p>
            <w:r>
              <w:rPr>
                <w:sz w:val="17"/>
              </w:rPr>
              <w:t>• Explaining black boxes in high-stakes settings can perpetuate bad practice and cause harm.</w:t>
            </w:r>
          </w:p>
          <w:p>
            <w:r>
              <w:rPr>
                <w:sz w:val="17"/>
              </w:rPr>
              <w:t>• Inherently interpretable models should be preferred where possible.</w:t>
            </w:r>
          </w:p>
        </w:tc>
      </w:tr>
      <w:tr>
        <w:tc>
          <w:tcPr>
            <w:tcW w:type="dxa" w:w="1587"/>
          </w:tcPr>
          <w:p>
            <w:r>
              <w:rPr>
                <w:b/>
                <w:sz w:val="17"/>
              </w:rPr>
              <w:t>Limitations</w:t>
            </w:r>
          </w:p>
        </w:tc>
        <w:tc>
          <w:tcPr>
            <w:tcW w:type="dxa" w:w="8050"/>
          </w:tcPr>
          <w:p>
            <w:r>
              <w:rPr>
                <w:sz w:val="17"/>
              </w:rPr>
              <w:t>Argumentative.</w:t>
            </w:r>
          </w:p>
        </w:tc>
      </w:tr>
      <w:tr>
        <w:tc>
          <w:tcPr>
            <w:tcW w:type="dxa" w:w="1587"/>
            <w:shd w:val="clear" w:color="auto" w:fill="EAF1FB"/>
          </w:tcPr>
          <w:p>
            <w:r>
              <w:rPr>
                <w:b/>
                <w:sz w:val="17"/>
              </w:rPr>
              <w:t>How to use it</w:t>
            </w:r>
          </w:p>
        </w:tc>
        <w:tc>
          <w:tcPr>
            <w:tcW w:type="dxa" w:w="8050"/>
            <w:shd w:val="clear" w:color="auto" w:fill="EAF1FB"/>
          </w:tcPr>
          <w:p>
            <w:r>
              <w:rPr>
                <w:sz w:val="17"/>
              </w:rPr>
              <w:t>The counter-argument to engage with. Your answer: interpretable benchmarks (HAR, GARCH) are included, and SHAP is used for research diagnosis, not automated decisions.</w:t>
            </w:r>
          </w:p>
        </w:tc>
      </w:tr>
      <w:tr>
        <w:tc>
          <w:tcPr>
            <w:tcW w:type="dxa" w:w="1587"/>
          </w:tcPr>
          <w:p>
            <w:r>
              <w:rPr>
                <w:b/>
                <w:sz w:val="17"/>
              </w:rPr>
              <w:t>Feeds</w:t>
            </w:r>
          </w:p>
        </w:tc>
        <w:tc>
          <w:tcPr>
            <w:tcW w:type="dxa" w:w="8050"/>
          </w:tcPr>
          <w:p>
            <w:r>
              <w:rPr>
                <w:sz w:val="17"/>
              </w:rPr>
              <w:t>2.6; Discussion.</w:t>
            </w:r>
          </w:p>
        </w:tc>
      </w:tr>
    </w:tbl>
    <w:p>
      <w:pPr>
        <w:spacing w:after="60"/>
      </w:pPr>
    </w:p>
    <w:tbl>
      <w:tblPr>
        <w:tblStyle w:val="TableGrid"/>
        <w:tblW w:type="auto" w:w="0"/>
        <w:jc w:val="center"/>
        <w:tblLook w:firstColumn="1" w:firstRow="1" w:lastColumn="0" w:lastRow="0" w:noHBand="0" w:noVBand="1" w:val="04A0"/>
      </w:tblPr>
      <w:tblGrid>
        <w:gridCol w:w="4986"/>
        <w:gridCol w:w="4986"/>
      </w:tblGrid>
      <w:tr>
        <w:tc>
          <w:tcPr>
            <w:tcW w:type="dxa" w:w="8050"/>
            <w:gridSpan w:val="2"/>
            <w:shd w:val="clear" w:color="auto" w:fill="1F4E79"/>
          </w:tcPr>
          <w:p>
            <w:r>
              <w:rPr>
                <w:b/>
                <w:color w:val="FFFFFF"/>
                <w:sz w:val="19"/>
              </w:rPr>
              <w:t>Ahmed, A. (2026) Explainable deep learning for financial volatility forecasting: an LSTM-Attention-SHAP framework with comprehensive validation. SSRN preprint 6301119.</w:t>
            </w:r>
          </w:p>
        </w:tc>
      </w:tr>
      <w:tr>
        <w:tc>
          <w:tcPr>
            <w:tcW w:type="dxa" w:w="1587"/>
            <w:shd w:val="clear" w:color="auto" w:fill="FFF2CC"/>
          </w:tcPr>
          <w:p>
            <w:r>
              <w:rPr>
                <w:b/>
                <w:sz w:val="17"/>
              </w:rPr>
              <w:t>Source basis</w:t>
            </w:r>
          </w:p>
        </w:tc>
        <w:tc>
          <w:tcPr>
            <w:tcW w:type="dxa" w:w="8050"/>
            <w:shd w:val="clear" w:color="auto" w:fill="FFF2CC"/>
          </w:tcPr>
          <w:p>
            <w:r>
              <w:rPr>
                <w:sz w:val="17"/>
              </w:rPr>
              <w:t>Abstract / official summary read in this session — read the full paper for details</w:t>
            </w:r>
          </w:p>
        </w:tc>
      </w:tr>
      <w:tr>
        <w:tc>
          <w:tcPr>
            <w:tcW w:type="dxa" w:w="1587"/>
          </w:tcPr>
          <w:p>
            <w:r>
              <w:rPr>
                <w:b/>
                <w:sz w:val="17"/>
              </w:rPr>
              <w:t>Question</w:t>
            </w:r>
          </w:p>
        </w:tc>
        <w:tc>
          <w:tcPr>
            <w:tcW w:type="dxa" w:w="8050"/>
          </w:tcPr>
          <w:p>
            <w:r>
              <w:rPr>
                <w:sz w:val="17"/>
              </w:rPr>
              <w:t>Can an LSTM with attention and SHAP forecast volatility accurately and transparently?</w:t>
            </w:r>
          </w:p>
        </w:tc>
      </w:tr>
      <w:tr>
        <w:tc>
          <w:tcPr>
            <w:tcW w:type="dxa" w:w="1587"/>
          </w:tcPr>
          <w:p>
            <w:r>
              <w:rPr>
                <w:b/>
                <w:sz w:val="17"/>
              </w:rPr>
              <w:t>Data</w:t>
            </w:r>
          </w:p>
        </w:tc>
        <w:tc>
          <w:tcPr>
            <w:tcW w:type="dxa" w:w="8050"/>
          </w:tcPr>
          <w:p>
            <w:r>
              <w:rPr>
                <w:sz w:val="17"/>
              </w:rPr>
              <w:t>Five asset classes, Jan 2018 – Dec 2024.</w:t>
            </w:r>
          </w:p>
        </w:tc>
      </w:tr>
      <w:tr>
        <w:tc>
          <w:tcPr>
            <w:tcW w:type="dxa" w:w="1587"/>
          </w:tcPr>
          <w:p>
            <w:r>
              <w:rPr>
                <w:b/>
                <w:sz w:val="17"/>
              </w:rPr>
              <w:t>Method</w:t>
            </w:r>
          </w:p>
        </w:tc>
        <w:tc>
          <w:tcPr>
            <w:tcW w:type="dxa" w:w="8050"/>
          </w:tcPr>
          <w:p>
            <w:r>
              <w:rPr>
                <w:sz w:val="17"/>
              </w:rPr>
              <w:t>LSTM + attention + SHAP.</w:t>
            </w:r>
          </w:p>
        </w:tc>
      </w:tr>
      <w:tr>
        <w:tc>
          <w:tcPr>
            <w:tcW w:type="dxa" w:w="1587"/>
          </w:tcPr>
          <w:p>
            <w:r>
              <w:rPr>
                <w:b/>
                <w:sz w:val="17"/>
              </w:rPr>
              <w:t>Key findings</w:t>
            </w:r>
          </w:p>
        </w:tc>
        <w:tc>
          <w:tcPr>
            <w:tcW w:type="dxa" w:w="8050"/>
          </w:tcPr>
          <w:p>
            <w:r>
              <w:rPr>
                <w:sz w:val="17"/>
              </w:rPr>
              <w:t>• Reported 28.6% lower RMSE than GARCH(1,1) (per abstract summary — verify).</w:t>
            </w:r>
          </w:p>
          <w:p>
            <w:r>
              <w:rPr>
                <w:sz w:val="17"/>
              </w:rPr>
              <w:t>• SHAP ranks a geopolitical risk index first for extreme volatility, then VIX (per abstract summary — verify).</w:t>
            </w:r>
          </w:p>
        </w:tc>
      </w:tr>
      <w:tr>
        <w:tc>
          <w:tcPr>
            <w:tcW w:type="dxa" w:w="1587"/>
          </w:tcPr>
          <w:p>
            <w:r>
              <w:rPr>
                <w:b/>
                <w:sz w:val="17"/>
              </w:rPr>
              <w:t>Limitations</w:t>
            </w:r>
          </w:p>
        </w:tc>
        <w:tc>
          <w:tcPr>
            <w:tcW w:type="dxa" w:w="8050"/>
          </w:tcPr>
          <w:p>
            <w:r>
              <w:rPr>
                <w:sz w:val="17"/>
              </w:rPr>
              <w:t>Preprint, not peer-reviewed; RMSE only; descriptive use of SHAP.</w:t>
            </w:r>
          </w:p>
        </w:tc>
      </w:tr>
      <w:tr>
        <w:tc>
          <w:tcPr>
            <w:tcW w:type="dxa" w:w="1587"/>
            <w:shd w:val="clear" w:color="auto" w:fill="EAF1FB"/>
          </w:tcPr>
          <w:p>
            <w:r>
              <w:rPr>
                <w:b/>
                <w:sz w:val="17"/>
              </w:rPr>
              <w:t>How to use it</w:t>
            </w:r>
          </w:p>
        </w:tc>
        <w:tc>
          <w:tcPr>
            <w:tcW w:type="dxa" w:w="8050"/>
            <w:shd w:val="clear" w:color="auto" w:fill="EAF1FB"/>
          </w:tcPr>
          <w:p>
            <w:r>
              <w:rPr>
                <w:sz w:val="17"/>
              </w:rPr>
              <w:t>Closest explainable-volatility work: SHAP used descriptively, not as a test across crises. Cite as a preprint.</w:t>
            </w:r>
          </w:p>
        </w:tc>
      </w:tr>
      <w:tr>
        <w:tc>
          <w:tcPr>
            <w:tcW w:type="dxa" w:w="1587"/>
          </w:tcPr>
          <w:p>
            <w:r>
              <w:rPr>
                <w:b/>
                <w:sz w:val="17"/>
              </w:rPr>
              <w:t>Feeds</w:t>
            </w:r>
          </w:p>
        </w:tc>
        <w:tc>
          <w:tcPr>
            <w:tcW w:type="dxa" w:w="8050"/>
          </w:tcPr>
          <w:p>
            <w:r>
              <w:rPr>
                <w:sz w:val="17"/>
              </w:rPr>
              <w:t>2.6; 2.7 gap.</w:t>
            </w:r>
          </w:p>
        </w:tc>
      </w:tr>
    </w:tbl>
    <w:p>
      <w:pPr>
        <w:spacing w:after="60"/>
      </w:pPr>
    </w:p>
    <w:p>
      <w:pPr>
        <w:pStyle w:val="Heading1"/>
      </w:pPr>
      <w:r>
        <w:rPr>
          <w:color w:val="1F4E79"/>
        </w:rPr>
        <w:t>E. From notes to your own paragraph</w:t>
      </w:r>
    </w:p>
    <w:p>
      <w:pPr>
        <w:spacing w:after="80"/>
      </w:pPr>
      <w:r>
        <w:rPr>
          <w:i w:val="0"/>
        </w:rPr>
        <w:t>Write each paragraph from several cards, never from one. Plan it as five parts before you write a sentence:</w:t>
      </w:r>
    </w:p>
    <w:tbl>
      <w:tblPr>
        <w:tblStyle w:val="TableGrid"/>
        <w:tblW w:type="auto" w:w="0"/>
        <w:jc w:val="center"/>
        <w:tblLook w:firstColumn="1" w:firstRow="1" w:lastColumn="0" w:lastRow="0" w:noHBand="0" w:noVBand="1" w:val="04A0"/>
      </w:tblPr>
      <w:tblGrid>
        <w:gridCol w:w="3324"/>
        <w:gridCol w:w="3324"/>
        <w:gridCol w:w="3324"/>
      </w:tblGrid>
      <w:tr>
        <w:tc>
          <w:tcPr>
            <w:tcW w:type="dxa" w:w="1247"/>
            <w:shd w:val="clear" w:color="auto" w:fill="1F4E79"/>
          </w:tcPr>
          <w:p>
            <w:r>
              <w:rPr>
                <w:b/>
                <w:color w:val="FFFFFF"/>
                <w:sz w:val="17"/>
              </w:rPr>
              <w:t>Part</w:t>
            </w:r>
          </w:p>
        </w:tc>
        <w:tc>
          <w:tcPr>
            <w:tcW w:type="dxa" w:w="2381"/>
            <w:shd w:val="clear" w:color="auto" w:fill="1F4E79"/>
          </w:tcPr>
          <w:p>
            <w:r>
              <w:rPr>
                <w:b/>
                <w:color w:val="FFFFFF"/>
                <w:sz w:val="17"/>
              </w:rPr>
              <w:t>What it does</w:t>
            </w:r>
          </w:p>
        </w:tc>
        <w:tc>
          <w:tcPr>
            <w:tcW w:type="dxa" w:w="6009"/>
            <w:shd w:val="clear" w:color="auto" w:fill="1F4E79"/>
          </w:tcPr>
          <w:p>
            <w:r>
              <w:rPr>
                <w:b/>
                <w:color w:val="FFFFFF"/>
                <w:sz w:val="17"/>
              </w:rPr>
              <w:t>Planning example (bullet notes, not text to copy)</w:t>
            </w:r>
          </w:p>
        </w:tc>
      </w:tr>
      <w:tr>
        <w:tc>
          <w:tcPr>
            <w:tcW w:type="dxa" w:w="1247"/>
          </w:tcPr>
          <w:p>
            <w:r>
              <w:rPr>
                <w:sz w:val="17"/>
              </w:rPr>
              <w:t>1 Point</w:t>
            </w:r>
          </w:p>
        </w:tc>
        <w:tc>
          <w:tcPr>
            <w:tcW w:type="dxa" w:w="2381"/>
          </w:tcPr>
          <w:p>
            <w:r>
              <w:rPr>
                <w:sz w:val="17"/>
              </w:rPr>
              <w:t>Your claim, in your words</w:t>
            </w:r>
          </w:p>
        </w:tc>
        <w:tc>
          <w:tcPr>
            <w:tcW w:type="dxa" w:w="6009"/>
          </w:tcPr>
          <w:p>
            <w:r>
              <w:rPr>
                <w:sz w:val="17"/>
              </w:rPr>
              <w:t>GFC reached Ireland through both a US channel and a domestic one</w:t>
            </w:r>
          </w:p>
        </w:tc>
      </w:tr>
      <w:tr>
        <w:tc>
          <w:tcPr>
            <w:tcW w:type="dxa" w:w="1247"/>
          </w:tcPr>
          <w:p>
            <w:r>
              <w:rPr>
                <w:sz w:val="17"/>
              </w:rPr>
              <w:t>2 Evidence</w:t>
            </w:r>
          </w:p>
        </w:tc>
        <w:tc>
          <w:tcPr>
            <w:tcW w:type="dxa" w:w="2381"/>
          </w:tcPr>
          <w:p>
            <w:r>
              <w:rPr>
                <w:sz w:val="17"/>
              </w:rPr>
              <w:t>Two or more sources that support it</w:t>
            </w:r>
          </w:p>
        </w:tc>
        <w:tc>
          <w:tcPr>
            <w:tcW w:type="dxa" w:w="6009"/>
          </w:tcPr>
          <w:p>
            <w:r>
              <w:rPr>
                <w:sz w:val="17"/>
              </w:rPr>
              <w:t>Bekaert et al. — little US contagion, strong domestic contagion; Kelly — 7×/11× lending boom; Regling &amp; Watson — home-grown</w:t>
            </w:r>
          </w:p>
        </w:tc>
      </w:tr>
      <w:tr>
        <w:tc>
          <w:tcPr>
            <w:tcW w:type="dxa" w:w="1247"/>
          </w:tcPr>
          <w:p>
            <w:r>
              <w:rPr>
                <w:sz w:val="17"/>
              </w:rPr>
              <w:t>3 Contrast</w:t>
            </w:r>
          </w:p>
        </w:tc>
        <w:tc>
          <w:tcPr>
            <w:tcW w:type="dxa" w:w="2381"/>
          </w:tcPr>
          <w:p>
            <w:r>
              <w:rPr>
                <w:sz w:val="17"/>
              </w:rPr>
              <w:t>A source that complicates it</w:t>
            </w:r>
          </w:p>
        </w:tc>
        <w:tc>
          <w:tcPr>
            <w:tcW w:type="dxa" w:w="6009"/>
          </w:tcPr>
          <w:p>
            <w:r>
              <w:rPr>
                <w:sz w:val="17"/>
              </w:rPr>
              <w:t>Reinhart &amp; Rogoff — crises usually start in financial centres, so the US trigger still matters</w:t>
            </w:r>
          </w:p>
        </w:tc>
      </w:tr>
      <w:tr>
        <w:tc>
          <w:tcPr>
            <w:tcW w:type="dxa" w:w="1247"/>
          </w:tcPr>
          <w:p>
            <w:r>
              <w:rPr>
                <w:sz w:val="17"/>
              </w:rPr>
              <w:t>4 Critique</w:t>
            </w:r>
          </w:p>
        </w:tc>
        <w:tc>
          <w:tcPr>
            <w:tcW w:type="dxa" w:w="2381"/>
          </w:tcPr>
          <w:p>
            <w:r>
              <w:rPr>
                <w:sz w:val="17"/>
              </w:rPr>
              <w:t>Limits of the evidence</w:t>
            </w:r>
          </w:p>
        </w:tc>
        <w:tc>
          <w:tcPr>
            <w:tcW w:type="dxa" w:w="6009"/>
          </w:tcPr>
          <w:p>
            <w:r>
              <w:rPr>
                <w:sz w:val="17"/>
              </w:rPr>
              <w:t>Bekaert’s factor-model definition; the official reports are not tests</w:t>
            </w:r>
          </w:p>
        </w:tc>
      </w:tr>
      <w:tr>
        <w:tc>
          <w:tcPr>
            <w:tcW w:type="dxa" w:w="1247"/>
          </w:tcPr>
          <w:p>
            <w:r>
              <w:rPr>
                <w:sz w:val="17"/>
              </w:rPr>
              <w:t>5 So what</w:t>
            </w:r>
          </w:p>
        </w:tc>
        <w:tc>
          <w:tcPr>
            <w:tcW w:type="dxa" w:w="2381"/>
          </w:tcPr>
          <w:p>
            <w:r>
              <w:rPr>
                <w:sz w:val="17"/>
              </w:rPr>
              <w:t>Link to your study</w:t>
            </w:r>
          </w:p>
        </w:tc>
        <w:tc>
          <w:tcPr>
            <w:tcW w:type="dxa" w:w="6009"/>
          </w:tcPr>
          <w:p>
            <w:r>
              <w:rPr>
                <w:sz w:val="17"/>
              </w:rPr>
              <w:t>Expect both US and domestic channels to rise in the GFC window (H2a)</w:t>
            </w:r>
          </w:p>
        </w:tc>
      </w:tr>
    </w:tbl>
    <w:p>
      <w:pPr>
        <w:spacing w:after="40"/>
      </w:pPr>
    </w:p>
    <w:p>
      <w:pPr>
        <w:pStyle w:val="ListBullet"/>
        <w:spacing w:after="20"/>
      </w:pPr>
      <w:r>
        <w:t>Group studies by what they found or how they measured it, not by author.</w:t>
      </w:r>
    </w:p>
    <w:p>
      <w:pPr>
        <w:pStyle w:val="ListBullet"/>
        <w:spacing w:after="20"/>
      </w:pPr>
      <w:r>
        <w:t>Every paragraph ends with its ‘so what’ for your research questions.</w:t>
      </w:r>
    </w:p>
    <w:p>
      <w:pPr>
        <w:pStyle w:val="ListBullet"/>
        <w:spacing w:after="20"/>
      </w:pPr>
      <w:r>
        <w:t>Cite the original paper, never this handbook, and check page numbers for any figure you quote.</w:t>
      </w:r>
    </w:p>
    <w:p>
      <w:pPr>
        <w:pStyle w:val="ListBullet"/>
        <w:spacing w:after="20"/>
      </w:pPr>
      <w:r>
        <w:t>Use at most a few words of direct quotation, in quotation marks with a page number, and only when the exact wording matters.</w:t>
      </w:r>
    </w:p>
    <w:p>
      <w:pPr>
        <w:pStyle w:val="Heading1"/>
      </w:pPr>
      <w:r>
        <w:rPr>
          <w:color w:val="1F4E79"/>
        </w:rPr>
        <w:t>F. Where to read the originals</w:t>
      </w:r>
    </w:p>
    <w:p>
      <w:pPr>
        <w:spacing w:after="80"/>
      </w:pPr>
      <w:r>
        <w:rPr>
          <w:i w:val="0"/>
        </w:rPr>
        <w:t>Open-access versions used for this handbook. For journal versions, log in through the DBS library.</w:t>
      </w:r>
    </w:p>
    <w:tbl>
      <w:tblPr>
        <w:tblStyle w:val="TableGrid"/>
        <w:tblW w:type="auto" w:w="0"/>
        <w:jc w:val="center"/>
        <w:tblLook w:firstColumn="1" w:firstRow="1" w:lastColumn="0" w:lastRow="0" w:noHBand="0" w:noVBand="1" w:val="04A0"/>
      </w:tblPr>
      <w:tblGrid>
        <w:gridCol w:w="4986"/>
        <w:gridCol w:w="4986"/>
      </w:tblGrid>
      <w:tr>
        <w:tc>
          <w:tcPr>
            <w:tcW w:type="dxa" w:w="3402"/>
            <w:shd w:val="clear" w:color="auto" w:fill="1F4E79"/>
          </w:tcPr>
          <w:p>
            <w:r>
              <w:rPr>
                <w:b/>
                <w:color w:val="FFFFFF"/>
                <w:sz w:val="17"/>
              </w:rPr>
              <w:t>Source</w:t>
            </w:r>
          </w:p>
        </w:tc>
        <w:tc>
          <w:tcPr>
            <w:tcW w:type="dxa" w:w="6236"/>
            <w:shd w:val="clear" w:color="auto" w:fill="1F4E79"/>
          </w:tcPr>
          <w:p>
            <w:r>
              <w:rPr>
                <w:b/>
                <w:color w:val="FFFFFF"/>
                <w:sz w:val="17"/>
              </w:rPr>
              <w:t>Link</w:t>
            </w:r>
          </w:p>
        </w:tc>
      </w:tr>
      <w:tr>
        <w:tc>
          <w:tcPr>
            <w:tcW w:type="dxa" w:w="3402"/>
          </w:tcPr>
          <w:p>
            <w:r>
              <w:rPr>
                <w:sz w:val="17"/>
              </w:rPr>
              <w:t>Minsky (1992)</w:t>
            </w:r>
          </w:p>
        </w:tc>
        <w:tc>
          <w:tcPr>
            <w:tcW w:type="dxa" w:w="6236"/>
          </w:tcPr>
          <w:p>
            <w:r>
              <w:rPr>
                <w:sz w:val="17"/>
              </w:rPr>
              <w:t>levyinstitute.org/pubs/wp74.pdf</w:t>
            </w:r>
          </w:p>
        </w:tc>
      </w:tr>
      <w:tr>
        <w:tc>
          <w:tcPr>
            <w:tcW w:type="dxa" w:w="3402"/>
          </w:tcPr>
          <w:p>
            <w:r>
              <w:rPr>
                <w:sz w:val="17"/>
              </w:rPr>
              <w:t>Reinhart &amp; Rogoff (NBER WP 13882)</w:t>
            </w:r>
          </w:p>
        </w:tc>
        <w:tc>
          <w:tcPr>
            <w:tcW w:type="dxa" w:w="6236"/>
          </w:tcPr>
          <w:p>
            <w:r>
              <w:rPr>
                <w:sz w:val="17"/>
              </w:rPr>
              <w:t>nber.org/papers/w13882</w:t>
            </w:r>
          </w:p>
        </w:tc>
      </w:tr>
      <w:tr>
        <w:tc>
          <w:tcPr>
            <w:tcW w:type="dxa" w:w="3402"/>
          </w:tcPr>
          <w:p>
            <w:r>
              <w:rPr>
                <w:sz w:val="17"/>
              </w:rPr>
              <w:t>Acharya, Drechsler &amp; Schnabl</w:t>
            </w:r>
          </w:p>
        </w:tc>
        <w:tc>
          <w:tcPr>
            <w:tcW w:type="dxa" w:w="6236"/>
          </w:tcPr>
          <w:p>
            <w:r>
              <w:rPr>
                <w:sz w:val="17"/>
              </w:rPr>
              <w:t>pages.stern.nyu.edu/~pschnabl/research/AcharyaDrechslerSchnabl_final.pdf</w:t>
            </w:r>
          </w:p>
        </w:tc>
      </w:tr>
      <w:tr>
        <w:tc>
          <w:tcPr>
            <w:tcW w:type="dxa" w:w="3402"/>
          </w:tcPr>
          <w:p>
            <w:r>
              <w:rPr>
                <w:sz w:val="17"/>
              </w:rPr>
              <w:t>Bekaert et al. (ECB WP 1381)</w:t>
            </w:r>
          </w:p>
        </w:tc>
        <w:tc>
          <w:tcPr>
            <w:tcW w:type="dxa" w:w="6236"/>
          </w:tcPr>
          <w:p>
            <w:r>
              <w:rPr>
                <w:sz w:val="17"/>
              </w:rPr>
              <w:t>ecb.europa.eu/pub/pdf/scpwps/ecbwp1381.pdf</w:t>
            </w:r>
          </w:p>
        </w:tc>
      </w:tr>
      <w:tr>
        <w:tc>
          <w:tcPr>
            <w:tcW w:type="dxa" w:w="3402"/>
          </w:tcPr>
          <w:p>
            <w:r>
              <w:rPr>
                <w:sz w:val="17"/>
              </w:rPr>
              <w:t>Baker et al. (NBER WP 26945)</w:t>
            </w:r>
          </w:p>
        </w:tc>
        <w:tc>
          <w:tcPr>
            <w:tcW w:type="dxa" w:w="6236"/>
          </w:tcPr>
          <w:p>
            <w:r>
              <w:rPr>
                <w:sz w:val="17"/>
              </w:rPr>
              <w:t>nber.org/papers/w26945</w:t>
            </w:r>
          </w:p>
        </w:tc>
      </w:tr>
      <w:tr>
        <w:tc>
          <w:tcPr>
            <w:tcW w:type="dxa" w:w="3402"/>
          </w:tcPr>
          <w:p>
            <w:r>
              <w:rPr>
                <w:sz w:val="17"/>
              </w:rPr>
              <w:t>Forbes &amp; Rigobon (NBER WP 7267)</w:t>
            </w:r>
          </w:p>
        </w:tc>
        <w:tc>
          <w:tcPr>
            <w:tcW w:type="dxa" w:w="6236"/>
          </w:tcPr>
          <w:p>
            <w:r>
              <w:rPr>
                <w:sz w:val="17"/>
              </w:rPr>
              <w:t>nber.org/papers/w7267</w:t>
            </w:r>
          </w:p>
        </w:tc>
      </w:tr>
      <w:tr>
        <w:tc>
          <w:tcPr>
            <w:tcW w:type="dxa" w:w="3402"/>
          </w:tcPr>
          <w:p>
            <w:r>
              <w:rPr>
                <w:sz w:val="17"/>
              </w:rPr>
              <w:t>Engle, Ito &amp; Lin (NBER WP 2609)</w:t>
            </w:r>
          </w:p>
        </w:tc>
        <w:tc>
          <w:tcPr>
            <w:tcW w:type="dxa" w:w="6236"/>
          </w:tcPr>
          <w:p>
            <w:r>
              <w:rPr>
                <w:sz w:val="17"/>
              </w:rPr>
              <w:t>nber.org/papers/w2609</w:t>
            </w:r>
          </w:p>
        </w:tc>
      </w:tr>
      <w:tr>
        <w:tc>
          <w:tcPr>
            <w:tcW w:type="dxa" w:w="3402"/>
          </w:tcPr>
          <w:p>
            <w:r>
              <w:rPr>
                <w:sz w:val="17"/>
              </w:rPr>
              <w:t>Diebold &amp; Yilmaz 2009 (NBER WP 13811)</w:t>
            </w:r>
          </w:p>
        </w:tc>
        <w:tc>
          <w:tcPr>
            <w:tcW w:type="dxa" w:w="6236"/>
          </w:tcPr>
          <w:p>
            <w:r>
              <w:rPr>
                <w:sz w:val="17"/>
              </w:rPr>
              <w:t>nber.org/papers/w13811</w:t>
            </w:r>
          </w:p>
        </w:tc>
      </w:tr>
      <w:tr>
        <w:tc>
          <w:tcPr>
            <w:tcW w:type="dxa" w:w="3402"/>
          </w:tcPr>
          <w:p>
            <w:r>
              <w:rPr>
                <w:sz w:val="17"/>
              </w:rPr>
              <w:t>Patton (2011)</w:t>
            </w:r>
          </w:p>
        </w:tc>
        <w:tc>
          <w:tcPr>
            <w:tcW w:type="dxa" w:w="6236"/>
          </w:tcPr>
          <w:p>
            <w:r>
              <w:rPr>
                <w:sz w:val="17"/>
              </w:rPr>
              <w:t>public.econ.duke.edu/~ap172/Patton_vol_proxies_JoE_2011.pdf</w:t>
            </w:r>
          </w:p>
        </w:tc>
      </w:tr>
      <w:tr>
        <w:tc>
          <w:tcPr>
            <w:tcW w:type="dxa" w:w="3402"/>
          </w:tcPr>
          <w:p>
            <w:r>
              <w:rPr>
                <w:sz w:val="17"/>
              </w:rPr>
              <w:t>Bucci (MPRA 95443)</w:t>
            </w:r>
          </w:p>
        </w:tc>
        <w:tc>
          <w:tcPr>
            <w:tcW w:type="dxa" w:w="6236"/>
          </w:tcPr>
          <w:p>
            <w:r>
              <w:rPr>
                <w:sz w:val="17"/>
              </w:rPr>
              <w:t>mpra.ub.uni-muenchen.de/95443/</w:t>
            </w:r>
          </w:p>
        </w:tc>
      </w:tr>
      <w:tr>
        <w:tc>
          <w:tcPr>
            <w:tcW w:type="dxa" w:w="3402"/>
          </w:tcPr>
          <w:p>
            <w:r>
              <w:rPr>
                <w:sz w:val="17"/>
              </w:rPr>
              <w:t>Christensen et al.</w:t>
            </w:r>
          </w:p>
        </w:tc>
        <w:tc>
          <w:tcPr>
            <w:tcW w:type="dxa" w:w="6236"/>
          </w:tcPr>
          <w:p>
            <w:r>
              <w:rPr>
                <w:sz w:val="17"/>
              </w:rPr>
              <w:t>arxiv.org/abs/2601.13014</w:t>
            </w:r>
          </w:p>
        </w:tc>
      </w:tr>
      <w:tr>
        <w:tc>
          <w:tcPr>
            <w:tcW w:type="dxa" w:w="3402"/>
          </w:tcPr>
          <w:p>
            <w:r>
              <w:rPr>
                <w:sz w:val="17"/>
              </w:rPr>
              <w:t>Akhtaruzzaman et al.</w:t>
            </w:r>
          </w:p>
        </w:tc>
        <w:tc>
          <w:tcPr>
            <w:tcW w:type="dxa" w:w="6236"/>
          </w:tcPr>
          <w:p>
            <w:r>
              <w:rPr>
                <w:sz w:val="17"/>
              </w:rPr>
              <w:t>ideas.repec.org/a/eee/finlet/v38y2021ics1544612320305754.html</w:t>
            </w:r>
          </w:p>
        </w:tc>
      </w:tr>
      <w:tr>
        <w:tc>
          <w:tcPr>
            <w:tcW w:type="dxa" w:w="3402"/>
          </w:tcPr>
          <w:p>
            <w:r>
              <w:rPr>
                <w:sz w:val="17"/>
              </w:rPr>
              <w:t>Li, Ahmed &amp; Chevapatrakul (CFCM 16/06)</w:t>
            </w:r>
          </w:p>
        </w:tc>
        <w:tc>
          <w:tcPr>
            <w:tcW w:type="dxa" w:w="6236"/>
          </w:tcPr>
          <w:p>
            <w:r>
              <w:rPr>
                <w:sz w:val="17"/>
              </w:rPr>
              <w:t>nottingham.ac.uk/cfcm/news/papers/1606.aspx</w:t>
            </w:r>
          </w:p>
        </w:tc>
      </w:tr>
      <w:tr>
        <w:tc>
          <w:tcPr>
            <w:tcW w:type="dxa" w:w="3402"/>
          </w:tcPr>
          <w:p>
            <w:r>
              <w:rPr>
                <w:sz w:val="17"/>
              </w:rPr>
              <w:t>Lundberg &amp; Lee</w:t>
            </w:r>
          </w:p>
        </w:tc>
        <w:tc>
          <w:tcPr>
            <w:tcW w:type="dxa" w:w="6236"/>
          </w:tcPr>
          <w:p>
            <w:r>
              <w:rPr>
                <w:sz w:val="17"/>
              </w:rPr>
              <w:t>arxiv.org/abs/1705.07874</w:t>
            </w:r>
          </w:p>
        </w:tc>
      </w:tr>
      <w:tr>
        <w:tc>
          <w:tcPr>
            <w:tcW w:type="dxa" w:w="3402"/>
          </w:tcPr>
          <w:p>
            <w:r>
              <w:rPr>
                <w:sz w:val="17"/>
              </w:rPr>
              <w:t>Sundararajan et al.</w:t>
            </w:r>
          </w:p>
        </w:tc>
        <w:tc>
          <w:tcPr>
            <w:tcW w:type="dxa" w:w="6236"/>
          </w:tcPr>
          <w:p>
            <w:r>
              <w:rPr>
                <w:sz w:val="17"/>
              </w:rPr>
              <w:t>arxiv.org/abs/1703.01365</w:t>
            </w:r>
          </w:p>
        </w:tc>
      </w:tr>
      <w:tr>
        <w:tc>
          <w:tcPr>
            <w:tcW w:type="dxa" w:w="3402"/>
          </w:tcPr>
          <w:p>
            <w:r>
              <w:rPr>
                <w:sz w:val="17"/>
              </w:rPr>
              <w:t>Erion et al.</w:t>
            </w:r>
          </w:p>
        </w:tc>
        <w:tc>
          <w:tcPr>
            <w:tcW w:type="dxa" w:w="6236"/>
          </w:tcPr>
          <w:p>
            <w:r>
              <w:rPr>
                <w:sz w:val="17"/>
              </w:rPr>
              <w:t>arxiv.org/abs/1906.10670</w:t>
            </w:r>
          </w:p>
        </w:tc>
      </w:tr>
      <w:tr>
        <w:tc>
          <w:tcPr>
            <w:tcW w:type="dxa" w:w="3402"/>
          </w:tcPr>
          <w:p>
            <w:r>
              <w:rPr>
                <w:sz w:val="17"/>
              </w:rPr>
              <w:t>Aas et al.</w:t>
            </w:r>
          </w:p>
        </w:tc>
        <w:tc>
          <w:tcPr>
            <w:tcW w:type="dxa" w:w="6236"/>
          </w:tcPr>
          <w:p>
            <w:r>
              <w:rPr>
                <w:sz w:val="17"/>
              </w:rPr>
              <w:t>arxiv.org/abs/1903.10464</w:t>
            </w:r>
          </w:p>
        </w:tc>
      </w:tr>
      <w:tr>
        <w:tc>
          <w:tcPr>
            <w:tcW w:type="dxa" w:w="3402"/>
          </w:tcPr>
          <w:p>
            <w:r>
              <w:rPr>
                <w:sz w:val="17"/>
              </w:rPr>
              <w:t>Kumar et al.</w:t>
            </w:r>
          </w:p>
        </w:tc>
        <w:tc>
          <w:tcPr>
            <w:tcW w:type="dxa" w:w="6236"/>
          </w:tcPr>
          <w:p>
            <w:r>
              <w:rPr>
                <w:sz w:val="17"/>
              </w:rPr>
              <w:t>arxiv.org/abs/2002.11097</w:t>
            </w:r>
          </w:p>
        </w:tc>
      </w:tr>
      <w:tr>
        <w:tc>
          <w:tcPr>
            <w:tcW w:type="dxa" w:w="3402"/>
          </w:tcPr>
          <w:p>
            <w:r>
              <w:rPr>
                <w:sz w:val="17"/>
              </w:rPr>
              <w:t>Rudin</w:t>
            </w:r>
          </w:p>
        </w:tc>
        <w:tc>
          <w:tcPr>
            <w:tcW w:type="dxa" w:w="6236"/>
          </w:tcPr>
          <w:p>
            <w:r>
              <w:rPr>
                <w:sz w:val="17"/>
              </w:rPr>
              <w:t>arxiv.org/abs/1811.10154</w:t>
            </w:r>
          </w:p>
        </w:tc>
      </w:tr>
      <w:tr>
        <w:tc>
          <w:tcPr>
            <w:tcW w:type="dxa" w:w="3402"/>
          </w:tcPr>
          <w:p>
            <w:r>
              <w:rPr>
                <w:sz w:val="17"/>
              </w:rPr>
              <w:t>Kelly (2009)</w:t>
            </w:r>
          </w:p>
        </w:tc>
        <w:tc>
          <w:tcPr>
            <w:tcW w:type="dxa" w:w="6236"/>
          </w:tcPr>
          <w:p>
            <w:r>
              <w:rPr>
                <w:sz w:val="17"/>
              </w:rPr>
              <w:t>ideas.repec.org/p/ucn/wpaper/200932.html</w:t>
            </w:r>
          </w:p>
        </w:tc>
      </w:tr>
      <w:tr>
        <w:tc>
          <w:tcPr>
            <w:tcW w:type="dxa" w:w="3402"/>
          </w:tcPr>
          <w:p>
            <w:r>
              <w:rPr>
                <w:sz w:val="17"/>
              </w:rPr>
              <w:t>Whelan (2014)</w:t>
            </w:r>
          </w:p>
        </w:tc>
        <w:tc>
          <w:tcPr>
            <w:tcW w:type="dxa" w:w="6236"/>
          </w:tcPr>
          <w:p>
            <w:r>
              <w:rPr>
                <w:sz w:val="17"/>
              </w:rPr>
              <w:t>ideas.repec.org/p/ucn/wpaper/201306.html</w:t>
            </w:r>
          </w:p>
        </w:tc>
      </w:tr>
      <w:tr>
        <w:tc>
          <w:tcPr>
            <w:tcW w:type="dxa" w:w="3402"/>
          </w:tcPr>
          <w:p>
            <w:r>
              <w:rPr>
                <w:sz w:val="17"/>
              </w:rPr>
              <w:t>Lane (2012), Brunnermeier (2009)</w:t>
            </w:r>
          </w:p>
        </w:tc>
        <w:tc>
          <w:tcPr>
            <w:tcW w:type="dxa" w:w="6236"/>
          </w:tcPr>
          <w:p>
            <w:r>
              <w:rPr>
                <w:sz w:val="17"/>
              </w:rPr>
              <w:t>aeaweb.org (JEP is free to read)</w:t>
            </w:r>
          </w:p>
        </w:tc>
      </w:tr>
      <w:tr>
        <w:tc>
          <w:tcPr>
            <w:tcW w:type="dxa" w:w="3402"/>
          </w:tcPr>
          <w:p>
            <w:r>
              <w:rPr>
                <w:sz w:val="17"/>
              </w:rPr>
              <w:t>Corbet &amp; Twomey (2015)</w:t>
            </w:r>
          </w:p>
        </w:tc>
        <w:tc>
          <w:tcPr>
            <w:tcW w:type="dxa" w:w="6236"/>
          </w:tcPr>
          <w:p>
            <w:r>
              <w:rPr>
                <w:sz w:val="17"/>
              </w:rPr>
              <w:t>ideas.repec.org/a/prg/jnlefa/v2015y2015i3id143p15-34.html</w:t>
            </w:r>
          </w:p>
        </w:tc>
      </w:tr>
      <w:tr>
        <w:tc>
          <w:tcPr>
            <w:tcW w:type="dxa" w:w="3402"/>
          </w:tcPr>
          <w:p>
            <w:r>
              <w:rPr>
                <w:sz w:val="17"/>
              </w:rPr>
              <w:t>Sahiner (2023)</w:t>
            </w:r>
          </w:p>
        </w:tc>
        <w:tc>
          <w:tcPr>
            <w:tcW w:type="dxa" w:w="6236"/>
          </w:tcPr>
          <w:p>
            <w:r>
              <w:rPr>
                <w:sz w:val="17"/>
              </w:rPr>
              <w:t>doi.org/10.1007/s10614-023-10412-4</w:t>
            </w:r>
          </w:p>
        </w:tc>
      </w:tr>
      <w:tr>
        <w:tc>
          <w:tcPr>
            <w:tcW w:type="dxa" w:w="3402"/>
          </w:tcPr>
          <w:p>
            <w:r>
              <w:rPr>
                <w:sz w:val="17"/>
              </w:rPr>
              <w:t>Li (2020)</w:t>
            </w:r>
          </w:p>
        </w:tc>
        <w:tc>
          <w:tcPr>
            <w:tcW w:type="dxa" w:w="6236"/>
          </w:tcPr>
          <w:p>
            <w:r>
              <w:rPr>
                <w:sz w:val="17"/>
              </w:rPr>
              <w:t>ideas.repec.org/a/eee/ecmode/v84y2020icp1-12.html</w:t>
            </w:r>
          </w:p>
        </w:tc>
      </w:tr>
      <w:tr>
        <w:tc>
          <w:tcPr>
            <w:tcW w:type="dxa" w:w="3402"/>
          </w:tcPr>
          <w:p>
            <w:r>
              <w:rPr>
                <w:sz w:val="17"/>
              </w:rPr>
              <w:t>Boungou &amp; Yatié (2022)</w:t>
            </w:r>
          </w:p>
        </w:tc>
        <w:tc>
          <w:tcPr>
            <w:tcW w:type="dxa" w:w="6236"/>
          </w:tcPr>
          <w:p>
            <w:r>
              <w:rPr>
                <w:sz w:val="17"/>
              </w:rPr>
              <w:t>ideas.repec.org/a/eee/ecolet/v215y2022ics0165176522001355.html</w:t>
            </w:r>
          </w:p>
        </w:tc>
      </w:tr>
    </w:tbl>
    <w:p>
      <w:pPr>
        <w:spacing w:after="40"/>
      </w:pP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