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BPRD CIRCULAR NO. 45 OF 2026</w:t>
      </w:r>
    </w:p>
    <w:p>
      <w:r>
        <w:t>REVISED CASH RETENTION LIMITS</w:t>
      </w:r>
    </w:p>
    <w:p>
      <w:r>
        <w:t>1. Branches shall not retain cash above the limits given below for more than two consecutive working days.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Branch category</w:t>
            </w:r>
          </w:p>
        </w:tc>
        <w:tc>
          <w:tcPr>
            <w:tcW w:type="dxa" w:w="2880"/>
          </w:tcPr>
          <w:p>
            <w:r>
              <w:t>Limit (Rs.)</w:t>
            </w:r>
          </w:p>
        </w:tc>
        <w:tc>
          <w:tcPr>
            <w:tcW w:type="dxa" w:w="2880"/>
          </w:tcPr>
          <w:p>
            <w:r>
              <w:t>Approval required above</w:t>
            </w:r>
          </w:p>
        </w:tc>
      </w:tr>
      <w:tr>
        <w:tc>
          <w:tcPr>
            <w:tcW w:type="dxa" w:w="2880"/>
          </w:tcPr>
          <w:p>
            <w:r>
              <w:t>Urban</w:t>
            </w:r>
          </w:p>
        </w:tc>
        <w:tc>
          <w:tcPr>
            <w:tcW w:type="dxa" w:w="2880"/>
          </w:tcPr>
          <w:p>
            <w:r>
              <w:t>5,000,000</w:t>
            </w:r>
          </w:p>
        </w:tc>
        <w:tc>
          <w:tcPr>
            <w:tcW w:type="dxa" w:w="2880"/>
          </w:tcPr>
          <w:p>
            <w:r>
              <w:t>Regional Head</w:t>
            </w:r>
          </w:p>
        </w:tc>
      </w:tr>
      <w:tr>
        <w:tc>
          <w:tcPr>
            <w:tcW w:type="dxa" w:w="2880"/>
          </w:tcPr>
          <w:p>
            <w:r>
              <w:t>Rural</w:t>
            </w:r>
          </w:p>
        </w:tc>
        <w:tc>
          <w:tcPr>
            <w:tcW w:type="dxa" w:w="2880"/>
          </w:tcPr>
          <w:p>
            <w:r>
              <w:t>2,000,000</w:t>
            </w:r>
          </w:p>
        </w:tc>
        <w:tc>
          <w:tcPr>
            <w:tcW w:type="dxa" w:w="2880"/>
          </w:tcPr>
          <w:p>
            <w:r>
              <w:t>Area Manager</w:t>
            </w:r>
          </w:p>
        </w:tc>
      </w:tr>
    </w:tbl>
    <w:p>
      <w:r>
        <w:t>2. Any excess shall be reported to the Regional Office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