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q6l7yf79g9i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Potential Challenges &amp; Solutions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Challenge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Integrating 4K Video Landing Page.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Use video compression tools to optimize file size and use a CDN to serve the video efficiently.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Challenge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Implementing requestable talent roster.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Use a form or API to enable the roster functionality, allowing users to send requests to the client directly.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Challenge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Scrolling Numbers Section.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Utilize JavaScript libraries like CountUp.js to ensure smooth number animations.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chnldw59o38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Client’s Deliverables: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Client-approved content (text for testimonials, portfolio, and other sections).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media assets (logos, video clips, images) for integration.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Access to any third-party tools or APIs (if required for roster or branding integration).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n76j6o70mqj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Team Responsibilities: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Mewtwo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Project coordination, client communication, overall quality control.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Front-end development, including video landing page and dynamic sections.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Misty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Back-end development, including roster integration and database handling.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Brock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UI Design, ensuring the design meets client expectations.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External Copywriter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Crafting high-quality website copy for various sections.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i67gdux0zd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Project Milestones and Deadlines: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Discovery Phase Complete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Day 5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Design Phase Complete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Day 12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Development Phase Complete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Day 20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Testing Complete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Day 24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Live Deployment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Day 28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