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B1A26" w14:textId="42C9A1F3" w:rsidR="002C5D1A" w:rsidRPr="002C5D1A" w:rsidRDefault="002C5D1A" w:rsidP="002C5D1A">
      <w:pPr>
        <w:spacing w:after="240" w:line="240" w:lineRule="auto"/>
        <w:rPr>
          <w:rFonts w:ascii="Times New Roman" w:eastAsia="Times New Roman" w:hAnsi="Times New Roman" w:cs="Times New Roman"/>
          <w:color w:val="FF0000"/>
          <w:sz w:val="40"/>
          <w:szCs w:val="40"/>
        </w:rPr>
      </w:pPr>
      <w:r w:rsidRPr="002C5D1A">
        <w:rPr>
          <w:rFonts w:ascii="Times New Roman" w:eastAsia="Times New Roman" w:hAnsi="Times New Roman" w:cs="Times New Roman"/>
          <w:color w:val="FF0000"/>
          <w:sz w:val="40"/>
          <w:szCs w:val="40"/>
        </w:rPr>
        <w:t>Determines of Key factors for Performance of Microfinance Institutions:</w:t>
      </w:r>
      <w:r w:rsidRPr="002C5D1A">
        <w:rPr>
          <w:rFonts w:ascii="Times New Roman" w:eastAsia="Times New Roman" w:hAnsi="Times New Roman" w:cs="Times New Roman"/>
          <w:color w:val="FF0000"/>
          <w:sz w:val="40"/>
          <w:szCs w:val="40"/>
        </w:rPr>
        <w:t xml:space="preserve"> </w:t>
      </w:r>
      <w:r w:rsidRPr="002C5D1A">
        <w:rPr>
          <w:rFonts w:ascii="Times New Roman" w:eastAsia="Times New Roman" w:hAnsi="Times New Roman" w:cs="Times New Roman"/>
          <w:color w:val="FF0000"/>
          <w:sz w:val="40"/>
          <w:szCs w:val="40"/>
        </w:rPr>
        <w:t>A Study of Some Selected Microfinance Institutions in Bangladesh</w:t>
      </w:r>
    </w:p>
    <w:p w14:paraId="3C2EBD0E" w14:textId="7500DAE9" w:rsidR="008407ED" w:rsidRPr="008407ED" w:rsidRDefault="008407ED" w:rsidP="008407ED">
      <w:pPr>
        <w:spacing w:after="240" w:line="240" w:lineRule="auto"/>
        <w:rPr>
          <w:rFonts w:ascii="Times New Roman" w:eastAsia="Times New Roman" w:hAnsi="Times New Roman" w:cs="Times New Roman"/>
          <w:sz w:val="24"/>
          <w:szCs w:val="24"/>
        </w:rPr>
      </w:pPr>
      <w:r w:rsidRPr="008407ED">
        <w:rPr>
          <w:rFonts w:ascii="Times New Roman" w:eastAsia="Times New Roman" w:hAnsi="Times New Roman" w:cs="Times New Roman"/>
          <w:sz w:val="24"/>
          <w:szCs w:val="24"/>
        </w:rPr>
        <w:t xml:space="preserve">Mamun (2012) examined customer loyalty traits. Kabir (2002) attributed the bank's success to the group lending structure, the microfinance sector's development and sustainability, well-trained workers, and the group-based Grameen Bank (GB). New Grameen Bank services include peer group monitoring, a modular loan package suited to individual consumers, and an incentive system to stimulate progress. </w:t>
      </w:r>
      <w:r w:rsidRPr="008407ED">
        <w:rPr>
          <w:rFonts w:ascii="Times New Roman" w:eastAsia="Times New Roman" w:hAnsi="Times New Roman" w:cs="Times New Roman"/>
          <w:sz w:val="24"/>
          <w:szCs w:val="24"/>
        </w:rPr>
        <w:br/>
        <w:t xml:space="preserve">firm output. </w:t>
      </w:r>
    </w:p>
    <w:p w14:paraId="41ECE271" w14:textId="77777777" w:rsidR="000D5B42" w:rsidRPr="000D5B42" w:rsidRDefault="000D5B42" w:rsidP="000D5B42">
      <w:pPr>
        <w:spacing w:after="0" w:line="240" w:lineRule="auto"/>
        <w:rPr>
          <w:rFonts w:ascii="Times New Roman" w:eastAsia="Times New Roman" w:hAnsi="Times New Roman" w:cs="Times New Roman"/>
          <w:sz w:val="24"/>
          <w:szCs w:val="24"/>
        </w:rPr>
      </w:pPr>
      <w:proofErr w:type="spellStart"/>
      <w:r w:rsidRPr="000D5B42">
        <w:rPr>
          <w:rFonts w:ascii="Times New Roman" w:eastAsia="Times New Roman" w:hAnsi="Times New Roman" w:cs="Times New Roman"/>
          <w:sz w:val="24"/>
          <w:szCs w:val="24"/>
        </w:rPr>
        <w:t>Woller</w:t>
      </w:r>
      <w:proofErr w:type="spellEnd"/>
      <w:r w:rsidRPr="000D5B42">
        <w:rPr>
          <w:rFonts w:ascii="Times New Roman" w:eastAsia="Times New Roman" w:hAnsi="Times New Roman" w:cs="Times New Roman"/>
          <w:sz w:val="24"/>
          <w:szCs w:val="24"/>
        </w:rPr>
        <w:t xml:space="preserve"> and Woodworth (2001) studied microfinance institution growth. They recommended stable macroeconomic conditions for MFIs. </w:t>
      </w:r>
    </w:p>
    <w:p w14:paraId="682E366E" w14:textId="71CFB83E" w:rsidR="00BC2A9F" w:rsidRDefault="00BC2A9F"/>
    <w:p w14:paraId="09F5333D" w14:textId="77777777" w:rsidR="005E46B1" w:rsidRPr="005E46B1" w:rsidRDefault="005E46B1" w:rsidP="005E46B1">
      <w:pPr>
        <w:spacing w:after="0" w:line="240" w:lineRule="auto"/>
        <w:rPr>
          <w:rFonts w:ascii="Times New Roman" w:eastAsia="Times New Roman" w:hAnsi="Times New Roman" w:cs="Times New Roman"/>
          <w:sz w:val="24"/>
          <w:szCs w:val="24"/>
        </w:rPr>
      </w:pPr>
      <w:r w:rsidRPr="005E46B1">
        <w:rPr>
          <w:rFonts w:ascii="Times New Roman" w:eastAsia="Times New Roman" w:hAnsi="Times New Roman" w:cs="Times New Roman"/>
          <w:sz w:val="24"/>
          <w:szCs w:val="24"/>
        </w:rPr>
        <w:t xml:space="preserve">Crabb studied MFI sustainability in 2008. He separated institutional and environmental elements. External determinants include policy environment and national economic stability, whereas institution-specific ones are unique to the institution. He concluded that corporate and national laws affect microfinance companies. </w:t>
      </w:r>
    </w:p>
    <w:p w14:paraId="48DC1683" w14:textId="4B87EC8B" w:rsidR="005E46B1" w:rsidRDefault="005E46B1"/>
    <w:p w14:paraId="06839A1D" w14:textId="77777777" w:rsidR="00105434" w:rsidRPr="00105434" w:rsidRDefault="00105434" w:rsidP="00105434">
      <w:pPr>
        <w:spacing w:after="240" w:line="240" w:lineRule="auto"/>
        <w:rPr>
          <w:rFonts w:ascii="Times New Roman" w:eastAsia="Times New Roman" w:hAnsi="Times New Roman" w:cs="Times New Roman"/>
          <w:sz w:val="24"/>
          <w:szCs w:val="24"/>
        </w:rPr>
      </w:pPr>
      <w:r w:rsidRPr="00105434">
        <w:rPr>
          <w:rFonts w:ascii="Times New Roman" w:eastAsia="Times New Roman" w:hAnsi="Times New Roman" w:cs="Times New Roman"/>
          <w:sz w:val="24"/>
          <w:szCs w:val="24"/>
        </w:rPr>
        <w:t>Boateng and Agyei (2013) examined Ghana's microfinance development, accomplishments, and difficulties. A survey was used to get this data. The financing system, client service, and credit officer visits matter, they said.</w:t>
      </w:r>
    </w:p>
    <w:p w14:paraId="7653EF3F" w14:textId="77777777" w:rsidR="0026463E" w:rsidRPr="0026463E" w:rsidRDefault="0026463E" w:rsidP="0026463E">
      <w:pPr>
        <w:spacing w:after="240" w:line="240" w:lineRule="auto"/>
        <w:rPr>
          <w:rFonts w:ascii="Times New Roman" w:eastAsia="Times New Roman" w:hAnsi="Times New Roman" w:cs="Times New Roman"/>
          <w:sz w:val="24"/>
          <w:szCs w:val="24"/>
        </w:rPr>
      </w:pPr>
      <w:r w:rsidRPr="0026463E">
        <w:rPr>
          <w:rFonts w:ascii="Times New Roman" w:eastAsia="Times New Roman" w:hAnsi="Times New Roman" w:cs="Times New Roman"/>
          <w:sz w:val="24"/>
          <w:szCs w:val="24"/>
        </w:rPr>
        <w:t xml:space="preserve">Mbira and </w:t>
      </w:r>
      <w:proofErr w:type="spellStart"/>
      <w:r w:rsidRPr="0026463E">
        <w:rPr>
          <w:rFonts w:ascii="Times New Roman" w:eastAsia="Times New Roman" w:hAnsi="Times New Roman" w:cs="Times New Roman"/>
          <w:sz w:val="24"/>
          <w:szCs w:val="24"/>
        </w:rPr>
        <w:t>Tapera</w:t>
      </w:r>
      <w:proofErr w:type="spellEnd"/>
      <w:r w:rsidRPr="0026463E">
        <w:rPr>
          <w:rFonts w:ascii="Times New Roman" w:eastAsia="Times New Roman" w:hAnsi="Times New Roman" w:cs="Times New Roman"/>
          <w:sz w:val="24"/>
          <w:szCs w:val="24"/>
        </w:rPr>
        <w:t xml:space="preserve"> (2016) studied Zimbabwean microfinance </w:t>
      </w:r>
      <w:proofErr w:type="spellStart"/>
      <w:r w:rsidRPr="0026463E">
        <w:rPr>
          <w:rFonts w:ascii="Times New Roman" w:eastAsia="Times New Roman" w:hAnsi="Times New Roman" w:cs="Times New Roman"/>
          <w:sz w:val="24"/>
          <w:szCs w:val="24"/>
        </w:rPr>
        <w:t>organisations</w:t>
      </w:r>
      <w:proofErr w:type="spellEnd"/>
      <w:r w:rsidRPr="0026463E">
        <w:rPr>
          <w:rFonts w:ascii="Times New Roman" w:eastAsia="Times New Roman" w:hAnsi="Times New Roman" w:cs="Times New Roman"/>
          <w:sz w:val="24"/>
          <w:szCs w:val="24"/>
        </w:rPr>
        <w:t xml:space="preserve">. Data analysis used descriptive and inferential statistics. Corporate governance, product and technology upgrades, leadership, management, risk management, marketing, staff motivation and training, and enough funding were thought to determine Zimbabwe's microfinance institutions (MFIs) success. </w:t>
      </w:r>
    </w:p>
    <w:p w14:paraId="609E6609" w14:textId="77777777" w:rsidR="0026463E" w:rsidRPr="0026463E" w:rsidRDefault="0026463E" w:rsidP="0026463E">
      <w:pPr>
        <w:spacing w:after="240" w:line="240" w:lineRule="auto"/>
        <w:rPr>
          <w:rFonts w:ascii="Times New Roman" w:eastAsia="Times New Roman" w:hAnsi="Times New Roman" w:cs="Times New Roman"/>
          <w:sz w:val="24"/>
          <w:szCs w:val="24"/>
        </w:rPr>
      </w:pPr>
      <w:r w:rsidRPr="0026463E">
        <w:rPr>
          <w:rFonts w:ascii="Times New Roman" w:eastAsia="Times New Roman" w:hAnsi="Times New Roman" w:cs="Times New Roman"/>
          <w:sz w:val="24"/>
          <w:szCs w:val="24"/>
        </w:rPr>
        <w:t xml:space="preserve">After studying Bangladeshi microfinance institutions, Chowdhury (2009) determined their success factors. New products and employee training drive the microfinance sector, he discovered. </w:t>
      </w:r>
      <w:r w:rsidRPr="0026463E">
        <w:rPr>
          <w:rFonts w:ascii="Times New Roman" w:eastAsia="Times New Roman" w:hAnsi="Times New Roman" w:cs="Times New Roman"/>
          <w:sz w:val="24"/>
          <w:szCs w:val="24"/>
        </w:rPr>
        <w:br/>
      </w:r>
    </w:p>
    <w:p w14:paraId="6FE6C196" w14:textId="77777777" w:rsidR="00F34428" w:rsidRPr="00F34428" w:rsidRDefault="00F34428" w:rsidP="00F34428">
      <w:pPr>
        <w:spacing w:after="240" w:line="240" w:lineRule="auto"/>
        <w:rPr>
          <w:rFonts w:ascii="Times New Roman" w:eastAsia="Times New Roman" w:hAnsi="Times New Roman" w:cs="Times New Roman"/>
          <w:sz w:val="24"/>
          <w:szCs w:val="24"/>
        </w:rPr>
      </w:pPr>
      <w:r w:rsidRPr="00F34428">
        <w:rPr>
          <w:rFonts w:ascii="Times New Roman" w:eastAsia="Times New Roman" w:hAnsi="Times New Roman" w:cs="Times New Roman"/>
          <w:sz w:val="24"/>
          <w:szCs w:val="24"/>
        </w:rPr>
        <w:t xml:space="preserve">Moore (2006) claims that staff incentive plans are a key factor in the worldwide growth of MFIs. </w:t>
      </w:r>
    </w:p>
    <w:p w14:paraId="4DD6BDA8" w14:textId="77777777" w:rsidR="00F34428" w:rsidRPr="00F34428" w:rsidRDefault="00F34428" w:rsidP="00F34428">
      <w:pPr>
        <w:spacing w:after="240" w:line="240" w:lineRule="auto"/>
        <w:rPr>
          <w:rFonts w:ascii="Times New Roman" w:eastAsia="Times New Roman" w:hAnsi="Times New Roman" w:cs="Times New Roman"/>
          <w:sz w:val="24"/>
          <w:szCs w:val="24"/>
        </w:rPr>
      </w:pPr>
      <w:r w:rsidRPr="00F34428">
        <w:rPr>
          <w:rFonts w:ascii="Times New Roman" w:eastAsia="Times New Roman" w:hAnsi="Times New Roman" w:cs="Times New Roman"/>
          <w:sz w:val="24"/>
          <w:szCs w:val="24"/>
        </w:rPr>
        <w:t xml:space="preserve">High microfinance sector involvement results from professional management, committed personnel, and excellent leadership (Chan, 2010). These components improve microfinance results. </w:t>
      </w:r>
      <w:r w:rsidRPr="00F34428">
        <w:rPr>
          <w:rFonts w:ascii="Times New Roman" w:eastAsia="Times New Roman" w:hAnsi="Times New Roman" w:cs="Times New Roman"/>
          <w:sz w:val="24"/>
          <w:szCs w:val="24"/>
        </w:rPr>
        <w:br/>
      </w:r>
    </w:p>
    <w:p w14:paraId="08F307BA" w14:textId="77777777" w:rsidR="00F34428" w:rsidRPr="00F34428" w:rsidRDefault="00F34428" w:rsidP="00F34428">
      <w:pPr>
        <w:spacing w:after="240" w:line="240" w:lineRule="auto"/>
        <w:rPr>
          <w:rFonts w:ascii="Times New Roman" w:eastAsia="Times New Roman" w:hAnsi="Times New Roman" w:cs="Times New Roman"/>
          <w:sz w:val="24"/>
          <w:szCs w:val="24"/>
        </w:rPr>
      </w:pPr>
      <w:r w:rsidRPr="00F34428">
        <w:rPr>
          <w:rFonts w:ascii="Times New Roman" w:eastAsia="Times New Roman" w:hAnsi="Times New Roman" w:cs="Times New Roman"/>
          <w:sz w:val="24"/>
          <w:szCs w:val="24"/>
        </w:rPr>
        <w:t xml:space="preserve">Boateng and Agyei (2013) say a strong regulatory system is essential for microfinance expansion. The regulatory environment supports MFI growth. </w:t>
      </w:r>
    </w:p>
    <w:p w14:paraId="0DCF2388" w14:textId="77777777" w:rsidR="00F34428" w:rsidRPr="00F34428" w:rsidRDefault="00F34428" w:rsidP="00F34428">
      <w:pPr>
        <w:spacing w:after="240" w:line="240" w:lineRule="auto"/>
        <w:rPr>
          <w:rFonts w:ascii="Times New Roman" w:eastAsia="Times New Roman" w:hAnsi="Times New Roman" w:cs="Times New Roman"/>
          <w:sz w:val="24"/>
          <w:szCs w:val="24"/>
        </w:rPr>
      </w:pPr>
      <w:proofErr w:type="spellStart"/>
      <w:r w:rsidRPr="00F34428">
        <w:rPr>
          <w:rFonts w:ascii="Times New Roman" w:eastAsia="Times New Roman" w:hAnsi="Times New Roman" w:cs="Times New Roman"/>
          <w:sz w:val="24"/>
          <w:szCs w:val="24"/>
        </w:rPr>
        <w:lastRenderedPageBreak/>
        <w:t>Ledgerwood</w:t>
      </w:r>
      <w:proofErr w:type="spellEnd"/>
      <w:r w:rsidRPr="00F34428">
        <w:rPr>
          <w:rFonts w:ascii="Times New Roman" w:eastAsia="Times New Roman" w:hAnsi="Times New Roman" w:cs="Times New Roman"/>
          <w:sz w:val="24"/>
          <w:szCs w:val="24"/>
        </w:rPr>
        <w:t xml:space="preserve"> and White (2006) say microfinance </w:t>
      </w:r>
      <w:proofErr w:type="spellStart"/>
      <w:r w:rsidRPr="00F34428">
        <w:rPr>
          <w:rFonts w:ascii="Times New Roman" w:eastAsia="Times New Roman" w:hAnsi="Times New Roman" w:cs="Times New Roman"/>
          <w:sz w:val="24"/>
          <w:szCs w:val="24"/>
        </w:rPr>
        <w:t>organisations'</w:t>
      </w:r>
      <w:proofErr w:type="spellEnd"/>
      <w:r w:rsidRPr="00F34428">
        <w:rPr>
          <w:rFonts w:ascii="Times New Roman" w:eastAsia="Times New Roman" w:hAnsi="Times New Roman" w:cs="Times New Roman"/>
          <w:sz w:val="24"/>
          <w:szCs w:val="24"/>
        </w:rPr>
        <w:t xml:space="preserve"> marketing strategies drive expansion. Customer satisfaction and loyalty require flexibility and sufficient money. </w:t>
      </w:r>
      <w:r w:rsidRPr="00F34428">
        <w:rPr>
          <w:rFonts w:ascii="Times New Roman" w:eastAsia="Times New Roman" w:hAnsi="Times New Roman" w:cs="Times New Roman"/>
          <w:sz w:val="24"/>
          <w:szCs w:val="24"/>
        </w:rPr>
        <w:br/>
      </w:r>
    </w:p>
    <w:p w14:paraId="388A7E6B" w14:textId="6EB41C90" w:rsidR="00105434" w:rsidRDefault="00F34428" w:rsidP="00F34428">
      <w:pPr>
        <w:spacing w:after="240" w:line="240" w:lineRule="auto"/>
        <w:rPr>
          <w:rFonts w:ascii="Times New Roman" w:eastAsia="Times New Roman" w:hAnsi="Times New Roman" w:cs="Times New Roman"/>
          <w:sz w:val="24"/>
          <w:szCs w:val="24"/>
        </w:rPr>
      </w:pPr>
      <w:r w:rsidRPr="00F34428">
        <w:rPr>
          <w:rFonts w:ascii="Times New Roman" w:eastAsia="Times New Roman" w:hAnsi="Times New Roman" w:cs="Times New Roman"/>
          <w:sz w:val="24"/>
          <w:szCs w:val="24"/>
        </w:rPr>
        <w:t xml:space="preserve">Kabir (2002) considers that product and service innovations and group-based loans are driving Bangladesh's microfinance industry. Grameen Bank </w:t>
      </w:r>
      <w:proofErr w:type="spellStart"/>
      <w:r w:rsidRPr="00F34428">
        <w:rPr>
          <w:rFonts w:ascii="Times New Roman" w:eastAsia="Times New Roman" w:hAnsi="Times New Roman" w:cs="Times New Roman"/>
          <w:sz w:val="24"/>
          <w:szCs w:val="24"/>
        </w:rPr>
        <w:t>revolutionised</w:t>
      </w:r>
      <w:proofErr w:type="spellEnd"/>
      <w:r w:rsidRPr="00F34428">
        <w:rPr>
          <w:rFonts w:ascii="Times New Roman" w:eastAsia="Times New Roman" w:hAnsi="Times New Roman" w:cs="Times New Roman"/>
          <w:sz w:val="24"/>
          <w:szCs w:val="24"/>
        </w:rPr>
        <w:t xml:space="preserve"> lending by tailoring loans to each consumer. </w:t>
      </w:r>
    </w:p>
    <w:p w14:paraId="1A1C37A0" w14:textId="74613254" w:rsidR="00B859DE" w:rsidRPr="002C5D1A" w:rsidRDefault="00B859DE" w:rsidP="00B859DE">
      <w:pPr>
        <w:autoSpaceDE w:val="0"/>
        <w:autoSpaceDN w:val="0"/>
        <w:adjustRightInd w:val="0"/>
        <w:spacing w:after="0" w:line="240" w:lineRule="auto"/>
        <w:rPr>
          <w:rFonts w:ascii="AdvOT1bee1dd8.B" w:hAnsi="AdvOT1bee1dd8.B" w:cs="AdvOT1bee1dd8.B"/>
          <w:color w:val="FF0000"/>
          <w:sz w:val="43"/>
          <w:szCs w:val="43"/>
        </w:rPr>
      </w:pPr>
      <w:r w:rsidRPr="00B859DE">
        <w:rPr>
          <w:rFonts w:ascii="Times New Roman" w:eastAsia="Times New Roman" w:hAnsi="Times New Roman" w:cs="Times New Roman"/>
          <w:sz w:val="24"/>
          <w:szCs w:val="24"/>
        </w:rPr>
        <w:t xml:space="preserve">The elements that affect microfinance institutions' performance in Bangladesh are poorly researched, despite repeated attempts. </w:t>
      </w:r>
      <w:r w:rsidRPr="00B859DE">
        <w:rPr>
          <w:rFonts w:ascii="Times New Roman" w:eastAsia="Times New Roman" w:hAnsi="Times New Roman" w:cs="Times New Roman"/>
          <w:sz w:val="24"/>
          <w:szCs w:val="24"/>
        </w:rPr>
        <w:br/>
      </w:r>
      <w:r w:rsidRPr="00B859DE">
        <w:rPr>
          <w:rFonts w:ascii="Times New Roman" w:eastAsia="Times New Roman" w:hAnsi="Times New Roman" w:cs="Times New Roman"/>
          <w:sz w:val="24"/>
          <w:szCs w:val="24"/>
        </w:rPr>
        <w:br/>
      </w:r>
      <w:r w:rsidRPr="002C5D1A">
        <w:rPr>
          <w:rFonts w:ascii="AdvOT1bee1dd8.B" w:hAnsi="AdvOT1bee1dd8.B" w:cs="AdvOT1bee1dd8.B"/>
          <w:color w:val="FF0000"/>
          <w:sz w:val="43"/>
          <w:szCs w:val="43"/>
        </w:rPr>
        <w:t>Handling default risks in</w:t>
      </w:r>
      <w:r w:rsidRPr="002C5D1A">
        <w:rPr>
          <w:rFonts w:ascii="AdvOT1bee1dd8.B" w:hAnsi="AdvOT1bee1dd8.B" w:cs="AdvOT1bee1dd8.B"/>
          <w:color w:val="FF0000"/>
          <w:sz w:val="43"/>
          <w:szCs w:val="43"/>
        </w:rPr>
        <w:t xml:space="preserve"> </w:t>
      </w:r>
      <w:r w:rsidRPr="002C5D1A">
        <w:rPr>
          <w:rFonts w:ascii="AdvOT1bee1dd8.B" w:hAnsi="AdvOT1bee1dd8.B" w:cs="AdvOT1bee1dd8.B"/>
          <w:color w:val="FF0000"/>
          <w:sz w:val="43"/>
          <w:szCs w:val="43"/>
        </w:rPr>
        <w:t>micro</w:t>
      </w:r>
      <w:r w:rsidRPr="002C5D1A">
        <w:rPr>
          <w:rFonts w:ascii="AdvOT1bee1dd8.B+fb" w:hAnsi="AdvOT1bee1dd8.B+fb" w:cs="AdvOT1bee1dd8.B+fb"/>
          <w:color w:val="FF0000"/>
          <w:sz w:val="43"/>
          <w:szCs w:val="43"/>
        </w:rPr>
        <w:t>fi</w:t>
      </w:r>
      <w:r w:rsidRPr="002C5D1A">
        <w:rPr>
          <w:rFonts w:ascii="AdvOT1bee1dd8.B" w:hAnsi="AdvOT1bee1dd8.B" w:cs="AdvOT1bee1dd8.B"/>
          <w:color w:val="FF0000"/>
          <w:sz w:val="43"/>
          <w:szCs w:val="43"/>
        </w:rPr>
        <w:t>nance: the case</w:t>
      </w:r>
    </w:p>
    <w:p w14:paraId="0EB8AD56" w14:textId="478EBF87" w:rsidR="00F34428" w:rsidRDefault="00B859DE" w:rsidP="00B859DE">
      <w:pPr>
        <w:spacing w:after="240" w:line="240" w:lineRule="auto"/>
        <w:rPr>
          <w:rFonts w:ascii="Times New Roman" w:eastAsia="Times New Roman" w:hAnsi="Times New Roman" w:cs="Times New Roman"/>
          <w:sz w:val="24"/>
          <w:szCs w:val="24"/>
        </w:rPr>
      </w:pPr>
      <w:r w:rsidRPr="002C5D1A">
        <w:rPr>
          <w:rFonts w:ascii="AdvOT1bee1dd8.B" w:hAnsi="AdvOT1bee1dd8.B" w:cs="AdvOT1bee1dd8.B"/>
          <w:color w:val="FF0000"/>
          <w:sz w:val="43"/>
          <w:szCs w:val="43"/>
        </w:rPr>
        <w:t>of Bangladesh</w:t>
      </w:r>
    </w:p>
    <w:p w14:paraId="280B10A4" w14:textId="56189C04" w:rsidR="00B859DE" w:rsidRDefault="00B859DE" w:rsidP="00F34428">
      <w:pPr>
        <w:spacing w:after="240" w:line="240" w:lineRule="auto"/>
        <w:rPr>
          <w:rFonts w:ascii="Times New Roman" w:eastAsia="Times New Roman" w:hAnsi="Times New Roman" w:cs="Times New Roman"/>
          <w:sz w:val="24"/>
          <w:szCs w:val="24"/>
        </w:rPr>
      </w:pPr>
      <w:r w:rsidRPr="00B859DE">
        <w:rPr>
          <w:rFonts w:ascii="Times New Roman" w:eastAsia="Times New Roman" w:hAnsi="Times New Roman" w:cs="Times New Roman"/>
          <w:sz w:val="24"/>
          <w:szCs w:val="24"/>
        </w:rPr>
        <w:t xml:space="preserve">The cornerstone of microfinance is small loans to low-income individuals. </w:t>
      </w:r>
      <w:r w:rsidRPr="00B859DE">
        <w:rPr>
          <w:rFonts w:ascii="Times New Roman" w:eastAsia="Times New Roman" w:hAnsi="Times New Roman" w:cs="Times New Roman"/>
          <w:sz w:val="24"/>
          <w:szCs w:val="24"/>
        </w:rPr>
        <w:br/>
        <w:t>Microfinance services like savings accounts and loans may assist low-income clients improve their income and quality of life (</w:t>
      </w:r>
      <w:proofErr w:type="spellStart"/>
      <w:r w:rsidRPr="00B859DE">
        <w:rPr>
          <w:rFonts w:ascii="Times New Roman" w:eastAsia="Times New Roman" w:hAnsi="Times New Roman" w:cs="Times New Roman"/>
          <w:sz w:val="24"/>
          <w:szCs w:val="24"/>
        </w:rPr>
        <w:t>Khandker</w:t>
      </w:r>
      <w:proofErr w:type="spellEnd"/>
      <w:r w:rsidRPr="00B859DE">
        <w:rPr>
          <w:rFonts w:ascii="Times New Roman" w:eastAsia="Times New Roman" w:hAnsi="Times New Roman" w:cs="Times New Roman"/>
          <w:sz w:val="24"/>
          <w:szCs w:val="24"/>
        </w:rPr>
        <w:t xml:space="preserve">, 2005). According to </w:t>
      </w:r>
      <w:proofErr w:type="gramStart"/>
      <w:r w:rsidRPr="00B859DE">
        <w:rPr>
          <w:rFonts w:ascii="Times New Roman" w:eastAsia="Times New Roman" w:hAnsi="Times New Roman" w:cs="Times New Roman"/>
          <w:sz w:val="24"/>
          <w:szCs w:val="24"/>
        </w:rPr>
        <w:t>this statistics</w:t>
      </w:r>
      <w:proofErr w:type="gramEnd"/>
      <w:r w:rsidRPr="00B859DE">
        <w:rPr>
          <w:rFonts w:ascii="Times New Roman" w:eastAsia="Times New Roman" w:hAnsi="Times New Roman" w:cs="Times New Roman"/>
          <w:sz w:val="24"/>
          <w:szCs w:val="24"/>
        </w:rPr>
        <w:t xml:space="preserve">, microfinance is small-scale funding. Not paying on time or repaying a debt is a default. The probability that debtors would not pay was called default risk. Very little research has been done on MFI default risk. </w:t>
      </w:r>
    </w:p>
    <w:p w14:paraId="2DE1AF0C" w14:textId="77777777" w:rsidR="00B82C97" w:rsidRPr="00B82C97" w:rsidRDefault="00B82C97" w:rsidP="00B82C97">
      <w:pPr>
        <w:spacing w:after="240" w:line="240" w:lineRule="auto"/>
        <w:rPr>
          <w:rFonts w:ascii="Times New Roman" w:eastAsia="Times New Roman" w:hAnsi="Times New Roman" w:cs="Times New Roman"/>
          <w:sz w:val="24"/>
          <w:szCs w:val="24"/>
        </w:rPr>
      </w:pPr>
      <w:r w:rsidRPr="00B82C97">
        <w:rPr>
          <w:rFonts w:ascii="Times New Roman" w:eastAsia="Times New Roman" w:hAnsi="Times New Roman" w:cs="Times New Roman"/>
          <w:sz w:val="24"/>
          <w:szCs w:val="24"/>
        </w:rPr>
        <w:t xml:space="preserve">Pelka et al. (2015) </w:t>
      </w:r>
      <w:proofErr w:type="spellStart"/>
      <w:r w:rsidRPr="00B82C97">
        <w:rPr>
          <w:rFonts w:ascii="Times New Roman" w:eastAsia="Times New Roman" w:hAnsi="Times New Roman" w:cs="Times New Roman"/>
          <w:sz w:val="24"/>
          <w:szCs w:val="24"/>
        </w:rPr>
        <w:t>analysed</w:t>
      </w:r>
      <w:proofErr w:type="spellEnd"/>
      <w:r w:rsidRPr="00B82C97">
        <w:rPr>
          <w:rFonts w:ascii="Times New Roman" w:eastAsia="Times New Roman" w:hAnsi="Times New Roman" w:cs="Times New Roman"/>
          <w:sz w:val="24"/>
          <w:szCs w:val="24"/>
        </w:rPr>
        <w:t xml:space="preserve"> agricultural microfinance precipitation and loan risk. Farmers received most of </w:t>
      </w:r>
      <w:proofErr w:type="spellStart"/>
      <w:r w:rsidRPr="00B82C97">
        <w:rPr>
          <w:rFonts w:ascii="Times New Roman" w:eastAsia="Times New Roman" w:hAnsi="Times New Roman" w:cs="Times New Roman"/>
          <w:sz w:val="24"/>
          <w:szCs w:val="24"/>
        </w:rPr>
        <w:t>Acces</w:t>
      </w:r>
      <w:proofErr w:type="spellEnd"/>
      <w:r w:rsidRPr="00B82C97">
        <w:rPr>
          <w:rFonts w:ascii="Times New Roman" w:eastAsia="Times New Roman" w:hAnsi="Times New Roman" w:cs="Times New Roman"/>
          <w:sz w:val="24"/>
          <w:szCs w:val="24"/>
        </w:rPr>
        <w:t xml:space="preserve"> Banque Madagascar's 3,847 microloans from 2007 to 2012. The models include three interdependent criteria: small-scale farmers' loan repayment, </w:t>
      </w:r>
      <w:proofErr w:type="spellStart"/>
      <w:r w:rsidRPr="00B82C97">
        <w:rPr>
          <w:rFonts w:ascii="Times New Roman" w:eastAsia="Times New Roman" w:hAnsi="Times New Roman" w:cs="Times New Roman"/>
          <w:sz w:val="24"/>
          <w:szCs w:val="24"/>
        </w:rPr>
        <w:t>standardised</w:t>
      </w:r>
      <w:proofErr w:type="spellEnd"/>
      <w:r w:rsidRPr="00B82C97">
        <w:rPr>
          <w:rFonts w:ascii="Times New Roman" w:eastAsia="Times New Roman" w:hAnsi="Times New Roman" w:cs="Times New Roman"/>
          <w:sz w:val="24"/>
          <w:szCs w:val="24"/>
        </w:rPr>
        <w:t xml:space="preserve"> microloans' agricultural sector suitability, and "repeat clients". Credit risk decreases with excellent repayment performance and increases with negative performance. </w:t>
      </w:r>
      <w:proofErr w:type="spellStart"/>
      <w:r w:rsidRPr="00B82C97">
        <w:rPr>
          <w:rFonts w:ascii="Times New Roman" w:eastAsia="Times New Roman" w:hAnsi="Times New Roman" w:cs="Times New Roman"/>
          <w:sz w:val="24"/>
          <w:szCs w:val="24"/>
        </w:rPr>
        <w:t>Standardising</w:t>
      </w:r>
      <w:proofErr w:type="spellEnd"/>
      <w:r w:rsidRPr="00B82C97">
        <w:rPr>
          <w:rFonts w:ascii="Times New Roman" w:eastAsia="Times New Roman" w:hAnsi="Times New Roman" w:cs="Times New Roman"/>
          <w:sz w:val="24"/>
          <w:szCs w:val="24"/>
        </w:rPr>
        <w:t xml:space="preserve"> microloans may have increased MFI credit risk. Being a "repeat client" significantly decreases CRI-1 and CRI-30 repayment performance. Thus, many loans to the same client with at least one 30-day late payment raise credit risk. </w:t>
      </w:r>
      <w:r w:rsidRPr="00B82C97">
        <w:rPr>
          <w:rFonts w:ascii="Times New Roman" w:eastAsia="Times New Roman" w:hAnsi="Times New Roman" w:cs="Times New Roman"/>
          <w:sz w:val="24"/>
          <w:szCs w:val="24"/>
        </w:rPr>
        <w:br/>
      </w:r>
      <w:r w:rsidRPr="00B82C97">
        <w:rPr>
          <w:rFonts w:ascii="Times New Roman" w:eastAsia="Times New Roman" w:hAnsi="Times New Roman" w:cs="Times New Roman"/>
          <w:sz w:val="24"/>
          <w:szCs w:val="24"/>
        </w:rPr>
        <w:br/>
      </w:r>
      <w:r w:rsidRPr="00B82C97">
        <w:rPr>
          <w:rFonts w:ascii="Times New Roman" w:eastAsia="Times New Roman" w:hAnsi="Times New Roman" w:cs="Times New Roman"/>
          <w:sz w:val="24"/>
          <w:szCs w:val="24"/>
        </w:rPr>
        <w:br/>
      </w:r>
    </w:p>
    <w:p w14:paraId="1DE77EC9" w14:textId="77777777" w:rsidR="00B82C97" w:rsidRDefault="00B82C97" w:rsidP="00B82C97">
      <w:pPr>
        <w:spacing w:after="240"/>
        <w:rPr>
          <w:rFonts w:ascii="Times New Roman" w:eastAsia="Times New Roman" w:hAnsi="Times New Roman" w:cs="Times New Roman"/>
          <w:sz w:val="24"/>
          <w:szCs w:val="24"/>
        </w:rPr>
      </w:pPr>
      <w:proofErr w:type="spellStart"/>
      <w:r w:rsidRPr="00B82C97">
        <w:rPr>
          <w:rFonts w:ascii="Times New Roman" w:eastAsia="Times New Roman" w:hAnsi="Times New Roman" w:cs="Times New Roman"/>
          <w:sz w:val="24"/>
          <w:szCs w:val="24"/>
        </w:rPr>
        <w:t>Wardiwiyono</w:t>
      </w:r>
      <w:proofErr w:type="spellEnd"/>
      <w:r w:rsidRPr="00B82C97">
        <w:rPr>
          <w:rFonts w:ascii="Times New Roman" w:eastAsia="Times New Roman" w:hAnsi="Times New Roman" w:cs="Times New Roman"/>
          <w:sz w:val="24"/>
          <w:szCs w:val="24"/>
        </w:rPr>
        <w:t xml:space="preserve"> (2012) examined BMT Yogyakarta's Islamic microfinance ICS for Indonesia's Baitul Mal wat </w:t>
      </w:r>
      <w:proofErr w:type="spellStart"/>
      <w:r w:rsidRPr="00B82C97">
        <w:rPr>
          <w:rFonts w:ascii="Times New Roman" w:eastAsia="Times New Roman" w:hAnsi="Times New Roman" w:cs="Times New Roman"/>
          <w:sz w:val="24"/>
          <w:szCs w:val="24"/>
        </w:rPr>
        <w:t>Tamweel</w:t>
      </w:r>
      <w:proofErr w:type="spellEnd"/>
      <w:r w:rsidRPr="00B82C97">
        <w:rPr>
          <w:rFonts w:ascii="Times New Roman" w:eastAsia="Times New Roman" w:hAnsi="Times New Roman" w:cs="Times New Roman"/>
          <w:sz w:val="24"/>
          <w:szCs w:val="24"/>
        </w:rPr>
        <w:t xml:space="preserve">. Within ICS's five components—control environment, risk assessment, control activities, information and communication, and monitoring—external auditors, regular inspections, and spontaneous customer inspections were the most prevalent implementation activities. A BMT resolved management approval and Shariah Supervisory Board supervision difficulties. </w:t>
      </w:r>
      <w:r w:rsidRPr="00B82C97">
        <w:rPr>
          <w:rFonts w:ascii="Times New Roman" w:eastAsia="Times New Roman" w:hAnsi="Times New Roman" w:cs="Times New Roman"/>
          <w:sz w:val="24"/>
          <w:szCs w:val="24"/>
        </w:rPr>
        <w:br/>
      </w:r>
      <w:r w:rsidRPr="00B82C97">
        <w:rPr>
          <w:rFonts w:ascii="Times New Roman" w:eastAsia="Times New Roman" w:hAnsi="Times New Roman" w:cs="Times New Roman"/>
          <w:sz w:val="24"/>
          <w:szCs w:val="24"/>
        </w:rPr>
        <w:br/>
      </w:r>
      <w:r w:rsidRPr="00B82C97">
        <w:rPr>
          <w:rFonts w:ascii="Times New Roman" w:eastAsia="Times New Roman" w:hAnsi="Times New Roman" w:cs="Times New Roman"/>
          <w:sz w:val="24"/>
          <w:szCs w:val="24"/>
        </w:rPr>
        <w:br/>
      </w:r>
      <w:r w:rsidRPr="00B82C97">
        <w:rPr>
          <w:rFonts w:ascii="Times New Roman" w:eastAsia="Times New Roman" w:hAnsi="Times New Roman" w:cs="Times New Roman"/>
          <w:sz w:val="24"/>
          <w:szCs w:val="24"/>
        </w:rPr>
        <w:br/>
        <w:t xml:space="preserve">In 2013, </w:t>
      </w:r>
      <w:proofErr w:type="spellStart"/>
      <w:r w:rsidRPr="00B82C97">
        <w:rPr>
          <w:rFonts w:ascii="Times New Roman" w:eastAsia="Times New Roman" w:hAnsi="Times New Roman" w:cs="Times New Roman"/>
          <w:sz w:val="24"/>
          <w:szCs w:val="24"/>
        </w:rPr>
        <w:t>Ibtissem</w:t>
      </w:r>
      <w:proofErr w:type="spellEnd"/>
      <w:r w:rsidRPr="00B82C97">
        <w:rPr>
          <w:rFonts w:ascii="Times New Roman" w:eastAsia="Times New Roman" w:hAnsi="Times New Roman" w:cs="Times New Roman"/>
          <w:sz w:val="24"/>
          <w:szCs w:val="24"/>
        </w:rPr>
        <w:t xml:space="preserve"> and </w:t>
      </w:r>
      <w:proofErr w:type="spellStart"/>
      <w:r w:rsidRPr="00B82C97">
        <w:rPr>
          <w:rFonts w:ascii="Times New Roman" w:eastAsia="Times New Roman" w:hAnsi="Times New Roman" w:cs="Times New Roman"/>
          <w:sz w:val="24"/>
          <w:szCs w:val="24"/>
        </w:rPr>
        <w:t>Bouri</w:t>
      </w:r>
      <w:proofErr w:type="spellEnd"/>
      <w:r w:rsidRPr="00B82C97">
        <w:rPr>
          <w:rFonts w:ascii="Times New Roman" w:eastAsia="Times New Roman" w:hAnsi="Times New Roman" w:cs="Times New Roman"/>
          <w:sz w:val="24"/>
          <w:szCs w:val="24"/>
        </w:rPr>
        <w:t xml:space="preserve"> highlighted MFI credit or default risk management difficulties. Microentrepreneur data is hard to get and costly. </w:t>
      </w:r>
      <w:r w:rsidRPr="00B82C97">
        <w:rPr>
          <w:rFonts w:ascii="Times New Roman" w:eastAsia="Times New Roman" w:hAnsi="Times New Roman" w:cs="Times New Roman"/>
          <w:sz w:val="24"/>
          <w:szCs w:val="24"/>
        </w:rPr>
        <w:br/>
        <w:t>Information asymmetries may make microenterprises credit-vulnerable (</w:t>
      </w:r>
      <w:proofErr w:type="spellStart"/>
      <w:r w:rsidRPr="00B82C97">
        <w:rPr>
          <w:rFonts w:ascii="Times New Roman" w:eastAsia="Times New Roman" w:hAnsi="Times New Roman" w:cs="Times New Roman"/>
          <w:sz w:val="24"/>
          <w:szCs w:val="24"/>
        </w:rPr>
        <w:t>Godquin</w:t>
      </w:r>
      <w:proofErr w:type="spellEnd"/>
      <w:r w:rsidRPr="00B82C97">
        <w:rPr>
          <w:rFonts w:ascii="Times New Roman" w:eastAsia="Times New Roman" w:hAnsi="Times New Roman" w:cs="Times New Roman"/>
          <w:sz w:val="24"/>
          <w:szCs w:val="24"/>
        </w:rPr>
        <w:t xml:space="preserve">, 2004). </w:t>
      </w:r>
      <w:proofErr w:type="spellStart"/>
      <w:r w:rsidRPr="00B82C97">
        <w:rPr>
          <w:rFonts w:ascii="Times New Roman" w:eastAsia="Times New Roman" w:hAnsi="Times New Roman" w:cs="Times New Roman"/>
          <w:sz w:val="24"/>
          <w:szCs w:val="24"/>
        </w:rPr>
        <w:lastRenderedPageBreak/>
        <w:t>Nanayakkara</w:t>
      </w:r>
      <w:proofErr w:type="spellEnd"/>
      <w:r w:rsidRPr="00B82C97">
        <w:rPr>
          <w:rFonts w:ascii="Times New Roman" w:eastAsia="Times New Roman" w:hAnsi="Times New Roman" w:cs="Times New Roman"/>
          <w:sz w:val="24"/>
          <w:szCs w:val="24"/>
        </w:rPr>
        <w:t xml:space="preserve"> and Stewart (2015) define an information imbalance as lender-borrower mistrust. Information size asymmetry affects credit risk. MFIs try numerous ways to mitigate loan risk due to information asymmetries. Collateral and multiple screenings are employed (</w:t>
      </w:r>
      <w:proofErr w:type="spellStart"/>
      <w:r w:rsidRPr="00B82C97">
        <w:rPr>
          <w:rFonts w:ascii="Times New Roman" w:eastAsia="Times New Roman" w:hAnsi="Times New Roman" w:cs="Times New Roman"/>
          <w:sz w:val="24"/>
          <w:szCs w:val="24"/>
        </w:rPr>
        <w:t>Ibtissem</w:t>
      </w:r>
      <w:proofErr w:type="spellEnd"/>
      <w:r w:rsidRPr="00B82C97">
        <w:rPr>
          <w:rFonts w:ascii="Times New Roman" w:eastAsia="Times New Roman" w:hAnsi="Times New Roman" w:cs="Times New Roman"/>
          <w:sz w:val="24"/>
          <w:szCs w:val="24"/>
        </w:rPr>
        <w:t xml:space="preserve"> and </w:t>
      </w:r>
      <w:proofErr w:type="spellStart"/>
      <w:r w:rsidRPr="00B82C97">
        <w:rPr>
          <w:rFonts w:ascii="Times New Roman" w:eastAsia="Times New Roman" w:hAnsi="Times New Roman" w:cs="Times New Roman"/>
          <w:sz w:val="24"/>
          <w:szCs w:val="24"/>
        </w:rPr>
        <w:t>Bouri</w:t>
      </w:r>
      <w:proofErr w:type="spellEnd"/>
      <w:r w:rsidRPr="00B82C97">
        <w:rPr>
          <w:rFonts w:ascii="Times New Roman" w:eastAsia="Times New Roman" w:hAnsi="Times New Roman" w:cs="Times New Roman"/>
          <w:sz w:val="24"/>
          <w:szCs w:val="24"/>
        </w:rPr>
        <w:t xml:space="preserve">, 2013; Rahman et al., 2014). To prevent credit market collapse, </w:t>
      </w:r>
      <w:proofErr w:type="spellStart"/>
      <w:r w:rsidRPr="00B82C97">
        <w:rPr>
          <w:rFonts w:ascii="Times New Roman" w:eastAsia="Times New Roman" w:hAnsi="Times New Roman" w:cs="Times New Roman"/>
          <w:sz w:val="24"/>
          <w:szCs w:val="24"/>
        </w:rPr>
        <w:t>Wulandari</w:t>
      </w:r>
      <w:proofErr w:type="spellEnd"/>
      <w:r w:rsidRPr="00B82C97">
        <w:rPr>
          <w:rFonts w:ascii="Times New Roman" w:eastAsia="Times New Roman" w:hAnsi="Times New Roman" w:cs="Times New Roman"/>
          <w:sz w:val="24"/>
          <w:szCs w:val="24"/>
        </w:rPr>
        <w:t xml:space="preserve"> and Kasim (2016) suggest local knowledge-based shared duty. Another issue is borrower moral hazard. </w:t>
      </w:r>
      <w:proofErr w:type="spellStart"/>
      <w:r w:rsidRPr="00B82C97">
        <w:rPr>
          <w:rFonts w:ascii="Times New Roman" w:eastAsia="Times New Roman" w:hAnsi="Times New Roman" w:cs="Times New Roman"/>
          <w:sz w:val="24"/>
          <w:szCs w:val="24"/>
        </w:rPr>
        <w:t>Nanayakkara</w:t>
      </w:r>
      <w:proofErr w:type="spellEnd"/>
      <w:r w:rsidRPr="00B82C97">
        <w:rPr>
          <w:rFonts w:ascii="Times New Roman" w:eastAsia="Times New Roman" w:hAnsi="Times New Roman" w:cs="Times New Roman"/>
          <w:sz w:val="24"/>
          <w:szCs w:val="24"/>
        </w:rPr>
        <w:t xml:space="preserve"> and Stewart (2015) say moral hazard increases default risk when borrowers misuse loans. Schreiner (2000) believes microcredit's biggest challenge is "managing the risk that a client will behave 'badly,' whether by defaulting, paying late, or not returning for repeat loans." These methods increase moral hazard, making microfinance riskier. Sharing responsibility in group lending may </w:t>
      </w:r>
      <w:proofErr w:type="spellStart"/>
      <w:r w:rsidRPr="00B82C97">
        <w:rPr>
          <w:rFonts w:ascii="Times New Roman" w:eastAsia="Times New Roman" w:hAnsi="Times New Roman" w:cs="Times New Roman"/>
          <w:sz w:val="24"/>
          <w:szCs w:val="24"/>
        </w:rPr>
        <w:t>minimise</w:t>
      </w:r>
      <w:proofErr w:type="spellEnd"/>
      <w:r w:rsidRPr="00B82C97">
        <w:rPr>
          <w:rFonts w:ascii="Times New Roman" w:eastAsia="Times New Roman" w:hAnsi="Times New Roman" w:cs="Times New Roman"/>
          <w:sz w:val="24"/>
          <w:szCs w:val="24"/>
        </w:rPr>
        <w:t xml:space="preserve"> moral hazard by motivating borrowers to monitor and repay loans (</w:t>
      </w:r>
      <w:proofErr w:type="spellStart"/>
      <w:r w:rsidRPr="00B82C97">
        <w:rPr>
          <w:rFonts w:ascii="Times New Roman" w:eastAsia="Times New Roman" w:hAnsi="Times New Roman" w:cs="Times New Roman"/>
          <w:sz w:val="24"/>
          <w:szCs w:val="24"/>
        </w:rPr>
        <w:t>Ibtissem</w:t>
      </w:r>
      <w:proofErr w:type="spellEnd"/>
      <w:r w:rsidRPr="00B82C97">
        <w:rPr>
          <w:rFonts w:ascii="Times New Roman" w:eastAsia="Times New Roman" w:hAnsi="Times New Roman" w:cs="Times New Roman"/>
          <w:sz w:val="24"/>
          <w:szCs w:val="24"/>
        </w:rPr>
        <w:t xml:space="preserve"> and </w:t>
      </w:r>
      <w:proofErr w:type="spellStart"/>
      <w:r w:rsidRPr="00B82C97">
        <w:rPr>
          <w:rFonts w:ascii="Times New Roman" w:eastAsia="Times New Roman" w:hAnsi="Times New Roman" w:cs="Times New Roman"/>
          <w:sz w:val="24"/>
          <w:szCs w:val="24"/>
        </w:rPr>
        <w:t>Bouri</w:t>
      </w:r>
      <w:proofErr w:type="spellEnd"/>
      <w:r w:rsidRPr="00B82C97">
        <w:rPr>
          <w:rFonts w:ascii="Times New Roman" w:eastAsia="Times New Roman" w:hAnsi="Times New Roman" w:cs="Times New Roman"/>
          <w:sz w:val="24"/>
          <w:szCs w:val="24"/>
        </w:rPr>
        <w:t xml:space="preserve">, 2013). </w:t>
      </w:r>
    </w:p>
    <w:p w14:paraId="73DF43EB" w14:textId="3748D5CA" w:rsidR="00B82C97" w:rsidRPr="00B82C97" w:rsidRDefault="00B82C97" w:rsidP="00B82C97">
      <w:pPr>
        <w:spacing w:after="240"/>
        <w:rPr>
          <w:rFonts w:ascii="Times New Roman" w:eastAsia="Times New Roman" w:hAnsi="Times New Roman" w:cs="Times New Roman"/>
          <w:sz w:val="24"/>
          <w:szCs w:val="24"/>
        </w:rPr>
      </w:pPr>
      <w:r w:rsidRPr="00B82C97">
        <w:rPr>
          <w:rFonts w:ascii="Times New Roman" w:eastAsia="Times New Roman" w:hAnsi="Times New Roman" w:cs="Times New Roman"/>
          <w:sz w:val="24"/>
          <w:szCs w:val="24"/>
        </w:rPr>
        <w:t>Third, management and moral hazard plague Islamic MFIs, especially BMT (</w:t>
      </w:r>
      <w:proofErr w:type="spellStart"/>
      <w:r w:rsidRPr="00B82C97">
        <w:rPr>
          <w:rFonts w:ascii="Times New Roman" w:eastAsia="Times New Roman" w:hAnsi="Times New Roman" w:cs="Times New Roman"/>
          <w:sz w:val="24"/>
          <w:szCs w:val="24"/>
        </w:rPr>
        <w:t>Riwajanti</w:t>
      </w:r>
      <w:proofErr w:type="spellEnd"/>
      <w:r w:rsidRPr="00B82C97">
        <w:rPr>
          <w:rFonts w:ascii="Times New Roman" w:eastAsia="Times New Roman" w:hAnsi="Times New Roman" w:cs="Times New Roman"/>
          <w:sz w:val="24"/>
          <w:szCs w:val="24"/>
        </w:rPr>
        <w:t>, 2014). It struggles with financial, physical, human, and other resources, expertise, equipment, and a solid legal foundation. Some Indonesian BMTs failed because to financial mismanagement and Shariah compliance (</w:t>
      </w:r>
      <w:proofErr w:type="spellStart"/>
      <w:r w:rsidRPr="00B82C97">
        <w:rPr>
          <w:rFonts w:ascii="Times New Roman" w:eastAsia="Times New Roman" w:hAnsi="Times New Roman" w:cs="Times New Roman"/>
          <w:sz w:val="24"/>
          <w:szCs w:val="24"/>
        </w:rPr>
        <w:t>Mu'allim</w:t>
      </w:r>
      <w:proofErr w:type="spellEnd"/>
      <w:r w:rsidRPr="00B82C97">
        <w:rPr>
          <w:rFonts w:ascii="Times New Roman" w:eastAsia="Times New Roman" w:hAnsi="Times New Roman" w:cs="Times New Roman"/>
          <w:sz w:val="24"/>
          <w:szCs w:val="24"/>
        </w:rPr>
        <w:t xml:space="preserve"> and Abidin, 2005 in Adnan and </w:t>
      </w:r>
      <w:proofErr w:type="spellStart"/>
      <w:r w:rsidRPr="00B82C97">
        <w:rPr>
          <w:rFonts w:ascii="Times New Roman" w:eastAsia="Times New Roman" w:hAnsi="Times New Roman" w:cs="Times New Roman"/>
          <w:sz w:val="24"/>
          <w:szCs w:val="24"/>
        </w:rPr>
        <w:t>Ajija</w:t>
      </w:r>
      <w:proofErr w:type="spellEnd"/>
      <w:r w:rsidRPr="00B82C97">
        <w:rPr>
          <w:rFonts w:ascii="Times New Roman" w:eastAsia="Times New Roman" w:hAnsi="Times New Roman" w:cs="Times New Roman"/>
          <w:sz w:val="24"/>
          <w:szCs w:val="24"/>
        </w:rPr>
        <w:t>, 2015). Implementing a dependable ICS may assist (</w:t>
      </w:r>
      <w:proofErr w:type="spellStart"/>
      <w:r w:rsidRPr="00B82C97">
        <w:rPr>
          <w:rFonts w:ascii="Times New Roman" w:eastAsia="Times New Roman" w:hAnsi="Times New Roman" w:cs="Times New Roman"/>
          <w:sz w:val="24"/>
          <w:szCs w:val="24"/>
        </w:rPr>
        <w:t>Wardiwiyono</w:t>
      </w:r>
      <w:proofErr w:type="spellEnd"/>
      <w:r w:rsidRPr="00B82C97">
        <w:rPr>
          <w:rFonts w:ascii="Times New Roman" w:eastAsia="Times New Roman" w:hAnsi="Times New Roman" w:cs="Times New Roman"/>
          <w:sz w:val="24"/>
          <w:szCs w:val="24"/>
        </w:rPr>
        <w:t xml:space="preserve">, 2012). BMT customers have similar management issues. </w:t>
      </w:r>
      <w:proofErr w:type="spellStart"/>
      <w:r w:rsidRPr="00B82C97">
        <w:rPr>
          <w:rFonts w:ascii="Times New Roman" w:eastAsia="Times New Roman" w:hAnsi="Times New Roman" w:cs="Times New Roman"/>
          <w:sz w:val="24"/>
          <w:szCs w:val="24"/>
        </w:rPr>
        <w:t>Ibtissem</w:t>
      </w:r>
      <w:proofErr w:type="spellEnd"/>
      <w:r w:rsidRPr="00B82C97">
        <w:rPr>
          <w:rFonts w:ascii="Times New Roman" w:eastAsia="Times New Roman" w:hAnsi="Times New Roman" w:cs="Times New Roman"/>
          <w:sz w:val="24"/>
          <w:szCs w:val="24"/>
        </w:rPr>
        <w:t xml:space="preserve"> and </w:t>
      </w:r>
      <w:proofErr w:type="spellStart"/>
      <w:r w:rsidRPr="00B82C97">
        <w:rPr>
          <w:rFonts w:ascii="Times New Roman" w:eastAsia="Times New Roman" w:hAnsi="Times New Roman" w:cs="Times New Roman"/>
          <w:sz w:val="24"/>
          <w:szCs w:val="24"/>
        </w:rPr>
        <w:t>Bouri</w:t>
      </w:r>
      <w:proofErr w:type="spellEnd"/>
      <w:r w:rsidRPr="00B82C97">
        <w:rPr>
          <w:rFonts w:ascii="Times New Roman" w:eastAsia="Times New Roman" w:hAnsi="Times New Roman" w:cs="Times New Roman"/>
          <w:sz w:val="24"/>
          <w:szCs w:val="24"/>
        </w:rPr>
        <w:t xml:space="preserve"> (2013) say training and updating help management without money. </w:t>
      </w:r>
      <w:r w:rsidRPr="00B82C97">
        <w:rPr>
          <w:rFonts w:ascii="Times New Roman" w:eastAsia="Times New Roman" w:hAnsi="Times New Roman" w:cs="Times New Roman"/>
          <w:sz w:val="24"/>
          <w:szCs w:val="24"/>
        </w:rPr>
        <w:br/>
      </w:r>
      <w:r w:rsidRPr="00B82C97">
        <w:rPr>
          <w:rFonts w:ascii="Times New Roman" w:eastAsia="Times New Roman" w:hAnsi="Times New Roman" w:cs="Times New Roman"/>
          <w:sz w:val="24"/>
          <w:szCs w:val="24"/>
        </w:rPr>
        <w:br/>
        <w:t xml:space="preserve">Character, capability, money, condition, and collateral are difficult to fulfil, which is reason number four. Banking does not lend to microenterprises, according to Berger and </w:t>
      </w:r>
      <w:proofErr w:type="spellStart"/>
      <w:r w:rsidRPr="00B82C97">
        <w:rPr>
          <w:rFonts w:ascii="Times New Roman" w:eastAsia="Times New Roman" w:hAnsi="Times New Roman" w:cs="Times New Roman"/>
          <w:sz w:val="24"/>
          <w:szCs w:val="24"/>
        </w:rPr>
        <w:t>Udell</w:t>
      </w:r>
      <w:proofErr w:type="spellEnd"/>
      <w:r w:rsidRPr="00B82C97">
        <w:rPr>
          <w:rFonts w:ascii="Times New Roman" w:eastAsia="Times New Roman" w:hAnsi="Times New Roman" w:cs="Times New Roman"/>
          <w:sz w:val="24"/>
          <w:szCs w:val="24"/>
        </w:rPr>
        <w:t xml:space="preserve"> (1998). The 5Cs and financing criteria are seldom met. Secured loans are not available to low-income borrowers. MFIs embrace </w:t>
      </w:r>
      <w:proofErr w:type="spellStart"/>
      <w:r w:rsidRPr="00B82C97">
        <w:rPr>
          <w:rFonts w:ascii="Times New Roman" w:eastAsia="Times New Roman" w:hAnsi="Times New Roman" w:cs="Times New Roman"/>
          <w:sz w:val="24"/>
          <w:szCs w:val="24"/>
        </w:rPr>
        <w:t>collateralless</w:t>
      </w:r>
      <w:proofErr w:type="spellEnd"/>
      <w:r w:rsidRPr="00B82C97">
        <w:rPr>
          <w:rFonts w:ascii="Times New Roman" w:eastAsia="Times New Roman" w:hAnsi="Times New Roman" w:cs="Times New Roman"/>
          <w:sz w:val="24"/>
          <w:szCs w:val="24"/>
        </w:rPr>
        <w:t xml:space="preserve"> lending despite high administrative costs. Pairing group finance with daily or weekly payback may assist. According to Armendariz and Morduch (2005), microfinance institutions (MFIs) reduce credit risk by seeking high payback rates among low-income, collateral-free borrowers. Collateral alternatives, non-financial services, group lending, and prompt repayment lower credit risk (</w:t>
      </w:r>
      <w:proofErr w:type="spellStart"/>
      <w:r w:rsidRPr="00B82C97">
        <w:rPr>
          <w:rFonts w:ascii="Times New Roman" w:eastAsia="Times New Roman" w:hAnsi="Times New Roman" w:cs="Times New Roman"/>
          <w:sz w:val="24"/>
          <w:szCs w:val="24"/>
        </w:rPr>
        <w:t>Ibtissem</w:t>
      </w:r>
      <w:proofErr w:type="spellEnd"/>
      <w:r w:rsidRPr="00B82C97">
        <w:rPr>
          <w:rFonts w:ascii="Times New Roman" w:eastAsia="Times New Roman" w:hAnsi="Times New Roman" w:cs="Times New Roman"/>
          <w:sz w:val="24"/>
          <w:szCs w:val="24"/>
        </w:rPr>
        <w:t xml:space="preserve"> and </w:t>
      </w:r>
      <w:proofErr w:type="spellStart"/>
      <w:r w:rsidRPr="00B82C97">
        <w:rPr>
          <w:rFonts w:ascii="Times New Roman" w:eastAsia="Times New Roman" w:hAnsi="Times New Roman" w:cs="Times New Roman"/>
          <w:sz w:val="24"/>
          <w:szCs w:val="24"/>
        </w:rPr>
        <w:t>Bouri</w:t>
      </w:r>
      <w:proofErr w:type="spellEnd"/>
      <w:r w:rsidRPr="00B82C97">
        <w:rPr>
          <w:rFonts w:ascii="Times New Roman" w:eastAsia="Times New Roman" w:hAnsi="Times New Roman" w:cs="Times New Roman"/>
          <w:sz w:val="24"/>
          <w:szCs w:val="24"/>
        </w:rPr>
        <w:t xml:space="preserve">, 2013). </w:t>
      </w:r>
      <w:r w:rsidRPr="00B82C97">
        <w:rPr>
          <w:rFonts w:ascii="Times New Roman" w:eastAsia="Times New Roman" w:hAnsi="Times New Roman" w:cs="Times New Roman"/>
          <w:sz w:val="24"/>
          <w:szCs w:val="24"/>
        </w:rPr>
        <w:br/>
      </w:r>
      <w:r w:rsidRPr="00B82C97">
        <w:rPr>
          <w:rFonts w:ascii="Times New Roman" w:eastAsia="Times New Roman" w:hAnsi="Times New Roman" w:cs="Times New Roman"/>
          <w:sz w:val="24"/>
          <w:szCs w:val="24"/>
        </w:rPr>
        <w:br/>
      </w:r>
      <w:r w:rsidRPr="00B82C97">
        <w:rPr>
          <w:rFonts w:ascii="Times New Roman" w:eastAsia="Times New Roman" w:hAnsi="Times New Roman" w:cs="Times New Roman"/>
          <w:sz w:val="24"/>
          <w:szCs w:val="24"/>
        </w:rPr>
        <w:br/>
        <w:t>Collective financing reduces microenterprise credit risk. This word identifies debtors without collateral who want bank loans (</w:t>
      </w:r>
      <w:proofErr w:type="spellStart"/>
      <w:r w:rsidRPr="00B82C97">
        <w:rPr>
          <w:rFonts w:ascii="Times New Roman" w:eastAsia="Times New Roman" w:hAnsi="Times New Roman" w:cs="Times New Roman"/>
          <w:sz w:val="24"/>
          <w:szCs w:val="24"/>
        </w:rPr>
        <w:t>Ibtissem</w:t>
      </w:r>
      <w:proofErr w:type="spellEnd"/>
      <w:r w:rsidRPr="00B82C97">
        <w:rPr>
          <w:rFonts w:ascii="Times New Roman" w:eastAsia="Times New Roman" w:hAnsi="Times New Roman" w:cs="Times New Roman"/>
          <w:sz w:val="24"/>
          <w:szCs w:val="24"/>
        </w:rPr>
        <w:t xml:space="preserve"> and </w:t>
      </w:r>
      <w:proofErr w:type="spellStart"/>
      <w:r w:rsidRPr="00B82C97">
        <w:rPr>
          <w:rFonts w:ascii="Times New Roman" w:eastAsia="Times New Roman" w:hAnsi="Times New Roman" w:cs="Times New Roman"/>
          <w:sz w:val="24"/>
          <w:szCs w:val="24"/>
        </w:rPr>
        <w:t>Bouri</w:t>
      </w:r>
      <w:proofErr w:type="spellEnd"/>
      <w:r w:rsidRPr="00B82C97">
        <w:rPr>
          <w:rFonts w:ascii="Times New Roman" w:eastAsia="Times New Roman" w:hAnsi="Times New Roman" w:cs="Times New Roman"/>
          <w:sz w:val="24"/>
          <w:szCs w:val="24"/>
        </w:rPr>
        <w:t xml:space="preserve">, 2013). Working with three to seven </w:t>
      </w:r>
      <w:proofErr w:type="spellStart"/>
      <w:r w:rsidRPr="00B82C97">
        <w:rPr>
          <w:rFonts w:ascii="Times New Roman" w:eastAsia="Times New Roman" w:hAnsi="Times New Roman" w:cs="Times New Roman"/>
          <w:sz w:val="24"/>
          <w:szCs w:val="24"/>
        </w:rPr>
        <w:t>neighbours</w:t>
      </w:r>
      <w:proofErr w:type="spellEnd"/>
      <w:r w:rsidRPr="00B82C97">
        <w:rPr>
          <w:rFonts w:ascii="Times New Roman" w:eastAsia="Times New Roman" w:hAnsi="Times New Roman" w:cs="Times New Roman"/>
          <w:sz w:val="24"/>
          <w:szCs w:val="24"/>
        </w:rPr>
        <w:t xml:space="preserve"> on finance is being discussed. </w:t>
      </w:r>
      <w:proofErr w:type="spellStart"/>
      <w:r w:rsidRPr="00B82C97">
        <w:rPr>
          <w:rFonts w:ascii="Times New Roman" w:eastAsia="Times New Roman" w:hAnsi="Times New Roman" w:cs="Times New Roman"/>
          <w:sz w:val="24"/>
          <w:szCs w:val="24"/>
        </w:rPr>
        <w:t>Armendáriz</w:t>
      </w:r>
      <w:proofErr w:type="spellEnd"/>
      <w:r w:rsidRPr="00B82C97">
        <w:rPr>
          <w:rFonts w:ascii="Times New Roman" w:eastAsia="Times New Roman" w:hAnsi="Times New Roman" w:cs="Times New Roman"/>
          <w:sz w:val="24"/>
          <w:szCs w:val="24"/>
        </w:rPr>
        <w:t xml:space="preserve"> de Aghion and Morduch (2000) say the community repays borrowers. Social networking and risk-pooling in regular group meetings may </w:t>
      </w:r>
      <w:proofErr w:type="spellStart"/>
      <w:r w:rsidRPr="00B82C97">
        <w:rPr>
          <w:rFonts w:ascii="Times New Roman" w:eastAsia="Times New Roman" w:hAnsi="Times New Roman" w:cs="Times New Roman"/>
          <w:sz w:val="24"/>
          <w:szCs w:val="24"/>
        </w:rPr>
        <w:t>minimise</w:t>
      </w:r>
      <w:proofErr w:type="spellEnd"/>
      <w:r w:rsidRPr="00B82C97">
        <w:rPr>
          <w:rFonts w:ascii="Times New Roman" w:eastAsia="Times New Roman" w:hAnsi="Times New Roman" w:cs="Times New Roman"/>
          <w:sz w:val="24"/>
          <w:szCs w:val="24"/>
        </w:rPr>
        <w:t xml:space="preserve"> loan risk, according to </w:t>
      </w:r>
      <w:proofErr w:type="spellStart"/>
      <w:r w:rsidRPr="00B82C97">
        <w:rPr>
          <w:rFonts w:ascii="Times New Roman" w:eastAsia="Times New Roman" w:hAnsi="Times New Roman" w:cs="Times New Roman"/>
          <w:sz w:val="24"/>
          <w:szCs w:val="24"/>
        </w:rPr>
        <w:t>Feigenberg</w:t>
      </w:r>
      <w:proofErr w:type="spellEnd"/>
      <w:r w:rsidRPr="00B82C97">
        <w:rPr>
          <w:rFonts w:ascii="Times New Roman" w:eastAsia="Times New Roman" w:hAnsi="Times New Roman" w:cs="Times New Roman"/>
          <w:sz w:val="24"/>
          <w:szCs w:val="24"/>
        </w:rPr>
        <w:t xml:space="preserve"> et al. (2013). Group funding harms society. Non-paying group members will suffer social penalties. </w:t>
      </w:r>
      <w:proofErr w:type="spellStart"/>
      <w:r w:rsidRPr="00B82C97">
        <w:rPr>
          <w:rFonts w:ascii="Times New Roman" w:eastAsia="Times New Roman" w:hAnsi="Times New Roman" w:cs="Times New Roman"/>
          <w:sz w:val="24"/>
          <w:szCs w:val="24"/>
        </w:rPr>
        <w:t>Ibtissem</w:t>
      </w:r>
      <w:proofErr w:type="spellEnd"/>
      <w:r w:rsidRPr="00B82C97">
        <w:rPr>
          <w:rFonts w:ascii="Times New Roman" w:eastAsia="Times New Roman" w:hAnsi="Times New Roman" w:cs="Times New Roman"/>
          <w:sz w:val="24"/>
          <w:szCs w:val="24"/>
        </w:rPr>
        <w:t xml:space="preserve"> and </w:t>
      </w:r>
      <w:proofErr w:type="spellStart"/>
      <w:r w:rsidRPr="00B82C97">
        <w:rPr>
          <w:rFonts w:ascii="Times New Roman" w:eastAsia="Times New Roman" w:hAnsi="Times New Roman" w:cs="Times New Roman"/>
          <w:sz w:val="24"/>
          <w:szCs w:val="24"/>
        </w:rPr>
        <w:t>Bouri</w:t>
      </w:r>
      <w:proofErr w:type="spellEnd"/>
      <w:r w:rsidRPr="00B82C97">
        <w:rPr>
          <w:rFonts w:ascii="Times New Roman" w:eastAsia="Times New Roman" w:hAnsi="Times New Roman" w:cs="Times New Roman"/>
          <w:sz w:val="24"/>
          <w:szCs w:val="24"/>
        </w:rPr>
        <w:t xml:space="preserve"> (2013) say it may lower respect, hinder group communication, or lead to exclusion. </w:t>
      </w:r>
      <w:proofErr w:type="spellStart"/>
      <w:r w:rsidRPr="00B82C97">
        <w:rPr>
          <w:rFonts w:ascii="Times New Roman" w:eastAsia="Times New Roman" w:hAnsi="Times New Roman" w:cs="Times New Roman"/>
          <w:sz w:val="24"/>
          <w:szCs w:val="24"/>
        </w:rPr>
        <w:t>Besley</w:t>
      </w:r>
      <w:proofErr w:type="spellEnd"/>
      <w:r w:rsidRPr="00B82C97">
        <w:rPr>
          <w:rFonts w:ascii="Times New Roman" w:eastAsia="Times New Roman" w:hAnsi="Times New Roman" w:cs="Times New Roman"/>
          <w:sz w:val="24"/>
          <w:szCs w:val="24"/>
        </w:rPr>
        <w:t xml:space="preserve"> and </w:t>
      </w:r>
      <w:proofErr w:type="spellStart"/>
      <w:r w:rsidRPr="00B82C97">
        <w:rPr>
          <w:rFonts w:ascii="Times New Roman" w:eastAsia="Times New Roman" w:hAnsi="Times New Roman" w:cs="Times New Roman"/>
          <w:sz w:val="24"/>
          <w:szCs w:val="24"/>
        </w:rPr>
        <w:t>Coate</w:t>
      </w:r>
      <w:proofErr w:type="spellEnd"/>
      <w:r w:rsidRPr="00B82C97">
        <w:rPr>
          <w:rFonts w:ascii="Times New Roman" w:eastAsia="Times New Roman" w:hAnsi="Times New Roman" w:cs="Times New Roman"/>
          <w:sz w:val="24"/>
          <w:szCs w:val="24"/>
        </w:rPr>
        <w:t xml:space="preserve"> (1995) suggest that social sanctions, not non-social fines, might improve group loan payback rates. Reducing credit risk boosts repayment. Group financing reduces transaction costs and information asymmetry, making it easier to locate credible borrowers and assure payback, according to </w:t>
      </w:r>
      <w:proofErr w:type="spellStart"/>
      <w:r w:rsidRPr="00B82C97">
        <w:rPr>
          <w:rFonts w:ascii="Times New Roman" w:eastAsia="Times New Roman" w:hAnsi="Times New Roman" w:cs="Times New Roman"/>
          <w:sz w:val="24"/>
          <w:szCs w:val="24"/>
        </w:rPr>
        <w:t>Ibtissem</w:t>
      </w:r>
      <w:proofErr w:type="spellEnd"/>
      <w:r w:rsidRPr="00B82C97">
        <w:rPr>
          <w:rFonts w:ascii="Times New Roman" w:eastAsia="Times New Roman" w:hAnsi="Times New Roman" w:cs="Times New Roman"/>
          <w:sz w:val="24"/>
          <w:szCs w:val="24"/>
        </w:rPr>
        <w:t xml:space="preserve"> and </w:t>
      </w:r>
      <w:proofErr w:type="spellStart"/>
      <w:r w:rsidRPr="00B82C97">
        <w:rPr>
          <w:rFonts w:ascii="Times New Roman" w:eastAsia="Times New Roman" w:hAnsi="Times New Roman" w:cs="Times New Roman"/>
          <w:sz w:val="24"/>
          <w:szCs w:val="24"/>
        </w:rPr>
        <w:t>Bouri</w:t>
      </w:r>
      <w:proofErr w:type="spellEnd"/>
      <w:r w:rsidRPr="00B82C97">
        <w:rPr>
          <w:rFonts w:ascii="Times New Roman" w:eastAsia="Times New Roman" w:hAnsi="Times New Roman" w:cs="Times New Roman"/>
          <w:sz w:val="24"/>
          <w:szCs w:val="24"/>
        </w:rPr>
        <w:t xml:space="preserve"> (2013). Studies show religious and cultural variables affect microfinancing expansion. Efficient businesses protect resources and make money. </w:t>
      </w:r>
      <w:r w:rsidRPr="00B82C97">
        <w:rPr>
          <w:rFonts w:ascii="Times New Roman" w:eastAsia="Times New Roman" w:hAnsi="Times New Roman" w:cs="Times New Roman"/>
          <w:sz w:val="24"/>
          <w:szCs w:val="24"/>
        </w:rPr>
        <w:br/>
      </w:r>
      <w:r w:rsidRPr="00B82C97">
        <w:rPr>
          <w:rFonts w:ascii="Times New Roman" w:eastAsia="Times New Roman" w:hAnsi="Times New Roman" w:cs="Times New Roman"/>
          <w:sz w:val="24"/>
          <w:szCs w:val="24"/>
        </w:rPr>
        <w:br/>
      </w:r>
      <w:r w:rsidRPr="00B82C97">
        <w:rPr>
          <w:rFonts w:ascii="Times New Roman" w:eastAsia="Times New Roman" w:hAnsi="Times New Roman" w:cs="Times New Roman"/>
          <w:sz w:val="24"/>
          <w:szCs w:val="24"/>
        </w:rPr>
        <w:br/>
      </w:r>
      <w:r w:rsidRPr="00B82C97">
        <w:rPr>
          <w:rFonts w:ascii="Times New Roman" w:eastAsia="Times New Roman" w:hAnsi="Times New Roman" w:cs="Times New Roman"/>
          <w:sz w:val="24"/>
          <w:szCs w:val="24"/>
        </w:rPr>
        <w:lastRenderedPageBreak/>
        <w:br/>
      </w:r>
      <w:r w:rsidRPr="00B82C97">
        <w:rPr>
          <w:rFonts w:ascii="Times New Roman" w:eastAsia="Times New Roman" w:hAnsi="Times New Roman" w:cs="Times New Roman"/>
          <w:sz w:val="24"/>
          <w:szCs w:val="24"/>
        </w:rPr>
        <w:br/>
      </w:r>
      <w:r w:rsidRPr="00B82C97">
        <w:rPr>
          <w:rFonts w:ascii="Times New Roman" w:eastAsia="Times New Roman" w:hAnsi="Times New Roman" w:cs="Times New Roman"/>
          <w:sz w:val="24"/>
          <w:szCs w:val="24"/>
        </w:rPr>
        <w:br/>
      </w:r>
      <w:r w:rsidRPr="00B82C97">
        <w:rPr>
          <w:rFonts w:ascii="Times New Roman" w:eastAsia="Times New Roman" w:hAnsi="Times New Roman" w:cs="Times New Roman"/>
          <w:sz w:val="24"/>
          <w:szCs w:val="24"/>
        </w:rPr>
        <w:br/>
      </w:r>
      <w:r w:rsidRPr="00B82C97">
        <w:rPr>
          <w:rFonts w:ascii="Times New Roman" w:eastAsia="Times New Roman" w:hAnsi="Times New Roman" w:cs="Times New Roman"/>
          <w:sz w:val="24"/>
          <w:szCs w:val="24"/>
        </w:rPr>
        <w:br/>
      </w:r>
      <w:r w:rsidRPr="00B82C97">
        <w:rPr>
          <w:rFonts w:ascii="Times New Roman" w:eastAsia="Times New Roman" w:hAnsi="Times New Roman" w:cs="Times New Roman"/>
          <w:sz w:val="24"/>
          <w:szCs w:val="24"/>
        </w:rPr>
        <w:br/>
      </w:r>
      <w:r w:rsidRPr="00B82C97">
        <w:rPr>
          <w:rFonts w:ascii="Times New Roman" w:eastAsia="Times New Roman" w:hAnsi="Times New Roman" w:cs="Times New Roman"/>
          <w:sz w:val="24"/>
          <w:szCs w:val="24"/>
        </w:rPr>
        <w:br/>
      </w:r>
      <w:r w:rsidRPr="00B82C97">
        <w:rPr>
          <w:rFonts w:ascii="Times New Roman" w:eastAsia="Times New Roman" w:hAnsi="Times New Roman" w:cs="Times New Roman"/>
          <w:sz w:val="24"/>
          <w:szCs w:val="24"/>
        </w:rPr>
        <w:br/>
      </w:r>
      <w:r w:rsidRPr="00B82C97">
        <w:rPr>
          <w:rFonts w:ascii="Times New Roman" w:eastAsia="Times New Roman" w:hAnsi="Times New Roman" w:cs="Times New Roman"/>
          <w:sz w:val="24"/>
          <w:szCs w:val="24"/>
        </w:rPr>
        <w:br/>
      </w:r>
    </w:p>
    <w:p w14:paraId="092631BA" w14:textId="573D87FB" w:rsidR="00B82C97" w:rsidRPr="00F34428" w:rsidRDefault="00B82C97" w:rsidP="00F34428">
      <w:pPr>
        <w:spacing w:after="240" w:line="240" w:lineRule="auto"/>
        <w:rPr>
          <w:rFonts w:ascii="Times New Roman" w:eastAsia="Times New Roman" w:hAnsi="Times New Roman" w:cs="Times New Roman"/>
          <w:sz w:val="24"/>
          <w:szCs w:val="24"/>
        </w:rPr>
      </w:pPr>
    </w:p>
    <w:sectPr w:rsidR="00B82C97" w:rsidRPr="00F344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vOT1bee1dd8.B">
    <w:altName w:val="Cambria"/>
    <w:panose1 w:val="00000000000000000000"/>
    <w:charset w:val="00"/>
    <w:family w:val="roman"/>
    <w:notTrueType/>
    <w:pitch w:val="default"/>
    <w:sig w:usb0="00000003" w:usb1="00000000" w:usb2="00000000" w:usb3="00000000" w:csb0="00000001" w:csb1="00000000"/>
  </w:font>
  <w:font w:name="AdvOT1bee1dd8.B+fb">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7ED"/>
    <w:rsid w:val="000D5B42"/>
    <w:rsid w:val="00105434"/>
    <w:rsid w:val="0026463E"/>
    <w:rsid w:val="002C5D1A"/>
    <w:rsid w:val="005E46B1"/>
    <w:rsid w:val="008407ED"/>
    <w:rsid w:val="00B82C97"/>
    <w:rsid w:val="00B859DE"/>
    <w:rsid w:val="00BC2A9F"/>
    <w:rsid w:val="00EA5B34"/>
    <w:rsid w:val="00F34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152D0"/>
  <w15:chartTrackingRefBased/>
  <w15:docId w15:val="{E9420430-0593-4928-8F75-A6BF61A4B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043433">
      <w:bodyDiv w:val="1"/>
      <w:marLeft w:val="0"/>
      <w:marRight w:val="0"/>
      <w:marTop w:val="0"/>
      <w:marBottom w:val="0"/>
      <w:divBdr>
        <w:top w:val="none" w:sz="0" w:space="0" w:color="auto"/>
        <w:left w:val="none" w:sz="0" w:space="0" w:color="auto"/>
        <w:bottom w:val="none" w:sz="0" w:space="0" w:color="auto"/>
        <w:right w:val="none" w:sz="0" w:space="0" w:color="auto"/>
      </w:divBdr>
    </w:div>
    <w:div w:id="370082714">
      <w:bodyDiv w:val="1"/>
      <w:marLeft w:val="0"/>
      <w:marRight w:val="0"/>
      <w:marTop w:val="0"/>
      <w:marBottom w:val="0"/>
      <w:divBdr>
        <w:top w:val="none" w:sz="0" w:space="0" w:color="auto"/>
        <w:left w:val="none" w:sz="0" w:space="0" w:color="auto"/>
        <w:bottom w:val="none" w:sz="0" w:space="0" w:color="auto"/>
        <w:right w:val="none" w:sz="0" w:space="0" w:color="auto"/>
      </w:divBdr>
    </w:div>
    <w:div w:id="418141721">
      <w:bodyDiv w:val="1"/>
      <w:marLeft w:val="0"/>
      <w:marRight w:val="0"/>
      <w:marTop w:val="0"/>
      <w:marBottom w:val="0"/>
      <w:divBdr>
        <w:top w:val="none" w:sz="0" w:space="0" w:color="auto"/>
        <w:left w:val="none" w:sz="0" w:space="0" w:color="auto"/>
        <w:bottom w:val="none" w:sz="0" w:space="0" w:color="auto"/>
        <w:right w:val="none" w:sz="0" w:space="0" w:color="auto"/>
      </w:divBdr>
    </w:div>
    <w:div w:id="537082762">
      <w:bodyDiv w:val="1"/>
      <w:marLeft w:val="0"/>
      <w:marRight w:val="0"/>
      <w:marTop w:val="0"/>
      <w:marBottom w:val="0"/>
      <w:divBdr>
        <w:top w:val="none" w:sz="0" w:space="0" w:color="auto"/>
        <w:left w:val="none" w:sz="0" w:space="0" w:color="auto"/>
        <w:bottom w:val="none" w:sz="0" w:space="0" w:color="auto"/>
        <w:right w:val="none" w:sz="0" w:space="0" w:color="auto"/>
      </w:divBdr>
    </w:div>
    <w:div w:id="577599606">
      <w:bodyDiv w:val="1"/>
      <w:marLeft w:val="0"/>
      <w:marRight w:val="0"/>
      <w:marTop w:val="0"/>
      <w:marBottom w:val="0"/>
      <w:divBdr>
        <w:top w:val="none" w:sz="0" w:space="0" w:color="auto"/>
        <w:left w:val="none" w:sz="0" w:space="0" w:color="auto"/>
        <w:bottom w:val="none" w:sz="0" w:space="0" w:color="auto"/>
        <w:right w:val="none" w:sz="0" w:space="0" w:color="auto"/>
      </w:divBdr>
    </w:div>
    <w:div w:id="702292099">
      <w:bodyDiv w:val="1"/>
      <w:marLeft w:val="0"/>
      <w:marRight w:val="0"/>
      <w:marTop w:val="0"/>
      <w:marBottom w:val="0"/>
      <w:divBdr>
        <w:top w:val="none" w:sz="0" w:space="0" w:color="auto"/>
        <w:left w:val="none" w:sz="0" w:space="0" w:color="auto"/>
        <w:bottom w:val="none" w:sz="0" w:space="0" w:color="auto"/>
        <w:right w:val="none" w:sz="0" w:space="0" w:color="auto"/>
      </w:divBdr>
    </w:div>
    <w:div w:id="743382817">
      <w:bodyDiv w:val="1"/>
      <w:marLeft w:val="0"/>
      <w:marRight w:val="0"/>
      <w:marTop w:val="0"/>
      <w:marBottom w:val="0"/>
      <w:divBdr>
        <w:top w:val="none" w:sz="0" w:space="0" w:color="auto"/>
        <w:left w:val="none" w:sz="0" w:space="0" w:color="auto"/>
        <w:bottom w:val="none" w:sz="0" w:space="0" w:color="auto"/>
        <w:right w:val="none" w:sz="0" w:space="0" w:color="auto"/>
      </w:divBdr>
    </w:div>
    <w:div w:id="761990282">
      <w:bodyDiv w:val="1"/>
      <w:marLeft w:val="0"/>
      <w:marRight w:val="0"/>
      <w:marTop w:val="0"/>
      <w:marBottom w:val="0"/>
      <w:divBdr>
        <w:top w:val="none" w:sz="0" w:space="0" w:color="auto"/>
        <w:left w:val="none" w:sz="0" w:space="0" w:color="auto"/>
        <w:bottom w:val="none" w:sz="0" w:space="0" w:color="auto"/>
        <w:right w:val="none" w:sz="0" w:space="0" w:color="auto"/>
      </w:divBdr>
    </w:div>
    <w:div w:id="1125730340">
      <w:bodyDiv w:val="1"/>
      <w:marLeft w:val="0"/>
      <w:marRight w:val="0"/>
      <w:marTop w:val="0"/>
      <w:marBottom w:val="0"/>
      <w:divBdr>
        <w:top w:val="none" w:sz="0" w:space="0" w:color="auto"/>
        <w:left w:val="none" w:sz="0" w:space="0" w:color="auto"/>
        <w:bottom w:val="none" w:sz="0" w:space="0" w:color="auto"/>
        <w:right w:val="none" w:sz="0" w:space="0" w:color="auto"/>
      </w:divBdr>
    </w:div>
    <w:div w:id="1183016058">
      <w:bodyDiv w:val="1"/>
      <w:marLeft w:val="0"/>
      <w:marRight w:val="0"/>
      <w:marTop w:val="0"/>
      <w:marBottom w:val="0"/>
      <w:divBdr>
        <w:top w:val="none" w:sz="0" w:space="0" w:color="auto"/>
        <w:left w:val="none" w:sz="0" w:space="0" w:color="auto"/>
        <w:bottom w:val="none" w:sz="0" w:space="0" w:color="auto"/>
        <w:right w:val="none" w:sz="0" w:space="0" w:color="auto"/>
      </w:divBdr>
    </w:div>
    <w:div w:id="1414933946">
      <w:bodyDiv w:val="1"/>
      <w:marLeft w:val="0"/>
      <w:marRight w:val="0"/>
      <w:marTop w:val="0"/>
      <w:marBottom w:val="0"/>
      <w:divBdr>
        <w:top w:val="none" w:sz="0" w:space="0" w:color="auto"/>
        <w:left w:val="none" w:sz="0" w:space="0" w:color="auto"/>
        <w:bottom w:val="none" w:sz="0" w:space="0" w:color="auto"/>
        <w:right w:val="none" w:sz="0" w:space="0" w:color="auto"/>
      </w:divBdr>
    </w:div>
    <w:div w:id="1539662101">
      <w:bodyDiv w:val="1"/>
      <w:marLeft w:val="0"/>
      <w:marRight w:val="0"/>
      <w:marTop w:val="0"/>
      <w:marBottom w:val="0"/>
      <w:divBdr>
        <w:top w:val="none" w:sz="0" w:space="0" w:color="auto"/>
        <w:left w:val="none" w:sz="0" w:space="0" w:color="auto"/>
        <w:bottom w:val="none" w:sz="0" w:space="0" w:color="auto"/>
        <w:right w:val="none" w:sz="0" w:space="0" w:color="auto"/>
      </w:divBdr>
    </w:div>
    <w:div w:id="1754162809">
      <w:bodyDiv w:val="1"/>
      <w:marLeft w:val="0"/>
      <w:marRight w:val="0"/>
      <w:marTop w:val="0"/>
      <w:marBottom w:val="0"/>
      <w:divBdr>
        <w:top w:val="none" w:sz="0" w:space="0" w:color="auto"/>
        <w:left w:val="none" w:sz="0" w:space="0" w:color="auto"/>
        <w:bottom w:val="none" w:sz="0" w:space="0" w:color="auto"/>
        <w:right w:val="none" w:sz="0" w:space="0" w:color="auto"/>
      </w:divBdr>
    </w:div>
    <w:div w:id="1878546204">
      <w:bodyDiv w:val="1"/>
      <w:marLeft w:val="0"/>
      <w:marRight w:val="0"/>
      <w:marTop w:val="0"/>
      <w:marBottom w:val="0"/>
      <w:divBdr>
        <w:top w:val="none" w:sz="0" w:space="0" w:color="auto"/>
        <w:left w:val="none" w:sz="0" w:space="0" w:color="auto"/>
        <w:bottom w:val="none" w:sz="0" w:space="0" w:color="auto"/>
        <w:right w:val="none" w:sz="0" w:space="0" w:color="auto"/>
      </w:divBdr>
    </w:div>
    <w:div w:id="1892494004">
      <w:bodyDiv w:val="1"/>
      <w:marLeft w:val="0"/>
      <w:marRight w:val="0"/>
      <w:marTop w:val="0"/>
      <w:marBottom w:val="0"/>
      <w:divBdr>
        <w:top w:val="none" w:sz="0" w:space="0" w:color="auto"/>
        <w:left w:val="none" w:sz="0" w:space="0" w:color="auto"/>
        <w:bottom w:val="none" w:sz="0" w:space="0" w:color="auto"/>
        <w:right w:val="none" w:sz="0" w:space="0" w:color="auto"/>
      </w:divBdr>
    </w:div>
    <w:div w:id="1901284928">
      <w:bodyDiv w:val="1"/>
      <w:marLeft w:val="0"/>
      <w:marRight w:val="0"/>
      <w:marTop w:val="0"/>
      <w:marBottom w:val="0"/>
      <w:divBdr>
        <w:top w:val="none" w:sz="0" w:space="0" w:color="auto"/>
        <w:left w:val="none" w:sz="0" w:space="0" w:color="auto"/>
        <w:bottom w:val="none" w:sz="0" w:space="0" w:color="auto"/>
        <w:right w:val="none" w:sz="0" w:space="0" w:color="auto"/>
      </w:divBdr>
    </w:div>
    <w:div w:id="2007435534">
      <w:bodyDiv w:val="1"/>
      <w:marLeft w:val="0"/>
      <w:marRight w:val="0"/>
      <w:marTop w:val="0"/>
      <w:marBottom w:val="0"/>
      <w:divBdr>
        <w:top w:val="none" w:sz="0" w:space="0" w:color="auto"/>
        <w:left w:val="none" w:sz="0" w:space="0" w:color="auto"/>
        <w:bottom w:val="none" w:sz="0" w:space="0" w:color="auto"/>
        <w:right w:val="none" w:sz="0" w:space="0" w:color="auto"/>
      </w:divBdr>
    </w:div>
    <w:div w:id="2068912605">
      <w:bodyDiv w:val="1"/>
      <w:marLeft w:val="0"/>
      <w:marRight w:val="0"/>
      <w:marTop w:val="0"/>
      <w:marBottom w:val="0"/>
      <w:divBdr>
        <w:top w:val="none" w:sz="0" w:space="0" w:color="auto"/>
        <w:left w:val="none" w:sz="0" w:space="0" w:color="auto"/>
        <w:bottom w:val="none" w:sz="0" w:space="0" w:color="auto"/>
        <w:right w:val="none" w:sz="0" w:space="0" w:color="auto"/>
      </w:divBdr>
    </w:div>
    <w:div w:id="208097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1185</Words>
  <Characters>6761</Characters>
  <Application>Microsoft Office Word</Application>
  <DocSecurity>0</DocSecurity>
  <Lines>56</Lines>
  <Paragraphs>15</Paragraphs>
  <ScaleCrop>false</ScaleCrop>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Kazrin</dc:creator>
  <cp:keywords/>
  <dc:description/>
  <cp:lastModifiedBy>Kazrin</cp:lastModifiedBy>
  <cp:revision>10</cp:revision>
  <dcterms:created xsi:type="dcterms:W3CDTF">2024-03-12T12:03:00Z</dcterms:created>
  <dcterms:modified xsi:type="dcterms:W3CDTF">2024-03-13T17:20:00Z</dcterms:modified>
</cp:coreProperties>
</file>