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MW-EV-2026-000202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Version</w:t>
            </w:r>
          </w:p>
        </w:tc>
      </w:tr>
      <w:tr>
        <w:tc>
          <w:p>
            <w:r>
              <w:t xml:space="preserve">EU-Konformitätserklärung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V1.0</w:t>
            </w:r>
          </w:p>
        </w:tc>
      </w:tr>
      <w:tr>
        <w:tc>
          <w:p>
            <w:r>
              <w:t xml:space="preserve">Demontageanleitung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V2.1</w:t>
            </w:r>
          </w:p>
        </w:tc>
      </w:tr>
      <w:tr>
        <w:tc>
          <w:p>
            <w:r>
              <w:t xml:space="preserve">Sicherheitshinweise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V1.3</w:t>
            </w:r>
          </w:p>
        </w:tc>
      </w:tr>
    </w:tbl>
    <w:p>
      <w:r>
        <w:t xml:space="preserve">Ende der Übergabedokumentation.</w:t>
      </w:r>
    </w:p>
  </w:body>
</w:document>
</file>