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MW-EV-2026-000203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Version</w:t>
            </w:r>
          </w:p>
        </w:tc>
      </w:tr>
      <w:tr>
        <w:tc>
          <w:p>
            <w:r>
              <w:t xml:space="preserve">EU-Konformitätserklärung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V1.0</w:t>
            </w:r>
          </w:p>
        </w:tc>
      </w:tr>
      <w:tr>
        <w:tc>
          <w:p>
            <w:r>
              <w:t xml:space="preserve">Demontageanleitung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V2.1</w:t>
            </w:r>
          </w:p>
        </w:tc>
      </w:tr>
      <w:tr>
        <w:tc>
          <w:p>
            <w:r>
              <w:t xml:space="preserve">Sicherheitshinweise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V1.3</w:t>
            </w:r>
          </w:p>
        </w:tc>
      </w:tr>
    </w:tbl>
    <w:p>
      <w:r>
        <w:t xml:space="preserve">Ende der Übergabedokumentation.</w:t>
      </w:r>
    </w:p>
  </w:body>
</w:document>
</file>