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MW-EV-2026-000208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Version</w:t>
            </w:r>
          </w:p>
        </w:tc>
      </w:tr>
      <w:tr>
        <w:tc>
          <w:p>
            <w:r>
              <w:t xml:space="preserve">EU-Konformitätserklärung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V1.0</w:t>
            </w:r>
          </w:p>
        </w:tc>
      </w:tr>
      <w:tr>
        <w:tc>
          <w:p>
            <w:r>
              <w:t xml:space="preserve">Demontageanleitung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V2.1</w:t>
            </w:r>
          </w:p>
        </w:tc>
      </w:tr>
      <w:tr>
        <w:tc>
          <w:p>
            <w:r>
              <w:t xml:space="preserve">Sicherheitshinweise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V1.3</w:t>
            </w:r>
          </w:p>
        </w:tc>
      </w:tr>
    </w:tbl>
    <w:p>
      <w:r>
        <w:t xml:space="preserve">Ende der Übergabedokumentation.</w:t>
      </w:r>
    </w:p>
  </w:body>
</w:document>
</file>