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MW-EV-2026-000337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EOL-PREVENTION-MW-EV-2026</w:t>
            </w:r>
          </w:p>
        </w:tc>
        <w:tc>
          <w:p>
            <w:r>
              <w:t xml:space="preserve">Endnutzerinformation zur Abfallvermeidung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EOL-PREVENTION-MW-EV-2026.pdf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https://passport.musterwerk.example/docs/EOL-PREVENTION-MW-EV-2026.pdf</w:t>
            </w:r>
          </w:p>
        </w:tc>
      </w:tr>
      <w:tr>
        <w:tc>
          <w:p>
            <w:r>
              <w:t xml:space="preserve">EOL-SEPARATE-MW-EV-2026</w:t>
            </w:r>
          </w:p>
        </w:tc>
        <w:tc>
          <w:p>
            <w:r>
              <w:t xml:space="preserve">Endnutzerinformation zur getrennten Sammlung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EOL-SEPARATE-MW-EV-2026.pdf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https://passport.musterwerk.example/docs/EOL-SEPARATE-MW-EV-2026.pdf</w:t>
            </w:r>
          </w:p>
        </w:tc>
      </w:tr>
      <w:tr>
        <w:tc>
          <w:p>
            <w:r>
              <w:t xml:space="preserve">EOL-COLLECTION-MW-EV-2026</w:t>
            </w:r>
          </w:p>
        </w:tc>
        <w:tc>
          <w:p>
            <w:r>
              <w:t xml:space="preserve">Information zu Sammlung, Zweitnutzung und Behandlung am Lebensende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EOL-COLLECTION-MW-EV-2026.pdf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https://passport.musterwerk.example/docs/EOL-COLLECTION-MW-EV-2026.pdf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