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60" w:after="360"/>
        <w:keepNext/>
      </w:pPr>
      <w:r>
        <w:rPr>
          <w:rFonts w:ascii="Liberation Sans" w:hAnsi="Liberation Sans"/>
          <w:b/>
          <w:color w:val="000000"/>
          <w:sz w:val="56"/>
        </w:rPr>
        <w:t>DCLab Business Proposal Summary</w:t>
      </w:r>
    </w:p>
    <w:p>
      <w:pPr>
        <w:spacing w:after="60"/>
      </w:pPr>
      <w:r>
        <w:rPr>
          <w:rFonts w:ascii="Liberation Sans" w:hAnsi="Liberation Sans"/>
          <w:b/>
          <w:color w:val="21883E"/>
          <w:sz w:val="20"/>
        </w:rPr>
        <w:t xml:space="preserve">Prepared for: </w:t>
      </w:r>
      <w:r>
        <w:rPr>
          <w:rFonts w:ascii="Liberation Sans" w:hAnsi="Liberation Sans"/>
          <w:color w:val="5C6770"/>
          <w:sz w:val="20"/>
        </w:rPr>
        <w:t>AliReza</w:t>
      </w:r>
    </w:p>
    <w:p>
      <w:pPr>
        <w:spacing w:after="60"/>
      </w:pPr>
      <w:r>
        <w:rPr>
          <w:rFonts w:ascii="Liberation Sans" w:hAnsi="Liberation Sans"/>
          <w:b/>
          <w:color w:val="21883E"/>
          <w:sz w:val="20"/>
        </w:rPr>
        <w:t xml:space="preserve">Prepared by: </w:t>
      </w:r>
      <w:r>
        <w:rPr>
          <w:rFonts w:ascii="Liberation Sans" w:hAnsi="Liberation Sans"/>
          <w:color w:val="5C6770"/>
          <w:sz w:val="20"/>
        </w:rPr>
        <w:t>DCLab founding team</w:t>
      </w:r>
    </w:p>
    <w:p>
      <w:pPr>
        <w:spacing w:after="60"/>
      </w:pPr>
      <w:r>
        <w:rPr>
          <w:rFonts w:ascii="Liberation Sans" w:hAnsi="Liberation Sans"/>
          <w:b/>
          <w:color w:val="21883E"/>
          <w:sz w:val="20"/>
        </w:rPr>
        <w:t xml:space="preserve">Date: </w:t>
      </w:r>
      <w:r>
        <w:rPr>
          <w:rFonts w:ascii="Liberation Sans" w:hAnsi="Liberation Sans"/>
          <w:color w:val="5C6770"/>
          <w:sz w:val="20"/>
        </w:rPr>
        <w:t>18 September 2026</w:t>
      </w:r>
    </w:p>
    <w:p>
      <w:pPr>
        <w:spacing w:after="60"/>
      </w:pPr>
      <w:r>
        <w:rPr>
          <w:rFonts w:ascii="Liberation Sans" w:hAnsi="Liberation Sans"/>
          <w:b/>
          <w:color w:val="21883E"/>
          <w:sz w:val="20"/>
        </w:rPr>
        <w:t xml:space="preserve">Purpose: </w:t>
      </w:r>
      <w:r>
        <w:rPr>
          <w:rFonts w:ascii="Liberation Sans" w:hAnsi="Liberation Sans"/>
          <w:color w:val="5C6770"/>
          <w:sz w:val="20"/>
        </w:rPr>
        <w:t>Provide a short business and technical summary for cofounder agreement.</w:t>
      </w:r>
    </w:p>
    <w:p>
      <w:pPr>
        <w:pStyle w:val="Heading1"/>
      </w:pPr>
      <w:r>
        <w:rPr>
          <w:rFonts w:ascii="Liberation Sans" w:hAnsi="Liberation Sans"/>
          <w:b/>
          <w:color w:val="000000"/>
          <w:sz w:val="34"/>
        </w:rPr>
        <w:t>Executive summary</w:t>
      </w:r>
    </w:p>
    <w:p>
      <w:pPr>
        <w:spacing w:after="160" w:line="274" w:lineRule="auto"/>
        <w:ind w:firstLine="259"/>
        <w:jc w:val="left"/>
      </w:pPr>
      <w:r>
        <w:rPr>
          <w:rFonts w:ascii="Liberation Sans" w:hAnsi="Liberation Sans"/>
          <w:color w:val="000000"/>
          <w:sz w:val="22"/>
        </w:rPr>
        <w:t>DCLab is a working environment for data scientists and machine learning engineers. It connects data, experiments, decisions, models, releases, monitoring, costs, and project history so a team can move from a business problem to a reliable model without losing context between tools.</w:t>
      </w:r>
    </w:p>
    <w:p>
      <w:pPr>
        <w:spacing w:after="160" w:line="274" w:lineRule="auto"/>
        <w:ind w:firstLine="259"/>
        <w:jc w:val="left"/>
      </w:pPr>
      <w:r>
        <w:rPr>
          <w:rFonts w:ascii="Liberation Sans" w:hAnsi="Liberation Sans"/>
          <w:color w:val="000000"/>
          <w:sz w:val="22"/>
        </w:rPr>
        <w:t>The first product should solve one complete problem well. A customer brings structured business data, defines what it wants to predict, creates and compares models, approves one model, produces batch predictions, and monitors the result. AI helps explain findings and propose work, while DCLab software enforces permissions, budgets, evidence, and approval rules.</w:t>
      </w:r>
    </w:p>
    <w:p>
      <w:pPr>
        <w:spacing w:after="160" w:line="274" w:lineRule="auto"/>
        <w:ind w:firstLine="259"/>
        <w:jc w:val="left"/>
      </w:pPr>
      <w:r>
        <w:rPr>
          <w:rFonts w:ascii="Liberation Sans" w:hAnsi="Liberation Sans"/>
          <w:color w:val="000000"/>
          <w:sz w:val="22"/>
        </w:rPr>
        <w:t>Our first commercial test should be a paid design-partner pilot with a small ML team that already has models but struggles with disconnected notebooks, scripts, experiment tools, cloud jobs, documents, and manual production handoffs.</w:t>
      </w:r>
    </w:p>
    <w:p>
      <w:pPr>
        <w:pStyle w:val="Heading1"/>
      </w:pPr>
      <w:r>
        <w:rPr>
          <w:rFonts w:ascii="Liberation Sans" w:hAnsi="Liberation Sans"/>
          <w:b/>
          <w:color w:val="000000"/>
          <w:sz w:val="34"/>
        </w:rPr>
        <w:t>DCLab in one sentence</w:t>
      </w:r>
    </w:p>
    <w:p>
      <w:pPr>
        <w:spacing w:after="160" w:line="274" w:lineRule="auto"/>
        <w:ind w:firstLine="259"/>
        <w:jc w:val="left"/>
      </w:pPr>
      <w:r>
        <w:rPr>
          <w:rFonts w:ascii="Liberation Sans" w:hAnsi="Liberation Sans"/>
          <w:color w:val="000000"/>
          <w:sz w:val="22"/>
        </w:rPr>
        <w:t>DCLab helps an ML team move from raw business data to a verified and monitored model while keeping every experiment, decision, cost, and result connected and reviewable.</w:t>
      </w:r>
    </w:p>
    <w:p>
      <w:pPr>
        <w:pStyle w:val="Heading1"/>
      </w:pPr>
      <w:r>
        <w:rPr>
          <w:rFonts w:ascii="Liberation Sans" w:hAnsi="Liberation Sans"/>
          <w:b/>
          <w:color w:val="000000"/>
          <w:sz w:val="34"/>
        </w:rPr>
        <w:t>Founder vision</w:t>
      </w:r>
    </w:p>
    <w:p>
      <w:pPr>
        <w:spacing w:after="160" w:line="274" w:lineRule="auto"/>
        <w:ind w:firstLine="259"/>
        <w:jc w:val="left"/>
      </w:pPr>
      <w:r>
        <w:rPr>
          <w:rFonts w:ascii="Liberation Sans" w:hAnsi="Liberation Sans"/>
          <w:color w:val="000000"/>
          <w:sz w:val="22"/>
        </w:rPr>
        <w:t>My vision is for DCLab to become the main working environment where an ML team moves from its first question and dataset to a deployed and monitored result without rebuilding context between tools. Conversation, visual workflow, notebook code cells, experiments, decisions, compute, releases, and monitoring should be connected views of the same project.</w:t>
      </w:r>
    </w:p>
    <w:p>
      <w:pPr>
        <w:spacing w:after="160" w:line="274" w:lineRule="auto"/>
        <w:ind w:firstLine="259"/>
        <w:jc w:val="left"/>
      </w:pPr>
      <w:r>
        <w:rPr>
          <w:rFonts w:ascii="Liberation Sans" w:hAnsi="Liberation Sans"/>
          <w:color w:val="000000"/>
          <w:sz w:val="22"/>
        </w:rPr>
        <w:t>I want AI agents to understand project history and help with investigation, planning, coding, experiments, and operations, while DCLab controls identity, permissions, budgets, approvals, evidence, cancellation, and rollback. Over time, a small team should be able to operate with the discipline of a much larger ML organization, deploy on AWS or Google Cloud, and use approved external CPU or GPU capacity without giving up control of project state, secrets, decisions, or audit history.</w:t>
      </w:r>
    </w:p>
    <w:p>
      <w:pPr>
        <w:pStyle w:val="Heading1"/>
      </w:pPr>
      <w:r>
        <w:rPr>
          <w:rFonts w:ascii="Liberation Sans" w:hAnsi="Liberation Sans"/>
          <w:b/>
          <w:color w:val="000000"/>
          <w:sz w:val="34"/>
        </w:rPr>
        <w:t>Customer and business value</w:t>
      </w:r>
    </w:p>
    <w:p>
      <w:pPr>
        <w:spacing w:after="160" w:line="274" w:lineRule="auto"/>
        <w:ind w:firstLine="259"/>
        <w:jc w:val="left"/>
      </w:pPr>
      <w:r>
        <w:rPr>
          <w:rFonts w:ascii="Liberation Sans" w:hAnsi="Liberation Sans"/>
          <w:color w:val="000000"/>
          <w:sz w:val="22"/>
        </w:rPr>
        <w:t>The first users are data scientists and ML engineers working with structured data. The likely buyer is a head of data, head of machine learning, chief technology officer, or engineering leader responsible for delivery speed, cost, reliability, and risk.</w:t>
      </w:r>
    </w:p>
    <w:p>
      <w:pPr>
        <w:spacing w:after="160" w:line="274" w:lineRule="auto"/>
        <w:ind w:firstLine="259"/>
        <w:jc w:val="left"/>
      </w:pPr>
      <w:r>
        <w:rPr>
          <w:rFonts w:ascii="Liberation Sans" w:hAnsi="Liberation Sans"/>
          <w:color w:val="000000"/>
          <w:sz w:val="22"/>
        </w:rPr>
        <w:t>The strongest early use cases are customer retention, lead scoring, demand prediction, fraud or risk review, and similar recurring batch-prediction problems. DCLab is valuable when a team needs reproducible results, clear decisions, reliable movement into production, and control over compute and AI costs.</w:t>
      </w:r>
    </w:p>
    <w:p>
      <w:pPr>
        <w:pStyle w:val="Heading1"/>
      </w:pPr>
      <w:r>
        <w:rPr>
          <w:rFonts w:ascii="Liberation Sans" w:hAnsi="Liberation Sans"/>
          <w:b/>
          <w:color w:val="000000"/>
          <w:sz w:val="34"/>
        </w:rPr>
        <w:t>The MVP</w:t>
      </w:r>
    </w:p>
    <w:p>
      <w:pPr>
        <w:spacing w:after="160" w:line="274" w:lineRule="auto"/>
        <w:ind w:firstLine="259"/>
        <w:jc w:val="left"/>
      </w:pPr>
      <w:r>
        <w:rPr>
          <w:rFonts w:ascii="Liberation Sans" w:hAnsi="Liberation Sans"/>
          <w:color w:val="000000"/>
          <w:sz w:val="22"/>
        </w:rPr>
        <w:t>The MVP is one complete path from data to a monitored batch model.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cantSplit w:val="true"/>
          <w:tblHeader w:val="true"/>
        </w:trPr>
        <w:tc>
          <w:tcPr>
            <w:tcW w:type="dxa" w:w="3240"/>
            <w:tcMar>
              <w:top w:w="120" w:type="dxa"/>
              <w:start w:w="150" w:type="dxa"/>
              <w:bottom w:w="120" w:type="dxa"/>
              <w:end w:w="150" w:type="dxa"/>
            </w:tcMar>
            <w:vAlign w:val="center"/>
            <w:shd w:fill="17324D"/>
          </w:tcPr>
          <w:p>
            <w:pPr>
              <w:spacing w:after="0" w:line="259" w:lineRule="auto"/>
              <w:jc w:val="left"/>
            </w:pPr>
            <w:r>
              <w:rPr>
                <w:rFonts w:ascii="Liberation Sans" w:hAnsi="Liberation Sans"/>
                <w:b/>
                <w:color w:val="FFFFFF"/>
                <w:sz w:val="19"/>
              </w:rPr>
              <w:t>Product area</w:t>
            </w:r>
          </w:p>
        </w:tc>
        <w:tc>
          <w:tcPr>
            <w:tcW w:type="dxa" w:w="6983"/>
            <w:tcMar>
              <w:top w:w="120" w:type="dxa"/>
              <w:start w:w="150" w:type="dxa"/>
              <w:bottom w:w="120" w:type="dxa"/>
              <w:end w:w="150" w:type="dxa"/>
            </w:tcMar>
            <w:vAlign w:val="center"/>
            <w:shd w:fill="17324D"/>
          </w:tcPr>
          <w:p>
            <w:pPr>
              <w:spacing w:after="0" w:line="259" w:lineRule="auto"/>
              <w:jc w:val="left"/>
            </w:pPr>
            <w:r>
              <w:rPr>
                <w:rFonts w:ascii="Liberation Sans" w:hAnsi="Liberation Sans"/>
                <w:b/>
                <w:color w:val="FFFFFF"/>
                <w:sz w:val="19"/>
              </w:rPr>
              <w:t>First release commitment</w:t>
            </w:r>
          </w:p>
        </w:tc>
      </w:tr>
      <w:tr>
        <w:trPr>
          <w:cantSplit w:val="true"/>
        </w:trPr>
        <w:tc>
          <w:tcPr>
            <w:tcW w:type="dxa" w:w="3240"/>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Secure project foundation</w:t>
            </w:r>
          </w:p>
        </w:tc>
        <w:tc>
          <w:tcPr>
            <w:tcW w:type="dxa" w:w="6983"/>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Workspaces, projects, members, roles, permissions, browser sessions, developer credentials, and audit history</w:t>
            </w:r>
          </w:p>
        </w:tc>
      </w:tr>
      <w:tr>
        <w:trPr>
          <w:cantSplit w:val="true"/>
        </w:trPr>
        <w:tc>
          <w:tcPr>
            <w:tcW w:type="dxa" w:w="3240"/>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Data access and understanding</w:t>
            </w:r>
          </w:p>
        </w:tc>
        <w:tc>
          <w:tcPr>
            <w:tcW w:type="dxa" w:w="6983"/>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CSV and Parquet upload, a small connector set, data profiling, quality checks, leakage checks, and versioned datasets</w:t>
            </w:r>
          </w:p>
        </w:tc>
      </w:tr>
      <w:tr>
        <w:trPr>
          <w:cantSplit w:val="true"/>
        </w:trPr>
        <w:tc>
          <w:tcPr>
            <w:tcW w:type="dxa" w:w="3240"/>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Experiment workflow</w:t>
            </w:r>
          </w:p>
        </w:tc>
        <w:tc>
          <w:tcPr>
            <w:tcW w:type="dxa" w:w="6983"/>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Prediction-goal definition, reviewable experiment plans, controlled training, useful metrics, cost records, and reproducible comparisons</w:t>
            </w:r>
          </w:p>
        </w:tc>
      </w:tr>
      <w:tr>
        <w:trPr>
          <w:cantSplit w:val="true"/>
        </w:trPr>
        <w:tc>
          <w:tcPr>
            <w:tcW w:type="dxa" w:w="3240"/>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AI assistance</w:t>
            </w:r>
          </w:p>
        </w:tc>
        <w:tc>
          <w:tcPr>
            <w:tcW w:type="dxa" w:w="6983"/>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Project-aware explanations, investigations, and proposals with budgets, stop conditions, approved tools, and human control over material changes</w:t>
            </w:r>
          </w:p>
        </w:tc>
      </w:tr>
      <w:tr>
        <w:trPr>
          <w:cantSplit w:val="true"/>
        </w:trPr>
        <w:tc>
          <w:tcPr>
            <w:tcW w:type="dxa" w:w="3240"/>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Notebook and developer access</w:t>
            </w:r>
          </w:p>
        </w:tc>
        <w:tc>
          <w:tcPr>
            <w:tcW w:type="dxa" w:w="6983"/>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Isolated Python notebook sessions plus a versioned API, Python SDK, command line, and controlled integration interface</w:t>
            </w:r>
          </w:p>
        </w:tc>
      </w:tr>
      <w:tr>
        <w:trPr>
          <w:cantSplit w:val="true"/>
        </w:trPr>
        <w:tc>
          <w:tcPr>
            <w:tcW w:type="dxa" w:w="3240"/>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Model operations</w:t>
            </w:r>
          </w:p>
        </w:tc>
        <w:tc>
          <w:tcPr>
            <w:tcW w:type="dxa" w:w="6983"/>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Verified model package, authorized batch predictions, monitoring, investigation, rollback, and evidence linked to the released result</w:t>
            </w:r>
          </w:p>
        </w:tc>
      </w:tr>
      <w:tr>
        <w:trPr>
          <w:cantSplit w:val="true"/>
        </w:trPr>
        <w:tc>
          <w:tcPr>
            <w:tcW w:type="dxa" w:w="3240"/>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Production readiness</w:t>
            </w:r>
          </w:p>
        </w:tc>
        <w:tc>
          <w:tcPr>
            <w:tcW w:type="dxa" w:w="6983"/>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Deployment on either AWS or Google Cloud, with logs, metrics, alerts, backups, recovery, security tests, and cost controls</w:t>
            </w:r>
          </w:p>
        </w:tc>
      </w:tr>
    </w:tbl>
    <w:p>
      <w:pPr>
        <w:spacing w:after="40" w:before="20"/>
      </w:pPr>
    </w:p>
    <w:p>
      <w:pPr>
        <w:spacing w:after="160" w:line="274" w:lineRule="auto"/>
        <w:ind w:firstLine="259"/>
        <w:jc w:val="left"/>
      </w:pPr>
      <w:r>
        <w:rPr>
          <w:rFonts w:ascii="Liberation Sans" w:hAnsi="Liberation Sans"/>
          <w:color w:val="000000"/>
          <w:sz w:val="22"/>
        </w:rPr>
        <w:t>The MVP does not include unrestricted autonomous changes, real-time global serving, autonomous retraining without review, every possible connector, large foundation-model training, or one active customer database spread across two clouds.</w:t>
      </w:r>
    </w:p>
    <w:p>
      <w:pPr>
        <w:pStyle w:val="Heading1"/>
      </w:pPr>
      <w:r>
        <w:rPr>
          <w:rFonts w:ascii="Liberation Sans" w:hAnsi="Liberation Sans"/>
          <w:b/>
          <w:color w:val="000000"/>
          <w:sz w:val="34"/>
        </w:rPr>
        <w:t>Technical MVP</w:t>
      </w:r>
    </w:p>
    <w:p>
      <w:pPr>
        <w:spacing w:after="160" w:line="274" w:lineRule="auto"/>
        <w:ind w:firstLine="259"/>
        <w:jc w:val="left"/>
      </w:pPr>
      <w:r>
        <w:rPr>
          <w:rFonts w:ascii="Liberation Sans" w:hAnsi="Liberation Sans"/>
          <w:color w:val="000000"/>
          <w:sz w:val="22"/>
        </w:rPr>
        <w:t xml:space="preserve">DCLab separates the permanent </w:t>
      </w:r>
      <w:r>
        <w:rPr>
          <w:rFonts w:ascii="Liberation Sans" w:hAnsi="Liberation Sans"/>
          <w:b/>
          <w:color w:val="000000"/>
          <w:sz w:val="22"/>
        </w:rPr>
        <w:t>platform</w:t>
      </w:r>
      <w:r>
        <w:rPr>
          <w:rFonts w:ascii="Liberation Sans" w:hAnsi="Liberation Sans"/>
          <w:color w:val="000000"/>
          <w:sz w:val="22"/>
        </w:rPr>
        <w:t xml:space="preserve"> from the temporary </w:t>
      </w:r>
      <w:r>
        <w:rPr>
          <w:rFonts w:ascii="Liberation Sans" w:hAnsi="Liberation Sans"/>
          <w:b/>
          <w:color w:val="000000"/>
          <w:sz w:val="22"/>
        </w:rPr>
        <w:t>runtime</w:t>
      </w:r>
      <w:r>
        <w:rPr>
          <w:rFonts w:ascii="Liberation Sans" w:hAnsi="Liberation Sans"/>
          <w:color w:val="000000"/>
          <w:sz w:val="22"/>
        </w:rPr>
        <w:t>. The platform stores customer identity, project history, permissions, decisions, current state, and audit evidence. The runtime performs notebook code, data checks, training, evaluation, packaging, and prediction. A failed or replaced compute job must never erase or rewrite the authoritative project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cantSplit w:val="true"/>
          <w:tblHeader w:val="true"/>
        </w:trPr>
        <w:tc>
          <w:tcPr>
            <w:tcW w:type="dxa" w:w="3240"/>
            <w:tcMar>
              <w:top w:w="120" w:type="dxa"/>
              <w:start w:w="150" w:type="dxa"/>
              <w:bottom w:w="120" w:type="dxa"/>
              <w:end w:w="150" w:type="dxa"/>
            </w:tcMar>
            <w:vAlign w:val="center"/>
            <w:shd w:fill="17324D"/>
          </w:tcPr>
          <w:p>
            <w:pPr>
              <w:spacing w:after="0" w:line="259" w:lineRule="auto"/>
              <w:jc w:val="left"/>
            </w:pPr>
            <w:r>
              <w:rPr>
                <w:rFonts w:ascii="Liberation Sans" w:hAnsi="Liberation Sans"/>
                <w:b/>
                <w:color w:val="FFFFFF"/>
                <w:sz w:val="19"/>
              </w:rPr>
              <w:t>Technical part</w:t>
            </w:r>
          </w:p>
        </w:tc>
        <w:tc>
          <w:tcPr>
            <w:tcW w:type="dxa" w:w="6983"/>
            <w:tcMar>
              <w:top w:w="120" w:type="dxa"/>
              <w:start w:w="150" w:type="dxa"/>
              <w:bottom w:w="120" w:type="dxa"/>
              <w:end w:w="150" w:type="dxa"/>
            </w:tcMar>
            <w:vAlign w:val="center"/>
            <w:shd w:fill="17324D"/>
          </w:tcPr>
          <w:p>
            <w:pPr>
              <w:spacing w:after="0" w:line="259" w:lineRule="auto"/>
              <w:jc w:val="left"/>
            </w:pPr>
            <w:r>
              <w:rPr>
                <w:rFonts w:ascii="Liberation Sans" w:hAnsi="Liberation Sans"/>
                <w:b/>
                <w:color w:val="FFFFFF"/>
                <w:sz w:val="19"/>
              </w:rPr>
              <w:t>MVP responsibility</w:t>
            </w:r>
          </w:p>
        </w:tc>
      </w:tr>
      <w:tr>
        <w:trPr>
          <w:cantSplit w:val="true"/>
        </w:trPr>
        <w:tc>
          <w:tcPr>
            <w:tcW w:type="dxa" w:w="3240"/>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PostgreSQL</w:t>
            </w:r>
          </w:p>
        </w:tc>
        <w:tc>
          <w:tcPr>
            <w:tcW w:type="dxa" w:w="6983"/>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Store the authoritative product lifecycle, permissions, versions, jobs, approvals, usage, and audit records</w:t>
            </w:r>
          </w:p>
        </w:tc>
      </w:tr>
      <w:tr>
        <w:trPr>
          <w:cantSplit w:val="true"/>
        </w:trPr>
        <w:tc>
          <w:tcPr>
            <w:tcW w:type="dxa" w:w="3240"/>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Private object storage</w:t>
            </w:r>
          </w:p>
        </w:tc>
        <w:tc>
          <w:tcPr>
            <w:tcW w:type="dxa" w:w="6983"/>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Store datasets, model packages, reports, logs, and prediction files with immutable versions and verified digests</w:t>
            </w:r>
          </w:p>
        </w:tc>
      </w:tr>
      <w:tr>
        <w:trPr>
          <w:cantSplit w:val="true"/>
        </w:trPr>
        <w:tc>
          <w:tcPr>
            <w:tcW w:type="dxa" w:w="3240"/>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Job system</w:t>
            </w:r>
          </w:p>
        </w:tc>
        <w:tc>
          <w:tcPr>
            <w:tcW w:type="dxa" w:w="6983"/>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Queue, limit, cancel, retry, and recover long-running work without creating duplicate results</w:t>
            </w:r>
          </w:p>
        </w:tc>
      </w:tr>
      <w:tr>
        <w:trPr>
          <w:cantSplit w:val="true"/>
        </w:trPr>
        <w:tc>
          <w:tcPr>
            <w:tcW w:type="dxa" w:w="3240"/>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ML evidence services</w:t>
            </w:r>
          </w:p>
        </w:tc>
        <w:tc>
          <w:tcPr>
            <w:tcW w:type="dxa" w:w="6983"/>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Use private MLflow and validation or monitoring tools behind DCLab services while DCLab retains approval and release authority</w:t>
            </w:r>
          </w:p>
        </w:tc>
      </w:tr>
      <w:tr>
        <w:trPr>
          <w:cantSplit w:val="true"/>
        </w:trPr>
        <w:tc>
          <w:tcPr>
            <w:tcW w:type="dxa" w:w="3240"/>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Notebook runtime</w:t>
            </w:r>
          </w:p>
        </w:tc>
        <w:tc>
          <w:tcPr>
            <w:tcW w:type="dxa" w:w="6983"/>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Start with an isolated Jupyter Server session for each authorized user, with idle timeout, absolute expiry, quotas, network policy, cancellation, and cleanup</w:t>
            </w:r>
          </w:p>
        </w:tc>
      </w:tr>
      <w:tr>
        <w:trPr>
          <w:cantSplit w:val="true"/>
        </w:trPr>
        <w:tc>
          <w:tcPr>
            <w:tcW w:type="dxa" w:w="3240"/>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Cloud deployment</w:t>
            </w:r>
          </w:p>
        </w:tc>
        <w:tc>
          <w:tcPr>
            <w:tcW w:type="dxa" w:w="6983"/>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Run the same application and Kubernetes workload contract on either AWS or Google Cloud using short-lived workload identity and no static cloud keys</w:t>
            </w:r>
          </w:p>
        </w:tc>
      </w:tr>
      <w:tr>
        <w:trPr>
          <w:cantSplit w:val="true"/>
        </w:trPr>
        <w:tc>
          <w:tcPr>
            <w:tcW w:type="dxa" w:w="3240"/>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Optional external compute</w:t>
            </w:r>
          </w:p>
        </w:tc>
        <w:tc>
          <w:tcPr>
            <w:tcW w:type="dxa" w:w="6983"/>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Prove home-cloud CPU execution and one external GPU provider first; add Runpod, Railway, Lambda GPU Cloud, Vast.ai, and Nebius only through tested provider adapters</w:t>
            </w:r>
          </w:p>
        </w:tc>
      </w:tr>
    </w:tbl>
    <w:p>
      <w:pPr>
        <w:spacing w:after="40" w:before="20"/>
      </w:pPr>
    </w:p>
    <w:p>
      <w:pPr>
        <w:spacing w:after="160" w:line="274" w:lineRule="auto"/>
        <w:ind w:firstLine="259"/>
        <w:jc w:val="left"/>
      </w:pPr>
      <w:r>
        <w:rPr>
          <w:rFonts w:ascii="Liberation Sans" w:hAnsi="Liberation Sans"/>
          <w:color w:val="000000"/>
          <w:sz w:val="22"/>
        </w:rPr>
        <w:t>Jupyter Enterprise Gateway is a later scaling option. It should be introduced when shared multi-cluster kernel routing is needed and after its security, cancellation, lifecycle, and recovery behavior passes DCLab's runtime tests.</w:t>
      </w:r>
    </w:p>
    <w:p>
      <w:pPr>
        <w:pStyle w:val="Heading1"/>
      </w:pPr>
      <w:r>
        <w:rPr>
          <w:rFonts w:ascii="Liberation Sans" w:hAnsi="Liberation Sans"/>
          <w:b/>
          <w:color w:val="000000"/>
          <w:sz w:val="34"/>
        </w:rPr>
        <w:t>After the MVP</w:t>
      </w:r>
    </w:p>
    <w:p>
      <w:pPr>
        <w:spacing w:after="160" w:line="274" w:lineRule="auto"/>
        <w:ind w:firstLine="259"/>
        <w:jc w:val="left"/>
      </w:pPr>
      <w:r>
        <w:rPr>
          <w:rFonts w:ascii="Liberation Sans" w:hAnsi="Liberation Sans"/>
          <w:color w:val="000000"/>
          <w:sz w:val="22"/>
        </w:rPr>
        <w:t>Later development should follow paid customer demand rather than expand every technical possibility at once.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cantSplit w:val="true"/>
          <w:tblHeader w:val="true"/>
        </w:trPr>
        <w:tc>
          <w:tcPr>
            <w:tcW w:type="dxa" w:w="3240"/>
            <w:tcMar>
              <w:top w:w="120" w:type="dxa"/>
              <w:start w:w="150" w:type="dxa"/>
              <w:bottom w:w="120" w:type="dxa"/>
              <w:end w:w="150" w:type="dxa"/>
            </w:tcMar>
            <w:vAlign w:val="center"/>
            <w:shd w:fill="17324D"/>
          </w:tcPr>
          <w:p>
            <w:pPr>
              <w:spacing w:after="0" w:line="259" w:lineRule="auto"/>
              <w:jc w:val="left"/>
            </w:pPr>
            <w:r>
              <w:rPr>
                <w:rFonts w:ascii="Liberation Sans" w:hAnsi="Liberation Sans"/>
                <w:b/>
                <w:color w:val="FFFFFF"/>
                <w:sz w:val="19"/>
              </w:rPr>
              <w:t>Area</w:t>
            </w:r>
          </w:p>
        </w:tc>
        <w:tc>
          <w:tcPr>
            <w:tcW w:type="dxa" w:w="6983"/>
            <w:tcMar>
              <w:top w:w="120" w:type="dxa"/>
              <w:start w:w="150" w:type="dxa"/>
              <w:bottom w:w="120" w:type="dxa"/>
              <w:end w:w="150" w:type="dxa"/>
            </w:tcMar>
            <w:vAlign w:val="center"/>
            <w:shd w:fill="17324D"/>
          </w:tcPr>
          <w:p>
            <w:pPr>
              <w:spacing w:after="0" w:line="259" w:lineRule="auto"/>
              <w:jc w:val="left"/>
            </w:pPr>
            <w:r>
              <w:rPr>
                <w:rFonts w:ascii="Liberation Sans" w:hAnsi="Liberation Sans"/>
                <w:b/>
                <w:color w:val="FFFFFF"/>
                <w:sz w:val="19"/>
              </w:rPr>
              <w:t>Direction after validation</w:t>
            </w:r>
          </w:p>
        </w:tc>
      </w:tr>
      <w:tr>
        <w:trPr>
          <w:cantSplit w:val="true"/>
        </w:trPr>
        <w:tc>
          <w:tcPr>
            <w:tcW w:type="dxa" w:w="3240"/>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Prediction delivery</w:t>
            </w:r>
          </w:p>
        </w:tc>
        <w:tc>
          <w:tcPr>
            <w:tcW w:type="dxa" w:w="6983"/>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Low-latency online endpoints, scheduled services, streaming inputs, autoscaling, and stronger traffic controls</w:t>
            </w:r>
          </w:p>
        </w:tc>
      </w:tr>
      <w:tr>
        <w:trPr>
          <w:cantSplit w:val="true"/>
        </w:trPr>
        <w:tc>
          <w:tcPr>
            <w:tcW w:type="dxa" w:w="3240"/>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Model development</w:t>
            </w:r>
          </w:p>
        </w:tc>
        <w:tc>
          <w:tcPr>
            <w:tcW w:type="dxa" w:w="6983"/>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More model families, distributed training, deeper GPU support, advanced tuning, feature reuse, and larger datasets</w:t>
            </w:r>
          </w:p>
        </w:tc>
      </w:tr>
      <w:tr>
        <w:trPr>
          <w:cantSplit w:val="true"/>
        </w:trPr>
        <w:tc>
          <w:tcPr>
            <w:tcW w:type="dxa" w:w="3240"/>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Runtime scale</w:t>
            </w:r>
          </w:p>
        </w:tc>
        <w:tc>
          <w:tcPr>
            <w:tcW w:type="dxa" w:w="6983"/>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Enterprise Gateway or an equivalent remote-kernel layer, larger worker fleets, advanced scheduling, and capacity reservations</w:t>
            </w:r>
          </w:p>
        </w:tc>
      </w:tr>
      <w:tr>
        <w:trPr>
          <w:cantSplit w:val="true"/>
        </w:trPr>
        <w:tc>
          <w:tcPr>
            <w:tcW w:type="dxa" w:w="3240"/>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Data ecosystem</w:t>
            </w:r>
          </w:p>
        </w:tc>
        <w:tc>
          <w:tcPr>
            <w:tcW w:type="dxa" w:w="6983"/>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More databases, warehouses, SaaS applications, event sources, private connections, and reviewed partner extensions</w:t>
            </w:r>
          </w:p>
        </w:tc>
      </w:tr>
      <w:tr>
        <w:trPr>
          <w:cantSplit w:val="true"/>
        </w:trPr>
        <w:tc>
          <w:tcPr>
            <w:tcW w:type="dxa" w:w="3240"/>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Automation</w:t>
            </w:r>
          </w:p>
        </w:tc>
        <w:tc>
          <w:tcPr>
            <w:tcW w:type="dxa" w:w="6983"/>
            <w:tcMar>
              <w:top w:w="120" w:type="dxa"/>
              <w:start w:w="150" w:type="dxa"/>
              <w:bottom w:w="120" w:type="dxa"/>
              <w:end w:w="150" w:type="dxa"/>
            </w:tcMar>
            <w:vAlign w:val="center"/>
          </w:tcPr>
          <w:p>
            <w:pPr>
              <w:spacing w:after="0" w:line="259" w:lineRule="auto"/>
              <w:jc w:val="left"/>
            </w:pPr>
            <w:r>
              <w:rPr>
                <w:rFonts w:ascii="Liberation Sans" w:hAnsi="Liberation Sans"/>
                <w:color w:val="000000"/>
                <w:sz w:val="19"/>
              </w:rPr>
              <w:t>Policy-approved retraining, evaluation, release preparation, and rollback recommendations with stronger simulation and approval controls</w:t>
            </w:r>
          </w:p>
        </w:tc>
      </w:tr>
      <w:tr>
        <w:trPr>
          <w:cantSplit w:val="true"/>
        </w:trPr>
        <w:tc>
          <w:tcPr>
            <w:tcW w:type="dxa" w:w="3240"/>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Enterprise readiness</w:t>
            </w:r>
          </w:p>
        </w:tc>
        <w:tc>
          <w:tcPr>
            <w:tcW w:type="dxa" w:w="6983"/>
            <w:tcMar>
              <w:top w:w="120" w:type="dxa"/>
              <w:start w:w="150" w:type="dxa"/>
              <w:bottom w:w="120" w:type="dxa"/>
              <w:end w:w="150" w:type="dxa"/>
            </w:tcMar>
            <w:vAlign w:val="center"/>
            <w:shd w:fill="F4F8FB"/>
          </w:tcPr>
          <w:p>
            <w:pPr>
              <w:spacing w:after="0" w:line="259" w:lineRule="auto"/>
              <w:jc w:val="left"/>
            </w:pPr>
            <w:r>
              <w:rPr>
                <w:rFonts w:ascii="Liberation Sans" w:hAnsi="Liberation Sans"/>
                <w:color w:val="000000"/>
                <w:sz w:val="19"/>
              </w:rPr>
              <w:t>Single sign-on, automated user provisioning, customer-managed keys, private networking, regional controls, compliance evidence, and support commitments</w:t>
            </w:r>
          </w:p>
        </w:tc>
      </w:tr>
    </w:tbl>
    <w:p>
      <w:pPr>
        <w:spacing w:after="40" w:before="20"/>
      </w:pPr>
    </w:p>
    <w:p>
      <w:pPr>
        <w:pStyle w:val="Heading1"/>
      </w:pPr>
      <w:r>
        <w:rPr>
          <w:rFonts w:ascii="Liberation Sans" w:hAnsi="Liberation Sans"/>
          <w:b/>
          <w:color w:val="000000"/>
          <w:sz w:val="34"/>
        </w:rPr>
        <w:t>Business model and market test</w:t>
      </w:r>
    </w:p>
    <w:p>
      <w:pPr>
        <w:spacing w:after="160" w:line="274" w:lineRule="auto"/>
        <w:ind w:firstLine="259"/>
        <w:jc w:val="left"/>
      </w:pPr>
      <w:r>
        <w:rPr>
          <w:rFonts w:ascii="Liberation Sans" w:hAnsi="Liberation Sans"/>
          <w:color w:val="000000"/>
          <w:sz w:val="22"/>
        </w:rPr>
        <w:t>The initial business model should combine a platform subscription with usage charges for compute, storage, notebook sessions, batch predictions, and AI models. Enterprise terms can later cover private deployment, stronger identity and security controls, support commitments, and custom integrations.</w:t>
      </w:r>
    </w:p>
    <w:p>
      <w:pPr>
        <w:spacing w:after="160" w:line="274" w:lineRule="auto"/>
        <w:ind w:firstLine="259"/>
        <w:jc w:val="left"/>
      </w:pPr>
      <w:r>
        <w:rPr>
          <w:rFonts w:ascii="Liberation Sans" w:hAnsi="Liberation Sans"/>
          <w:color w:val="000000"/>
          <w:sz w:val="22"/>
        </w:rPr>
        <w:t>We should recruit three to five design partners, choose one real structured-data use case for each, measure the current process, run the complete DCLab journey, and compare delivery time, repeat work, reproducibility, manual handoffs, user confidence, cost, and willingness to continue. Pricing should be finalized after these pilots show which outcome customers value and what a normal project costs to operate.</w:t>
      </w:r>
    </w:p>
    <w:p>
      <w:pPr>
        <w:pStyle w:val="Heading1"/>
      </w:pPr>
      <w:r>
        <w:rPr>
          <w:rFonts w:ascii="Liberation Sans" w:hAnsi="Liberation Sans"/>
          <w:b/>
          <w:color w:val="000000"/>
          <w:sz w:val="34"/>
        </w:rPr>
        <w:t>Decisions for the founders</w:t>
      </w:r>
    </w:p>
    <w:p>
      <w:pPr>
        <w:spacing w:after="100" w:line="264" w:lineRule="auto"/>
        <w:ind w:left="403" w:hanging="259"/>
      </w:pPr>
      <w:r>
        <w:rPr>
          <w:rFonts w:ascii="Liberation Sans" w:hAnsi="Liberation Sans"/>
          <w:color w:val="000000"/>
          <w:sz w:val="22"/>
        </w:rPr>
        <w:t xml:space="preserve">1. </w:t>
      </w:r>
      <w:r>
        <w:rPr>
          <w:rFonts w:ascii="Liberation Sans" w:hAnsi="Liberation Sans"/>
          <w:b/>
          <w:color w:val="000000"/>
          <w:sz w:val="22"/>
        </w:rPr>
        <w:t>Product definition</w:t>
      </w:r>
      <w:r>
        <w:rPr>
          <w:rFonts w:ascii="Liberation Sans" w:hAnsi="Liberation Sans"/>
          <w:color w:val="000000"/>
          <w:sz w:val="22"/>
        </w:rPr>
        <w:t xml:space="preserve"> Approve DCLab as the connected environment for the ML lifecycle, with AI assistance governed by DCLab.</w:t>
      </w:r>
    </w:p>
    <w:p>
      <w:pPr>
        <w:spacing w:after="100" w:line="264" w:lineRule="auto"/>
        <w:ind w:left="403" w:hanging="259"/>
      </w:pPr>
      <w:r>
        <w:rPr>
          <w:rFonts w:ascii="Liberation Sans" w:hAnsi="Liberation Sans"/>
          <w:color w:val="000000"/>
          <w:sz w:val="22"/>
        </w:rPr>
        <w:t xml:space="preserve">2. </w:t>
      </w:r>
      <w:r>
        <w:rPr>
          <w:rFonts w:ascii="Liberation Sans" w:hAnsi="Liberation Sans"/>
          <w:b/>
          <w:color w:val="000000"/>
          <w:sz w:val="22"/>
        </w:rPr>
        <w:t>First customer</w:t>
      </w:r>
      <w:r>
        <w:rPr>
          <w:rFonts w:ascii="Liberation Sans" w:hAnsi="Liberation Sans"/>
          <w:color w:val="000000"/>
          <w:sz w:val="22"/>
        </w:rPr>
        <w:t xml:space="preserve"> Approve structured-data ML teams with recurring batch-prediction needs as the initial segment.</w:t>
      </w:r>
    </w:p>
    <w:p>
      <w:pPr>
        <w:spacing w:after="100" w:line="264" w:lineRule="auto"/>
        <w:ind w:left="403" w:hanging="259"/>
      </w:pPr>
      <w:r>
        <w:rPr>
          <w:rFonts w:ascii="Liberation Sans" w:hAnsi="Liberation Sans"/>
          <w:color w:val="000000"/>
          <w:sz w:val="22"/>
        </w:rPr>
        <w:t xml:space="preserve">3. </w:t>
      </w:r>
      <w:r>
        <w:rPr>
          <w:rFonts w:ascii="Liberation Sans" w:hAnsi="Liberation Sans"/>
          <w:b/>
          <w:color w:val="000000"/>
          <w:sz w:val="22"/>
        </w:rPr>
        <w:t>MVP promise</w:t>
      </w:r>
      <w:r>
        <w:rPr>
          <w:rFonts w:ascii="Liberation Sans" w:hAnsi="Liberation Sans"/>
          <w:color w:val="000000"/>
          <w:sz w:val="22"/>
        </w:rPr>
        <w:t xml:space="preserve"> Approve one complete journey from data to a verified and monitored batch model.</w:t>
      </w:r>
    </w:p>
    <w:p>
      <w:pPr>
        <w:spacing w:after="100" w:line="264" w:lineRule="auto"/>
        <w:ind w:left="403" w:hanging="259"/>
      </w:pPr>
      <w:r>
        <w:rPr>
          <w:rFonts w:ascii="Liberation Sans" w:hAnsi="Liberation Sans"/>
          <w:color w:val="000000"/>
          <w:sz w:val="22"/>
        </w:rPr>
        <w:t xml:space="preserve">4. </w:t>
      </w:r>
      <w:r>
        <w:rPr>
          <w:rFonts w:ascii="Liberation Sans" w:hAnsi="Liberation Sans"/>
          <w:b/>
          <w:color w:val="000000"/>
          <w:sz w:val="22"/>
        </w:rPr>
        <w:t>Commercial test</w:t>
      </w:r>
      <w:r>
        <w:rPr>
          <w:rFonts w:ascii="Liberation Sans" w:hAnsi="Liberation Sans"/>
          <w:color w:val="000000"/>
          <w:sz w:val="22"/>
        </w:rPr>
        <w:t xml:space="preserve"> Approve founder-led design partnerships and a paid pilot before final pricing.</w:t>
      </w:r>
    </w:p>
    <w:p>
      <w:pPr>
        <w:spacing w:after="100" w:line="264" w:lineRule="auto"/>
        <w:ind w:left="403" w:hanging="259"/>
      </w:pPr>
      <w:r>
        <w:rPr>
          <w:rFonts w:ascii="Liberation Sans" w:hAnsi="Liberation Sans"/>
          <w:color w:val="000000"/>
          <w:sz w:val="22"/>
        </w:rPr>
        <w:t xml:space="preserve">5. </w:t>
      </w:r>
      <w:r>
        <w:rPr>
          <w:rFonts w:ascii="Liberation Sans" w:hAnsi="Liberation Sans"/>
          <w:b/>
          <w:color w:val="000000"/>
          <w:sz w:val="22"/>
        </w:rPr>
        <w:t>Technical boundary</w:t>
      </w:r>
      <w:r>
        <w:rPr>
          <w:rFonts w:ascii="Liberation Sans" w:hAnsi="Liberation Sans"/>
          <w:color w:val="000000"/>
          <w:sz w:val="22"/>
        </w:rPr>
        <w:t xml:space="preserve"> Approve one AWS or Google Cloud platform home, Jupyter Server first, and separately certified external compute.</w:t>
      </w:r>
    </w:p>
    <w:p>
      <w:pPr>
        <w:spacing w:after="100" w:line="264" w:lineRule="auto"/>
        <w:ind w:left="403" w:hanging="259"/>
      </w:pPr>
      <w:r>
        <w:rPr>
          <w:rFonts w:ascii="Liberation Sans" w:hAnsi="Liberation Sans"/>
          <w:color w:val="000000"/>
          <w:sz w:val="22"/>
        </w:rPr>
        <w:t xml:space="preserve">6. </w:t>
      </w:r>
      <w:r>
        <w:rPr>
          <w:rFonts w:ascii="Liberation Sans" w:hAnsi="Liberation Sans"/>
          <w:b/>
          <w:color w:val="000000"/>
          <w:sz w:val="22"/>
        </w:rPr>
        <w:t>Scope boundary</w:t>
      </w:r>
      <w:r>
        <w:rPr>
          <w:rFonts w:ascii="Liberation Sans" w:hAnsi="Liberation Sans"/>
          <w:color w:val="000000"/>
          <w:sz w:val="22"/>
        </w:rPr>
        <w:t xml:space="preserve"> Keep real-time serving, broad connector coverage, autonomous retraining, and large foundation-model training outside the first release.</w:t>
      </w:r>
    </w:p>
    <w:p>
      <w:pPr>
        <w:spacing w:after="100" w:line="264" w:lineRule="auto"/>
        <w:ind w:left="403" w:hanging="259"/>
      </w:pPr>
      <w:r>
        <w:rPr>
          <w:rFonts w:ascii="Liberation Sans" w:hAnsi="Liberation Sans"/>
          <w:color w:val="000000"/>
          <w:sz w:val="22"/>
        </w:rPr>
        <w:t xml:space="preserve">7. </w:t>
      </w:r>
      <w:r>
        <w:rPr>
          <w:rFonts w:ascii="Liberation Sans" w:hAnsi="Liberation Sans"/>
          <w:b/>
          <w:color w:val="000000"/>
          <w:sz w:val="22"/>
        </w:rPr>
        <w:t>Ownership</w:t>
      </w:r>
      <w:r>
        <w:rPr>
          <w:rFonts w:ascii="Liberation Sans" w:hAnsi="Liberation Sans"/>
          <w:color w:val="000000"/>
          <w:sz w:val="22"/>
        </w:rPr>
        <w:t xml:space="preserve"> Assign clear founders to customer discovery and engineering delivery, then review customer and product evidence together each week.</w:t>
      </w:r>
    </w:p>
    <w:p>
      <w:pPr>
        <w:pStyle w:val="Heading1"/>
      </w:pPr>
      <w:r>
        <w:rPr>
          <w:rFonts w:ascii="Liberation Sans" w:hAnsi="Liberation Sans"/>
          <w:b/>
          <w:color w:val="000000"/>
          <w:sz w:val="34"/>
        </w:rPr>
        <w:t>Proposed agreement</w:t>
      </w:r>
    </w:p>
    <w:p>
      <w:pPr>
        <w:spacing w:after="160" w:line="274" w:lineRule="auto"/>
        <w:ind w:firstLine="259"/>
        <w:jc w:val="left"/>
      </w:pPr>
      <w:r>
        <w:rPr>
          <w:rFonts w:ascii="Liberation Sans" w:hAnsi="Liberation Sans"/>
          <w:color w:val="000000"/>
          <w:sz w:val="22"/>
        </w:rPr>
        <w:t>If we agree, this becomes DCLab's short business definition; the full proposal and roadmap remain the detailed authorities. Near-term work must serve the MVP, a pilot need, or mandatory safety. The next milestone is one design partner completing a real project and choosing to continue.</w:t>
      </w:r>
    </w:p>
    <w:sectPr w:rsidR="00FC693F" w:rsidRPr="0006063C" w:rsidSect="00034616">
      <w:footerReference w:type="default" r:id="rId9"/>
      <w:pgSz w:w="12240" w:h="15840"/>
      <w:pgMar w:top="1037" w:right="1037" w:bottom="979"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C6770"/>
        <w:sz w:val="17"/>
      </w:rPr>
      <w:t xml:space="preserve">DCLab proposal summary   |   Cofounder discussion   |   </w:t>
    </w:r>
    <w:r>
      <w:rPr>
        <w:rFonts w:ascii="Liberation Sans" w:hAnsi="Liberation Sans"/>
        <w:color w:val="5C6770"/>
        <w:sz w:val="17"/>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Liberation Sans" w:hAnsi="Liberation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Liberation Sans" w:hAnsi="Liberation Sans"/>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ans" w:hAnsi="Liberation Sans"/>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403" w:hanging="259"/>
      <w:contextualSpacing/>
    </w:pPr>
    <w:rPr>
      <w:rFonts w:ascii="Liberation Sans" w:hAnsi="Liberation San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403" w:hanging="259"/>
      <w:contextualSpacing/>
    </w:pPr>
    <w:rPr>
      <w:rFonts w:ascii="Liberation Sans" w:hAnsi="Liberation Sans"/>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DCLab Business Proposal Summary</dc:title>
  <dc:subject>Concise business and technical summary for cofounder alignment</dc:subject>
  <dc:creator>DCLab founding team</dc:creator>
  <cp:keywords>DCLab, business proposal, machine learning, cofounder</cp:keywords>
  <dc:description>generated by python-docx</dc:description>
  <cp:lastModifiedBy/>
  <cp:revision>1</cp:revision>
  <dcterms:created xsi:type="dcterms:W3CDTF">2013-12-23T23:15:00Z</dcterms:created>
  <dcterms:modified xsi:type="dcterms:W3CDTF">2013-12-23T23:15:00Z</dcterms:modified>
  <cp:category/>
</cp:coreProperties>
</file>