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rPr>
          <w:rFonts w:ascii="Calibri" w:cs="Calibri" w:eastAsia="Calibri" w:hAnsi="Calibri"/>
          <w:b/>
          <w:bCs/>
          <w:color w:val="9A7B1F"/>
          <w:spacing w:val="20"/>
          <w:sz w:val="22"/>
          <w:szCs w:val="22"/>
        </w:rPr>
        <w:t xml:space="preserve">PRODUCT REQUIREMENTS DOCUMENT</w:t>
      </w:r>
    </w:p>
    <w:p>
      <w:pPr>
        <w:spacing w:after="80" w:before="200"/>
      </w:pPr>
      <w:r>
        <w:rPr>
          <w:rFonts w:ascii="Cambria" w:cs="Cambria" w:eastAsia="Cambria" w:hAnsi="Cambria"/>
          <w:b/>
          <w:bCs/>
          <w:color w:val="1E2761"/>
          <w:sz w:val="64"/>
          <w:szCs w:val="64"/>
        </w:rPr>
        <w:t xml:space="preserve">PQC-Guard AI</w:t>
      </w:r>
    </w:p>
    <w:p>
      <w:pPr>
        <w:spacing w:after="400"/>
      </w:pPr>
      <w:r>
        <w:rPr>
          <w:rFonts w:ascii="Calibri" w:cs="Calibri" w:eastAsia="Calibri" w:hAnsi="Calibri"/>
          <w:i/>
          <w:iCs/>
          <w:color w:val="5B5B5B"/>
          <w:sz w:val="26"/>
          <w:szCs w:val="26"/>
        </w:rPr>
        <w:t xml:space="preserve">Autonomous Post-Quantum Cryptography Migration Suite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F2F2F2" w:val="clear"/>
            <w:tcMar>
              <w:top w:type="dxa" w:w="100"/>
              <w:left w:type="dxa" w:w="140"/>
              <w:bottom w:type="dxa" w:w="100"/>
              <w:right w:type="dxa" w:w="140"/>
            </w:tcMar>
          </w:tcPr>
          <w:p>
            <w:r>
              <w:rPr>
                <w:rFonts w:ascii="Calibri" w:cs="Calibri" w:eastAsia="Calibri" w:hAnsi="Calibri"/>
                <w:b/>
                <w:bCs/>
                <w:color w:val="1E2761"/>
                <w:sz w:val="19"/>
                <w:szCs w:val="19"/>
              </w:rPr>
              <w:t xml:space="preserve">Version</w:t>
            </w:r>
          </w:p>
        </w:tc>
        <w:tc>
          <w:tcPr>
            <w:tcW w:type="dxa" w:w="6750"/>
            <w:tcMar>
              <w:top w:type="dxa" w:w="100"/>
              <w:left w:type="dxa" w:w="140"/>
              <w:bottom w:type="dxa" w:w="100"/>
              <w:right w:type="dxa" w:w="140"/>
            </w:tcMar>
          </w:tcPr>
          <w:p>
            <w:r>
              <w:rPr>
                <w:rFonts w:ascii="Calibri" w:cs="Calibri" w:eastAsia="Calibri" w:hAnsi="Calibri"/>
                <w:color w:val="2B2B2B"/>
                <w:sz w:val="19"/>
                <w:szCs w:val="19"/>
              </w:rPr>
              <w:t xml:space="preserve">1.0 (Hackathon MVP)</w:t>
            </w:r>
          </w:p>
        </w:tc>
      </w:tr>
      <w:tr>
        <w:tc>
          <w:tcPr>
            <w:tcW w:type="dxa" w:w="2600"/>
            <w:shd w:fill="F2F2F2" w:val="clear"/>
            <w:tcMar>
              <w:top w:type="dxa" w:w="100"/>
              <w:left w:type="dxa" w:w="140"/>
              <w:bottom w:type="dxa" w:w="100"/>
              <w:right w:type="dxa" w:w="140"/>
            </w:tcMar>
          </w:tcPr>
          <w:p>
            <w:r>
              <w:rPr>
                <w:rFonts w:ascii="Calibri" w:cs="Calibri" w:eastAsia="Calibri" w:hAnsi="Calibri"/>
                <w:b/>
                <w:bCs/>
                <w:color w:val="1E2761"/>
                <w:sz w:val="19"/>
                <w:szCs w:val="19"/>
              </w:rPr>
              <w:t xml:space="preserve">Status</w:t>
            </w:r>
          </w:p>
        </w:tc>
        <w:tc>
          <w:tcPr>
            <w:tcW w:type="dxa" w:w="6750"/>
            <w:tcMar>
              <w:top w:type="dxa" w:w="100"/>
              <w:left w:type="dxa" w:w="140"/>
              <w:bottom w:type="dxa" w:w="100"/>
              <w:right w:type="dxa" w:w="140"/>
            </w:tcMar>
          </w:tcPr>
          <w:p>
            <w:r>
              <w:rPr>
                <w:rFonts w:ascii="Calibri" w:cs="Calibri" w:eastAsia="Calibri" w:hAnsi="Calibri"/>
                <w:color w:val="2B2B2B"/>
                <w:sz w:val="19"/>
                <w:szCs w:val="19"/>
              </w:rPr>
              <w:t xml:space="preserve">Draft — Built for GenAI Hackathon | Cohort 11</w:t>
            </w:r>
          </w:p>
        </w:tc>
      </w:tr>
      <w:tr>
        <w:tc>
          <w:tcPr>
            <w:tcW w:type="dxa" w:w="2600"/>
            <w:shd w:fill="F2F2F2" w:val="clear"/>
            <w:tcMar>
              <w:top w:type="dxa" w:w="100"/>
              <w:left w:type="dxa" w:w="140"/>
              <w:bottom w:type="dxa" w:w="100"/>
              <w:right w:type="dxa" w:w="140"/>
            </w:tcMar>
          </w:tcPr>
          <w:p>
            <w:r>
              <w:rPr>
                <w:rFonts w:ascii="Calibri" w:cs="Calibri" w:eastAsia="Calibri" w:hAnsi="Calibri"/>
                <w:b/>
                <w:bCs/>
                <w:color w:val="1E2761"/>
                <w:sz w:val="19"/>
                <w:szCs w:val="19"/>
              </w:rPr>
              <w:t xml:space="preserve">Date</w:t>
            </w:r>
          </w:p>
        </w:tc>
        <w:tc>
          <w:tcPr>
            <w:tcW w:type="dxa" w:w="6750"/>
            <w:tcMar>
              <w:top w:type="dxa" w:w="100"/>
              <w:left w:type="dxa" w:w="140"/>
              <w:bottom w:type="dxa" w:w="100"/>
              <w:right w:type="dxa" w:w="140"/>
            </w:tcMar>
          </w:tcPr>
          <w:p>
            <w:r>
              <w:rPr>
                <w:rFonts w:ascii="Calibri" w:cs="Calibri" w:eastAsia="Calibri" w:hAnsi="Calibri"/>
                <w:color w:val="2B2B2B"/>
                <w:sz w:val="19"/>
                <w:szCs w:val="19"/>
              </w:rPr>
              <w:t xml:space="preserve">September 13, 2026</w:t>
            </w:r>
          </w:p>
        </w:tc>
      </w:tr>
      <w:tr>
        <w:tc>
          <w:tcPr>
            <w:tcW w:type="dxa" w:w="2600"/>
            <w:shd w:fill="F2F2F2" w:val="clear"/>
            <w:tcMar>
              <w:top w:type="dxa" w:w="100"/>
              <w:left w:type="dxa" w:w="140"/>
              <w:bottom w:type="dxa" w:w="100"/>
              <w:right w:type="dxa" w:w="140"/>
            </w:tcMar>
          </w:tcPr>
          <w:p>
            <w:r>
              <w:rPr>
                <w:rFonts w:ascii="Calibri" w:cs="Calibri" w:eastAsia="Calibri" w:hAnsi="Calibri"/>
                <w:b/>
                <w:bCs/>
                <w:color w:val="1E2761"/>
                <w:sz w:val="19"/>
                <w:szCs w:val="19"/>
              </w:rPr>
              <w:t xml:space="preserve">Team</w:t>
            </w:r>
          </w:p>
        </w:tc>
        <w:tc>
          <w:tcPr>
            <w:tcW w:type="dxa" w:w="6750"/>
            <w:tcMar>
              <w:top w:type="dxa" w:w="100"/>
              <w:left w:type="dxa" w:w="140"/>
              <w:bottom w:type="dxa" w:w="100"/>
              <w:right w:type="dxa" w:w="140"/>
            </w:tcMar>
          </w:tcPr>
          <w:p>
            <w:r>
              <w:rPr>
                <w:rFonts w:ascii="Calibri" w:cs="Calibri" w:eastAsia="Calibri" w:hAnsi="Calibri"/>
                <w:color w:val="2B2B2B"/>
                <w:sz w:val="19"/>
                <w:szCs w:val="19"/>
              </w:rPr>
              <w:t xml:space="preserve">Shahyan Ahmed Kiani (Lead) · Taimoor Arshad · Muhammad Bilal · Adeel Satti</w:t>
            </w:r>
          </w:p>
        </w:tc>
      </w:tr>
      <w:tr>
        <w:tc>
          <w:tcPr>
            <w:tcW w:type="dxa" w:w="2600"/>
            <w:shd w:fill="F2F2F2" w:val="clear"/>
            <w:tcMar>
              <w:top w:type="dxa" w:w="100"/>
              <w:left w:type="dxa" w:w="140"/>
              <w:bottom w:type="dxa" w:w="100"/>
              <w:right w:type="dxa" w:w="140"/>
            </w:tcMar>
          </w:tcPr>
          <w:p>
            <w:r>
              <w:rPr>
                <w:rFonts w:ascii="Calibri" w:cs="Calibri" w:eastAsia="Calibri" w:hAnsi="Calibri"/>
                <w:b/>
                <w:bCs/>
                <w:color w:val="1E2761"/>
                <w:sz w:val="19"/>
                <w:szCs w:val="19"/>
              </w:rPr>
              <w:t xml:space="preserve">Organizers</w:t>
            </w:r>
          </w:p>
        </w:tc>
        <w:tc>
          <w:tcPr>
            <w:tcW w:type="dxa" w:w="6750"/>
            <w:tcMar>
              <w:top w:type="dxa" w:w="100"/>
              <w:left w:type="dxa" w:w="140"/>
              <w:bottom w:type="dxa" w:w="100"/>
              <w:right w:type="dxa" w:w="140"/>
            </w:tcMar>
          </w:tcPr>
          <w:p>
            <w:r>
              <w:rPr>
                <w:rFonts w:ascii="Calibri" w:cs="Calibri" w:eastAsia="Calibri" w:hAnsi="Calibri"/>
                <w:color w:val="2B2B2B"/>
                <w:sz w:val="19"/>
                <w:szCs w:val="19"/>
              </w:rPr>
              <w:t xml:space="preserve">Pak Angels (Lead) with iCodeGuru (Technical Lead), Aspire Pakistan, HEC, NCEAC, PEC</w:t>
            </w:r>
          </w:p>
        </w:tc>
      </w:tr>
      <w:tr>
        <w:tc>
          <w:tcPr>
            <w:tcW w:type="dxa" w:w="2600"/>
            <w:shd w:fill="F2F2F2" w:val="clear"/>
            <w:tcMar>
              <w:top w:type="dxa" w:w="100"/>
              <w:left w:type="dxa" w:w="140"/>
              <w:bottom w:type="dxa" w:w="100"/>
              <w:right w:type="dxa" w:w="140"/>
            </w:tcMar>
          </w:tcPr>
          <w:p>
            <w:r>
              <w:rPr>
                <w:rFonts w:ascii="Calibri" w:cs="Calibri" w:eastAsia="Calibri" w:hAnsi="Calibri"/>
                <w:b/>
                <w:bCs/>
                <w:color w:val="1E2761"/>
                <w:sz w:val="19"/>
                <w:szCs w:val="19"/>
              </w:rPr>
              <w:t xml:space="preserve">Category</w:t>
            </w:r>
          </w:p>
        </w:tc>
        <w:tc>
          <w:tcPr>
            <w:tcW w:type="dxa" w:w="6750"/>
            <w:tcMar>
              <w:top w:type="dxa" w:w="100"/>
              <w:left w:type="dxa" w:w="140"/>
              <w:bottom w:type="dxa" w:w="100"/>
              <w:right w:type="dxa" w:w="140"/>
            </w:tcMar>
          </w:tcPr>
          <w:p>
            <w:r>
              <w:rPr>
                <w:rFonts w:ascii="Calibri" w:cs="Calibri" w:eastAsia="Calibri" w:hAnsi="Calibri"/>
                <w:color w:val="2B2B2B"/>
                <w:sz w:val="19"/>
                <w:szCs w:val="19"/>
              </w:rPr>
              <w:t xml:space="preserve">Computer Science / Artificial Intelligence — Agentic AI Systems &amp; Automated Software Engineering</w:t>
            </w:r>
          </w:p>
        </w:tc>
      </w:tr>
    </w:tbl>
    <w:p>
      <w:r>
        <w:br w:type="page"/>
      </w:r>
    </w:p>
    <w:p>
      <w:pPr>
        <w:pStyle w:val="Heading1"/>
        <w:pBdr>
          <w:bottom w:val="single" w:color="9A7B1F" w:sz="6" w:space="4"/>
        </w:pBdr>
        <w:spacing w:after="160" w:before="360"/>
      </w:pPr>
      <w:r>
        <w:rPr>
          <w:rFonts w:ascii="Cambria" w:cs="Cambria" w:eastAsia="Cambria" w:hAnsi="Cambria"/>
          <w:b/>
          <w:bCs/>
          <w:color w:val="1E2761"/>
          <w:sz w:val="30"/>
          <w:szCs w:val="30"/>
        </w:rPr>
        <w:t xml:space="preserve">1. Executive Summary</w:t>
      </w:r>
    </w:p>
    <w:p>
      <w:pPr>
        <w:spacing w:after="140" w:line="276"/>
      </w:pPr>
      <w:r>
        <w:rPr>
          <w:rFonts w:ascii="Calibri" w:cs="Calibri" w:eastAsia="Calibri" w:hAnsi="Calibri"/>
          <w:i w:val="false"/>
          <w:iCs w:val="false"/>
          <w:color w:val="2B2B2B"/>
          <w:sz w:val="21"/>
          <w:szCs w:val="21"/>
        </w:rPr>
        <w:t xml:space="preserve">Quantum computers capable of breaking today’s RSA and ECC encryption are projected to arrive within the next decade, and adversaries are already harvesting encrypted traffic to decrypt retroactively once that hardware exists. Migrating legacy codebases to post-quantum cryptography (PQC) by hand is slow, expensive, and error-prone at any meaningful scale.</w:t>
      </w:r>
    </w:p>
    <w:p>
      <w:pPr>
        <w:spacing w:after="140" w:line="276"/>
      </w:pPr>
      <w:r>
        <w:rPr>
          <w:rFonts w:ascii="Calibri" w:cs="Calibri" w:eastAsia="Calibri" w:hAnsi="Calibri"/>
          <w:i w:val="false"/>
          <w:iCs w:val="false"/>
          <w:color w:val="2B2B2B"/>
          <w:sz w:val="21"/>
          <w:szCs w:val="21"/>
        </w:rPr>
        <w:t xml:space="preserve">PQC-Guard AI is an autonomous, multi-agent pipeline that scans legacy Python codebases for quantum-vulnerable cryptography, uses generative AI to refactor it into NIST-approved ML-KEM-512 (via liboqs), and verifies the result by executing it in an isolated sandbox — retrying automatically on failure. The system is presented through a dark-mode, glassmorphic dashboard that streams each agent’s reasoning in real time.</w:t>
      </w:r>
    </w:p>
    <w:p>
      <w:pPr>
        <w:spacing w:after="140" w:line="276"/>
      </w:pPr>
      <w:r>
        <w:rPr>
          <w:rFonts w:ascii="Calibri" w:cs="Calibri" w:eastAsia="Calibri" w:hAnsi="Calibri"/>
          <w:i w:val="false"/>
          <w:iCs w:val="false"/>
          <w:color w:val="2B2B2B"/>
          <w:sz w:val="21"/>
          <w:szCs w:val="21"/>
        </w:rPr>
        <w:t xml:space="preserve">This document defines the requirements for the 24-hour hackathon MVP and outlines the longer-term product vision: an enterprise-grade compliance and audit platform.</w:t>
      </w:r>
    </w:p>
    <w:p>
      <w:pPr>
        <w:pStyle w:val="Heading1"/>
        <w:pBdr>
          <w:bottom w:val="single" w:color="9A7B1F" w:sz="6" w:space="4"/>
        </w:pBdr>
        <w:spacing w:after="160" w:before="360"/>
      </w:pPr>
      <w:r>
        <w:rPr>
          <w:rFonts w:ascii="Cambria" w:cs="Cambria" w:eastAsia="Cambria" w:hAnsi="Cambria"/>
          <w:b/>
          <w:bCs/>
          <w:color w:val="1E2761"/>
          <w:sz w:val="30"/>
          <w:szCs w:val="30"/>
        </w:rPr>
        <w:t xml:space="preserve">2. Problem Statement</w:t>
      </w:r>
    </w:p>
    <w:p>
      <w:pPr>
        <w:pStyle w:val="ListParagraph"/>
        <w:numPr>
          <w:ilvl w:val="0"/>
          <w:numId w:val="2"/>
        </w:numPr>
        <w:spacing w:after="70"/>
      </w:pPr>
      <w:r>
        <w:rPr>
          <w:rFonts w:ascii="Calibri" w:cs="Calibri" w:eastAsia="Calibri" w:hAnsi="Calibri"/>
          <w:color w:val="2B2B2B"/>
          <w:sz w:val="21"/>
          <w:szCs w:val="21"/>
        </w:rPr>
        <w:t xml:space="preserve">Quantum computers will break RSA &amp; ECC — Shor’s algorithm renders today’s public-key cryptography solvable in polynomial time once sufficiently powerful quantum hardware exists.</w:t>
      </w:r>
    </w:p>
    <w:p>
      <w:pPr>
        <w:pStyle w:val="ListParagraph"/>
        <w:numPr>
          <w:ilvl w:val="0"/>
          <w:numId w:val="2"/>
        </w:numPr>
        <w:spacing w:after="70"/>
      </w:pPr>
      <w:r>
        <w:rPr>
          <w:rFonts w:ascii="Calibri" w:cs="Calibri" w:eastAsia="Calibri" w:hAnsi="Calibri"/>
          <w:color w:val="2B2B2B"/>
          <w:sz w:val="21"/>
          <w:szCs w:val="21"/>
        </w:rPr>
        <w:t xml:space="preserve">"Harvest now, decrypt later" — adversaries are archiving encrypted traffic today to decrypt once quantum hardware matures, making migration urgent even before quantum computers arrive.</w:t>
      </w:r>
    </w:p>
    <w:p>
      <w:pPr>
        <w:pStyle w:val="ListParagraph"/>
        <w:numPr>
          <w:ilvl w:val="0"/>
          <w:numId w:val="2"/>
        </w:numPr>
        <w:spacing w:after="70"/>
      </w:pPr>
      <w:r>
        <w:rPr>
          <w:rFonts w:ascii="Calibri" w:cs="Calibri" w:eastAsia="Calibri" w:hAnsi="Calibri"/>
          <w:color w:val="2B2B2B"/>
          <w:sz w:val="21"/>
          <w:szCs w:val="21"/>
        </w:rPr>
        <w:t xml:space="preserve">Legacy codebases are massive and fragile — millions of lines depend on vulnerable cryptographic imports scattered across services that teams are reluctant to touch.</w:t>
      </w:r>
    </w:p>
    <w:p>
      <w:pPr>
        <w:pStyle w:val="ListParagraph"/>
        <w:numPr>
          <w:ilvl w:val="0"/>
          <w:numId w:val="2"/>
        </w:numPr>
        <w:spacing w:after="70"/>
      </w:pPr>
      <w:r>
        <w:rPr>
          <w:rFonts w:ascii="Calibri" w:cs="Calibri" w:eastAsia="Calibri" w:hAnsi="Calibri"/>
          <w:color w:val="2B2B2B"/>
          <w:sz w:val="21"/>
          <w:szCs w:val="21"/>
        </w:rPr>
        <w:t xml:space="preserve">Manual migration doesn’t scale — auditing and rewriting cryptographic code by hand is slow, costly, and dangerously error-prone.</w:t>
      </w:r>
    </w:p>
    <w:p>
      <w:pPr>
        <w:pStyle w:val="ListParagraph"/>
        <w:numPr>
          <w:ilvl w:val="0"/>
          <w:numId w:val="2"/>
        </w:numPr>
        <w:spacing w:after="70"/>
      </w:pPr>
      <w:r>
        <w:rPr>
          <w:rFonts w:ascii="Calibri" w:cs="Calibri" w:eastAsia="Calibri" w:hAnsi="Calibri"/>
          <w:color w:val="2B2B2B"/>
          <w:sz w:val="21"/>
          <w:szCs w:val="21"/>
        </w:rPr>
        <w:t xml:space="preserve">Regulatory pressure is increasing — bodies such as NIST, CISA, and HIPAA are moving toward requiring formal proof that systems are quantum-safe.</w:t>
      </w:r>
    </w:p>
    <w:p>
      <w:pPr>
        <w:pStyle w:val="Heading1"/>
        <w:pBdr>
          <w:bottom w:val="single" w:color="9A7B1F" w:sz="6" w:space="4"/>
        </w:pBdr>
        <w:spacing w:after="160" w:before="360"/>
      </w:pPr>
      <w:r>
        <w:rPr>
          <w:rFonts w:ascii="Cambria" w:cs="Cambria" w:eastAsia="Cambria" w:hAnsi="Cambria"/>
          <w:b/>
          <w:bCs/>
          <w:color w:val="1E2761"/>
          <w:sz w:val="30"/>
          <w:szCs w:val="30"/>
        </w:rPr>
        <w:t xml:space="preserve">3. Goals &amp; Objectives</w:t>
      </w:r>
    </w:p>
    <w:p>
      <w:pPr>
        <w:pStyle w:val="Heading2"/>
        <w:spacing w:after="120" w:before="260"/>
      </w:pPr>
      <w:r>
        <w:rPr>
          <w:rFonts w:ascii="Cambria" w:cs="Cambria" w:eastAsia="Cambria" w:hAnsi="Cambria"/>
          <w:b/>
          <w:bCs/>
          <w:color w:val="1E2761"/>
          <w:sz w:val="24"/>
          <w:szCs w:val="24"/>
        </w:rPr>
        <w:t xml:space="preserve">3.1 Goals (MVP)</w:t>
      </w:r>
    </w:p>
    <w:p>
      <w:pPr>
        <w:pStyle w:val="ListParagraph"/>
        <w:numPr>
          <w:ilvl w:val="0"/>
          <w:numId w:val="2"/>
        </w:numPr>
        <w:spacing w:after="70"/>
      </w:pPr>
      <w:r>
        <w:rPr>
          <w:rFonts w:ascii="Calibri" w:cs="Calibri" w:eastAsia="Calibri" w:hAnsi="Calibri"/>
          <w:color w:val="2B2B2B"/>
          <w:sz w:val="21"/>
          <w:szCs w:val="21"/>
        </w:rPr>
        <w:t xml:space="preserve">Automatically detect quantum-vulnerable cryptographic imports and usage in a given Python codebase.</w:t>
      </w:r>
    </w:p>
    <w:p>
      <w:pPr>
        <w:pStyle w:val="ListParagraph"/>
        <w:numPr>
          <w:ilvl w:val="0"/>
          <w:numId w:val="2"/>
        </w:numPr>
        <w:spacing w:after="70"/>
      </w:pPr>
      <w:r>
        <w:rPr>
          <w:rFonts w:ascii="Calibri" w:cs="Calibri" w:eastAsia="Calibri" w:hAnsi="Calibri"/>
          <w:color w:val="2B2B2B"/>
          <w:sz w:val="21"/>
          <w:szCs w:val="21"/>
        </w:rPr>
        <w:t xml:space="preserve">Automatically refactor detected vulnerabilities into quantum-safe code using the NIST ML-KEM-512 standard.</w:t>
      </w:r>
    </w:p>
    <w:p>
      <w:pPr>
        <w:pStyle w:val="ListParagraph"/>
        <w:numPr>
          <w:ilvl w:val="0"/>
          <w:numId w:val="2"/>
        </w:numPr>
        <w:spacing w:after="70"/>
      </w:pPr>
      <w:r>
        <w:rPr>
          <w:rFonts w:ascii="Calibri" w:cs="Calibri" w:eastAsia="Calibri" w:hAnsi="Calibri"/>
          <w:color w:val="2B2B2B"/>
          <w:sz w:val="21"/>
          <w:szCs w:val="21"/>
        </w:rPr>
        <w:t xml:space="preserve">Verify that refactored code executes correctly in an isolated environment before marking a migration "Verified."</w:t>
      </w:r>
    </w:p>
    <w:p>
      <w:pPr>
        <w:pStyle w:val="ListParagraph"/>
        <w:numPr>
          <w:ilvl w:val="0"/>
          <w:numId w:val="2"/>
        </w:numPr>
        <w:spacing w:after="70"/>
      </w:pPr>
      <w:r>
        <w:rPr>
          <w:rFonts w:ascii="Calibri" w:cs="Calibri" w:eastAsia="Calibri" w:hAnsi="Calibri"/>
          <w:color w:val="2B2B2B"/>
          <w:sz w:val="21"/>
          <w:szCs w:val="21"/>
        </w:rPr>
        <w:t xml:space="preserve">Give the user full visibility into the agent pipeline via a live, streaming dashboard.</w:t>
      </w:r>
    </w:p>
    <w:p>
      <w:pPr>
        <w:pStyle w:val="Heading2"/>
        <w:spacing w:after="120" w:before="260"/>
      </w:pPr>
      <w:r>
        <w:rPr>
          <w:rFonts w:ascii="Cambria" w:cs="Cambria" w:eastAsia="Cambria" w:hAnsi="Cambria"/>
          <w:b/>
          <w:bCs/>
          <w:color w:val="1E2761"/>
          <w:sz w:val="24"/>
          <w:szCs w:val="24"/>
        </w:rPr>
        <w:t xml:space="preserve">3.2 Non-Goals (MVP)</w:t>
      </w:r>
    </w:p>
    <w:p>
      <w:pPr>
        <w:pStyle w:val="ListParagraph"/>
        <w:numPr>
          <w:ilvl w:val="0"/>
          <w:numId w:val="2"/>
        </w:numPr>
        <w:spacing w:after="70"/>
      </w:pPr>
      <w:r>
        <w:rPr>
          <w:rFonts w:ascii="Calibri" w:cs="Calibri" w:eastAsia="Calibri" w:hAnsi="Calibri"/>
          <w:color w:val="2B2B2B"/>
          <w:sz w:val="21"/>
          <w:szCs w:val="21"/>
        </w:rPr>
        <w:t xml:space="preserve">Support for languages other than Python.</w:t>
      </w:r>
    </w:p>
    <w:p>
      <w:pPr>
        <w:pStyle w:val="ListParagraph"/>
        <w:numPr>
          <w:ilvl w:val="0"/>
          <w:numId w:val="2"/>
        </w:numPr>
        <w:spacing w:after="70"/>
      </w:pPr>
      <w:r>
        <w:rPr>
          <w:rFonts w:ascii="Calibri" w:cs="Calibri" w:eastAsia="Calibri" w:hAnsi="Calibri"/>
          <w:color w:val="2B2B2B"/>
          <w:sz w:val="21"/>
          <w:szCs w:val="21"/>
        </w:rPr>
        <w:t xml:space="preserve">Production-grade key management, HSM integration, or key rotation.</w:t>
      </w:r>
    </w:p>
    <w:p>
      <w:pPr>
        <w:pStyle w:val="ListParagraph"/>
        <w:numPr>
          <w:ilvl w:val="0"/>
          <w:numId w:val="2"/>
        </w:numPr>
        <w:spacing w:after="70"/>
      </w:pPr>
      <w:r>
        <w:rPr>
          <w:rFonts w:ascii="Calibri" w:cs="Calibri" w:eastAsia="Calibri" w:hAnsi="Calibri"/>
          <w:color w:val="2B2B2B"/>
          <w:sz w:val="21"/>
          <w:szCs w:val="21"/>
        </w:rPr>
        <w:t xml:space="preserve">Automated generation of formal compliance certificates or legal audit reports (see Section 10, Future Roadmap).</w:t>
      </w:r>
    </w:p>
    <w:p>
      <w:pPr>
        <w:pStyle w:val="ListParagraph"/>
        <w:numPr>
          <w:ilvl w:val="0"/>
          <w:numId w:val="2"/>
        </w:numPr>
        <w:spacing w:after="70"/>
      </w:pPr>
      <w:r>
        <w:rPr>
          <w:rFonts w:ascii="Calibri" w:cs="Calibri" w:eastAsia="Calibri" w:hAnsi="Calibri"/>
          <w:color w:val="2B2B2B"/>
          <w:sz w:val="21"/>
          <w:szCs w:val="21"/>
        </w:rPr>
        <w:t xml:space="preserve">Multi-tenant deployment, authentication, or billing infrastructure.</w:t>
      </w:r>
    </w:p>
    <w:p>
      <w:pPr>
        <w:pStyle w:val="Heading1"/>
        <w:pBdr>
          <w:bottom w:val="single" w:color="9A7B1F" w:sz="6" w:space="4"/>
        </w:pBdr>
        <w:spacing w:after="160" w:before="360"/>
      </w:pPr>
      <w:r>
        <w:rPr>
          <w:rFonts w:ascii="Cambria" w:cs="Cambria" w:eastAsia="Cambria" w:hAnsi="Cambria"/>
          <w:b/>
          <w:bCs/>
          <w:color w:val="1E2761"/>
          <w:sz w:val="30"/>
          <w:szCs w:val="30"/>
        </w:rPr>
        <w:t xml:space="preserve">4. Target Users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6050"/>
      </w:tblGrid>
      <w:tr>
        <w:tc>
          <w:tcPr>
            <w:tcW w:type="dxa" w:w="330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User</w:t>
            </w:r>
          </w:p>
        </w:tc>
        <w:tc>
          <w:tcPr>
            <w:tcW w:type="dxa" w:w="605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Need</w:t>
            </w:r>
          </w:p>
        </w:tc>
      </w:tr>
      <w:tr>
        <w:tc>
          <w:tcPr>
            <w:tcW w:type="dxa" w:w="3300"/>
            <w:tcMar>
              <w:top w:type="dxa" w:w="100"/>
              <w:left w:type="dxa" w:w="120"/>
              <w:bottom w:type="dxa" w:w="100"/>
              <w:right w:type="dxa" w:w="120"/>
            </w:tcMar>
          </w:tcPr>
          <w:p>
            <w:r>
              <w:rPr>
                <w:rFonts w:ascii="Calibri" w:cs="Calibri" w:eastAsia="Calibri" w:hAnsi="Calibri"/>
                <w:b w:val="false"/>
                <w:bCs w:val="false"/>
                <w:color w:val="2B2B2B"/>
                <w:sz w:val="19"/>
                <w:szCs w:val="19"/>
              </w:rPr>
              <w:t xml:space="preserve">DevSecOps / platform engineers</w:t>
            </w:r>
          </w:p>
        </w:tc>
        <w:tc>
          <w:tcPr>
            <w:tcW w:type="dxa" w:w="6050"/>
            <w:tcMar>
              <w:top w:type="dxa" w:w="100"/>
              <w:left w:type="dxa" w:w="120"/>
              <w:bottom w:type="dxa" w:w="100"/>
              <w:right w:type="dxa" w:w="120"/>
            </w:tcMar>
          </w:tcPr>
          <w:p>
            <w:r>
              <w:rPr>
                <w:rFonts w:ascii="Calibri" w:cs="Calibri" w:eastAsia="Calibri" w:hAnsi="Calibri"/>
                <w:b w:val="false"/>
                <w:bCs w:val="false"/>
                <w:color w:val="2B2B2B"/>
                <w:sz w:val="19"/>
                <w:szCs w:val="19"/>
              </w:rPr>
              <w:t xml:space="preserve">Identify and remediate quantum-vulnerable cryptography across services without manual code review.</w:t>
            </w:r>
          </w:p>
        </w:tc>
      </w:tr>
      <w:tr>
        <w:tc>
          <w:tcPr>
            <w:tcW w:type="dxa" w:w="330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Engineering leads</w:t>
            </w:r>
          </w:p>
        </w:tc>
        <w:tc>
          <w:tcPr>
            <w:tcW w:type="dxa" w:w="605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Reduce the time and risk cost of a mandatory cryptography migration.</w:t>
            </w:r>
          </w:p>
        </w:tc>
      </w:tr>
      <w:tr>
        <w:tc>
          <w:tcPr>
            <w:tcW w:type="dxa" w:w="3300"/>
            <w:tcMar>
              <w:top w:type="dxa" w:w="100"/>
              <w:left w:type="dxa" w:w="120"/>
              <w:bottom w:type="dxa" w:w="100"/>
              <w:right w:type="dxa" w:w="120"/>
            </w:tcMar>
          </w:tcPr>
          <w:p>
            <w:r>
              <w:rPr>
                <w:rFonts w:ascii="Calibri" w:cs="Calibri" w:eastAsia="Calibri" w:hAnsi="Calibri"/>
                <w:b w:val="false"/>
                <w:bCs w:val="false"/>
                <w:color w:val="2B2B2B"/>
                <w:sz w:val="19"/>
                <w:szCs w:val="19"/>
              </w:rPr>
              <w:t xml:space="preserve">Compliance / security officers</w:t>
            </w:r>
          </w:p>
        </w:tc>
        <w:tc>
          <w:tcPr>
            <w:tcW w:type="dxa" w:w="6050"/>
            <w:tcMar>
              <w:top w:type="dxa" w:w="100"/>
              <w:left w:type="dxa" w:w="120"/>
              <w:bottom w:type="dxa" w:w="100"/>
              <w:right w:type="dxa" w:w="120"/>
            </w:tcMar>
          </w:tcPr>
          <w:p>
            <w:r>
              <w:rPr>
                <w:rFonts w:ascii="Calibri" w:cs="Calibri" w:eastAsia="Calibri" w:hAnsi="Calibri"/>
                <w:b w:val="false"/>
                <w:bCs w:val="false"/>
                <w:color w:val="2B2B2B"/>
                <w:sz w:val="19"/>
                <w:szCs w:val="19"/>
              </w:rPr>
              <w:t xml:space="preserve">Evidence that systems are being moved toward quantum-safe standards ahead of regulation.</w:t>
            </w:r>
          </w:p>
        </w:tc>
      </w:tr>
      <w:tr>
        <w:tc>
          <w:tcPr>
            <w:tcW w:type="dxa" w:w="330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Hackathon judges / evaluators</w:t>
            </w:r>
          </w:p>
        </w:tc>
        <w:tc>
          <w:tcPr>
            <w:tcW w:type="dxa" w:w="605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A working, demonstrable multi-agent AI system solving a real, current problem.</w:t>
            </w:r>
          </w:p>
        </w:tc>
      </w:tr>
    </w:tbl>
    <w:p>
      <w:pPr>
        <w:pStyle w:val="Heading1"/>
        <w:pBdr>
          <w:bottom w:val="single" w:color="9A7B1F" w:sz="6" w:space="4"/>
        </w:pBdr>
        <w:spacing w:after="160" w:before="360"/>
      </w:pPr>
      <w:r>
        <w:rPr>
          <w:rFonts w:ascii="Cambria" w:cs="Cambria" w:eastAsia="Cambria" w:hAnsi="Cambria"/>
          <w:b/>
          <w:bCs/>
          <w:color w:val="1E2761"/>
          <w:sz w:val="30"/>
          <w:szCs w:val="30"/>
        </w:rPr>
        <w:t xml:space="preserve">5. Scope</w:t>
      </w:r>
    </w:p>
    <w:p>
      <w:pPr>
        <w:pStyle w:val="Heading2"/>
        <w:spacing w:after="120" w:before="260"/>
      </w:pPr>
      <w:r>
        <w:rPr>
          <w:rFonts w:ascii="Cambria" w:cs="Cambria" w:eastAsia="Cambria" w:hAnsi="Cambria"/>
          <w:b/>
          <w:bCs/>
          <w:color w:val="1E2761"/>
          <w:sz w:val="24"/>
          <w:szCs w:val="24"/>
        </w:rPr>
        <w:t xml:space="preserve">5.1 MVP Scope (24-Hour Build)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In Scope</w:t>
            </w:r>
          </w:p>
        </w:tc>
        <w:tc>
          <w:tcPr>
            <w:tcW w:type="dxa" w:w="4675"/>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Out of Scope</w:t>
            </w:r>
          </w:p>
        </w:tc>
      </w:tr>
      <w:tr>
        <w:tc>
          <w:tcPr>
            <w:tcW w:type="dxa" w:w="4675"/>
            <w:tcMar>
              <w:top w:type="dxa" w:w="100"/>
              <w:left w:type="dxa" w:w="120"/>
              <w:bottom w:type="dxa" w:w="100"/>
              <w:right w:type="dxa" w:w="120"/>
            </w:tcMar>
          </w:tcPr>
          <w:p>
            <w:r>
              <w:rPr>
                <w:rFonts w:ascii="Calibri" w:cs="Calibri" w:eastAsia="Calibri" w:hAnsi="Calibri"/>
                <w:b w:val="false"/>
                <w:bCs w:val="false"/>
                <w:color w:val="2B2B2B"/>
                <w:sz w:val="19"/>
                <w:szCs w:val="19"/>
              </w:rPr>
              <w:t xml:space="preserve">Scan / Refactor / Test pipeline for Python files</w:t>
            </w:r>
          </w:p>
        </w:tc>
        <w:tc>
          <w:tcPr>
            <w:tcW w:type="dxa" w:w="4675"/>
            <w:tcMar>
              <w:top w:type="dxa" w:w="100"/>
              <w:left w:type="dxa" w:w="120"/>
              <w:bottom w:type="dxa" w:w="100"/>
              <w:right w:type="dxa" w:w="120"/>
            </w:tcMar>
          </w:tcPr>
          <w:p>
            <w:r>
              <w:rPr>
                <w:rFonts w:ascii="Calibri" w:cs="Calibri" w:eastAsia="Calibri" w:hAnsi="Calibri"/>
                <w:b w:val="false"/>
                <w:bCs w:val="false"/>
                <w:color w:val="2B2B2B"/>
                <w:sz w:val="19"/>
                <w:szCs w:val="19"/>
              </w:rPr>
              <w:t xml:space="preserve">Support for Java, Go, JS, or other languages</w:t>
            </w:r>
          </w:p>
        </w:tc>
      </w:tr>
      <w:tr>
        <w:tc>
          <w:tcPr>
            <w:tcW w:type="dxa" w:w="4675"/>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ML-KEM-512 refactor target via liboqs-python</w:t>
            </w:r>
          </w:p>
        </w:tc>
        <w:tc>
          <w:tcPr>
            <w:tcW w:type="dxa" w:w="4675"/>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Support for additional PQC algorithms (e.g. ML-DSA, Falcon)</w:t>
            </w:r>
          </w:p>
        </w:tc>
      </w:tr>
      <w:tr>
        <w:tc>
          <w:tcPr>
            <w:tcW w:type="dxa" w:w="4675"/>
            <w:tcMar>
              <w:top w:type="dxa" w:w="100"/>
              <w:left w:type="dxa" w:w="120"/>
              <w:bottom w:type="dxa" w:w="100"/>
              <w:right w:type="dxa" w:w="120"/>
            </w:tcMar>
          </w:tcPr>
          <w:p>
            <w:r>
              <w:rPr>
                <w:rFonts w:ascii="Calibri" w:cs="Calibri" w:eastAsia="Calibri" w:hAnsi="Calibri"/>
                <w:b w:val="false"/>
                <w:bCs w:val="false"/>
                <w:color w:val="2B2B2B"/>
                <w:sz w:val="19"/>
                <w:szCs w:val="19"/>
              </w:rPr>
              <w:t xml:space="preserve">Sandbox execution with auto-retry (max 2 attempts)</w:t>
            </w:r>
          </w:p>
        </w:tc>
        <w:tc>
          <w:tcPr>
            <w:tcW w:type="dxa" w:w="4675"/>
            <w:tcMar>
              <w:top w:type="dxa" w:w="100"/>
              <w:left w:type="dxa" w:w="120"/>
              <w:bottom w:type="dxa" w:w="100"/>
              <w:right w:type="dxa" w:w="120"/>
            </w:tcMar>
          </w:tcPr>
          <w:p>
            <w:r>
              <w:rPr>
                <w:rFonts w:ascii="Calibri" w:cs="Calibri" w:eastAsia="Calibri" w:hAnsi="Calibri"/>
                <w:b w:val="false"/>
                <w:bCs w:val="false"/>
                <w:color w:val="2B2B2B"/>
                <w:sz w:val="19"/>
                <w:szCs w:val="19"/>
              </w:rPr>
              <w:t xml:space="preserve">Production sandboxing / container isolation hardening</w:t>
            </w:r>
          </w:p>
        </w:tc>
      </w:tr>
      <w:tr>
        <w:tc>
          <w:tcPr>
            <w:tcW w:type="dxa" w:w="4675"/>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Live streaming agent terminal (React dashboard)</w:t>
            </w:r>
          </w:p>
        </w:tc>
        <w:tc>
          <w:tcPr>
            <w:tcW w:type="dxa" w:w="4675"/>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User accounts, authentication, or multi-user support</w:t>
            </w:r>
          </w:p>
        </w:tc>
      </w:tr>
      <w:tr>
        <w:tc>
          <w:tcPr>
            <w:tcW w:type="dxa" w:w="4675"/>
            <w:tcMar>
              <w:top w:type="dxa" w:w="100"/>
              <w:left w:type="dxa" w:w="120"/>
              <w:bottom w:type="dxa" w:w="100"/>
              <w:right w:type="dxa" w:w="120"/>
            </w:tcMar>
          </w:tcPr>
          <w:p>
            <w:r>
              <w:rPr>
                <w:rFonts w:ascii="Calibri" w:cs="Calibri" w:eastAsia="Calibri" w:hAnsi="Calibri"/>
                <w:b w:val="false"/>
                <w:bCs w:val="false"/>
                <w:color w:val="2B2B2B"/>
                <w:sz w:val="19"/>
                <w:szCs w:val="19"/>
              </w:rPr>
              <w:t xml:space="preserve">Local / Docker Compose deployment</w:t>
            </w:r>
          </w:p>
        </w:tc>
        <w:tc>
          <w:tcPr>
            <w:tcW w:type="dxa" w:w="4675"/>
            <w:tcMar>
              <w:top w:type="dxa" w:w="100"/>
              <w:left w:type="dxa" w:w="120"/>
              <w:bottom w:type="dxa" w:w="100"/>
              <w:right w:type="dxa" w:w="120"/>
            </w:tcMar>
          </w:tcPr>
          <w:p>
            <w:r>
              <w:rPr>
                <w:rFonts w:ascii="Calibri" w:cs="Calibri" w:eastAsia="Calibri" w:hAnsi="Calibri"/>
                <w:b w:val="false"/>
                <w:bCs w:val="false"/>
                <w:color w:val="2B2B2B"/>
                <w:sz w:val="19"/>
                <w:szCs w:val="19"/>
              </w:rPr>
              <w:t xml:space="preserve">Cloud deployment, autoscaling, or SaaS billing</w:t>
            </w:r>
          </w:p>
        </w:tc>
      </w:tr>
    </w:tbl>
    <w:p>
      <w:pPr>
        <w:pStyle w:val="Heading2"/>
        <w:spacing w:after="120" w:before="260"/>
      </w:pPr>
      <w:r>
        <w:rPr>
          <w:rFonts w:ascii="Cambria" w:cs="Cambria" w:eastAsia="Cambria" w:hAnsi="Cambria"/>
          <w:b/>
          <w:bCs/>
          <w:color w:val="1E2761"/>
          <w:sz w:val="24"/>
          <w:szCs w:val="24"/>
        </w:rPr>
        <w:t xml:space="preserve">5.2 Future Scope</w:t>
      </w:r>
    </w:p>
    <w:p>
      <w:pPr>
        <w:spacing w:after="140" w:line="276"/>
      </w:pPr>
      <w:r>
        <w:rPr>
          <w:rFonts w:ascii="Calibri" w:cs="Calibri" w:eastAsia="Calibri" w:hAnsi="Calibri"/>
          <w:i w:val="false"/>
          <w:iCs w:val="false"/>
          <w:color w:val="2B2B2B"/>
          <w:sz w:val="21"/>
          <w:szCs w:val="21"/>
        </w:rPr>
        <w:t xml:space="preserve">See Section 10 (Future Roadmap) for the planned expansion into an enterprise compliance and audit platform.</w:t>
      </w:r>
    </w:p>
    <w:p>
      <w:pPr>
        <w:pStyle w:val="Heading1"/>
        <w:pBdr>
          <w:bottom w:val="single" w:color="9A7B1F" w:sz="6" w:space="4"/>
        </w:pBdr>
        <w:spacing w:after="160" w:before="360"/>
      </w:pPr>
      <w:r>
        <w:rPr>
          <w:rFonts w:ascii="Cambria" w:cs="Cambria" w:eastAsia="Cambria" w:hAnsi="Cambria"/>
          <w:b/>
          <w:bCs/>
          <w:color w:val="1E2761"/>
          <w:sz w:val="30"/>
          <w:szCs w:val="30"/>
        </w:rPr>
        <w:t xml:space="preserve">6. System Architecture</w:t>
      </w:r>
    </w:p>
    <w:p>
      <w:pPr>
        <w:spacing w:after="140" w:line="276"/>
      </w:pPr>
      <w:r>
        <w:rPr>
          <w:rFonts w:ascii="Calibri" w:cs="Calibri" w:eastAsia="Calibri" w:hAnsi="Calibri"/>
          <w:i w:val="false"/>
          <w:iCs w:val="false"/>
          <w:color w:val="2B2B2B"/>
          <w:sz w:val="21"/>
          <w:szCs w:val="21"/>
        </w:rPr>
        <w:t xml:space="preserve">PQC-Guard AI runs three agents sequentially, each handing its output to the next:</w:t>
      </w:r>
    </w:p>
    <w:p>
      <w:pPr>
        <w:pStyle w:val="ListParagraph"/>
        <w:numPr>
          <w:ilvl w:val="0"/>
          <w:numId w:val="2"/>
        </w:numPr>
        <w:spacing w:after="70"/>
      </w:pPr>
      <w:r>
        <w:rPr>
          <w:rFonts w:ascii="Calibri" w:cs="Calibri" w:eastAsia="Calibri" w:hAnsi="Calibri"/>
          <w:color w:val="2B2B2B"/>
          <w:sz w:val="21"/>
          <w:szCs w:val="21"/>
        </w:rPr>
        <w:t xml:space="preserve">Scanner Agent → Refactor Agent → Tester Agent → Verified Output</w:t>
      </w:r>
    </w:p>
    <w:p>
      <w:pPr>
        <w:spacing w:after="140" w:line="276"/>
      </w:pPr>
      <w:r>
        <w:rPr>
          <w:rFonts w:ascii="Calibri" w:cs="Calibri" w:eastAsia="Calibri" w:hAnsi="Calibri"/>
          <w:i w:val="false"/>
          <w:iCs w:val="false"/>
          <w:color w:val="2B2B2B"/>
          <w:sz w:val="21"/>
          <w:szCs w:val="21"/>
        </w:rPr>
        <w:t xml:space="preserve">If the Tester Agent’s sandbox run fails, the captured stack trace is fed back into the Refactor Agent for another attempt, up to a maximum of two retries, before the migration is flagged for manual review.</w:t>
      </w:r>
    </w:p>
    <w:p>
      <w:pPr>
        <w:pStyle w:val="Heading2"/>
        <w:spacing w:after="120" w:before="260"/>
      </w:pPr>
      <w:r>
        <w:rPr>
          <w:rFonts w:ascii="Cambria" w:cs="Cambria" w:eastAsia="Cambria" w:hAnsi="Cambria"/>
          <w:b/>
          <w:bCs/>
          <w:color w:val="1E2761"/>
          <w:sz w:val="24"/>
          <w:szCs w:val="24"/>
        </w:rPr>
        <w:t xml:space="preserve">6.1 Scanner Agent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6350"/>
        <w:gridCol w:w="1700"/>
      </w:tblGrid>
      <w:tr>
        <w:tc>
          <w:tcPr>
            <w:tcW w:type="dxa" w:w="130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ID</w:t>
            </w:r>
          </w:p>
        </w:tc>
        <w:tc>
          <w:tcPr>
            <w:tcW w:type="dxa" w:w="635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Requirement</w:t>
            </w:r>
          </w:p>
        </w:tc>
        <w:tc>
          <w:tcPr>
            <w:tcW w:type="dxa" w:w="170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Priority</w:t>
            </w:r>
          </w:p>
        </w:tc>
      </w:tr>
      <w:tr>
        <w:tc>
          <w:tcPr>
            <w:tcW w:type="dxa" w:w="1300"/>
            <w:tcMar>
              <w:top w:type="dxa" w:w="100"/>
              <w:left w:type="dxa" w:w="120"/>
              <w:bottom w:type="dxa" w:w="100"/>
              <w:right w:type="dxa" w:w="120"/>
            </w:tcMar>
          </w:tcPr>
          <w:p>
            <w:r>
              <w:rPr>
                <w:rFonts w:ascii="Calibri" w:cs="Calibri" w:eastAsia="Calibri" w:hAnsi="Calibri"/>
                <w:b w:val="false"/>
                <w:bCs w:val="false"/>
                <w:color w:val="2B2B2B"/>
                <w:sz w:val="19"/>
                <w:szCs w:val="19"/>
              </w:rPr>
              <w:t xml:space="preserve">SC-01</w:t>
            </w:r>
          </w:p>
        </w:tc>
        <w:tc>
          <w:tcPr>
            <w:tcW w:type="dxa" w:w="6350"/>
            <w:tcMar>
              <w:top w:type="dxa" w:w="100"/>
              <w:left w:type="dxa" w:w="120"/>
              <w:bottom w:type="dxa" w:w="100"/>
              <w:right w:type="dxa" w:w="120"/>
            </w:tcMar>
          </w:tcPr>
          <w:p>
            <w:r>
              <w:rPr>
                <w:rFonts w:ascii="Calibri" w:cs="Calibri" w:eastAsia="Calibri" w:hAnsi="Calibri"/>
                <w:b w:val="false"/>
                <w:bCs w:val="false"/>
                <w:color w:val="2B2B2B"/>
                <w:sz w:val="19"/>
                <w:szCs w:val="19"/>
              </w:rPr>
              <w:t xml:space="preserve">Accept raw Python source code as input.</w:t>
            </w:r>
          </w:p>
        </w:tc>
        <w:tc>
          <w:tcPr>
            <w:tcW w:type="dxa" w:w="1700"/>
            <w:tcMar>
              <w:top w:type="dxa" w:w="100"/>
              <w:left w:type="dxa" w:w="120"/>
              <w:bottom w:type="dxa" w:w="100"/>
              <w:right w:type="dxa" w:w="120"/>
            </w:tcMar>
          </w:tcPr>
          <w:p>
            <w:r>
              <w:rPr>
                <w:rFonts w:ascii="Calibri" w:cs="Calibri" w:eastAsia="Calibri" w:hAnsi="Calibri"/>
                <w:b w:val="false"/>
                <w:bCs w:val="false"/>
                <w:color w:val="2B2B2B"/>
                <w:sz w:val="19"/>
                <w:szCs w:val="19"/>
              </w:rPr>
              <w:t xml:space="preserve">Must</w:t>
            </w:r>
          </w:p>
        </w:tc>
      </w:tr>
      <w:tr>
        <w:tc>
          <w:tcPr>
            <w:tcW w:type="dxa" w:w="130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SC-02</w:t>
            </w:r>
          </w:p>
        </w:tc>
        <w:tc>
          <w:tcPr>
            <w:tcW w:type="dxa" w:w="635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Detect vulnerable imports (e.g. cryptography.hazmat.primitives.asymmetric.rsa, ec).</w:t>
            </w:r>
          </w:p>
        </w:tc>
        <w:tc>
          <w:tcPr>
            <w:tcW w:type="dxa" w:w="170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Must</w:t>
            </w:r>
          </w:p>
        </w:tc>
      </w:tr>
      <w:tr>
        <w:tc>
          <w:tcPr>
            <w:tcW w:type="dxa" w:w="1300"/>
            <w:tcMar>
              <w:top w:type="dxa" w:w="100"/>
              <w:left w:type="dxa" w:w="120"/>
              <w:bottom w:type="dxa" w:w="100"/>
              <w:right w:type="dxa" w:w="120"/>
            </w:tcMar>
          </w:tcPr>
          <w:p>
            <w:r>
              <w:rPr>
                <w:rFonts w:ascii="Calibri" w:cs="Calibri" w:eastAsia="Calibri" w:hAnsi="Calibri"/>
                <w:b w:val="false"/>
                <w:bCs w:val="false"/>
                <w:color w:val="2B2B2B"/>
                <w:sz w:val="19"/>
                <w:szCs w:val="19"/>
              </w:rPr>
              <w:t xml:space="preserve">SC-03</w:t>
            </w:r>
          </w:p>
        </w:tc>
        <w:tc>
          <w:tcPr>
            <w:tcW w:type="dxa" w:w="6350"/>
            <w:tcMar>
              <w:top w:type="dxa" w:w="100"/>
              <w:left w:type="dxa" w:w="120"/>
              <w:bottom w:type="dxa" w:w="100"/>
              <w:right w:type="dxa" w:w="120"/>
            </w:tcMar>
          </w:tcPr>
          <w:p>
            <w:r>
              <w:rPr>
                <w:rFonts w:ascii="Calibri" w:cs="Calibri" w:eastAsia="Calibri" w:hAnsi="Calibri"/>
                <w:b w:val="false"/>
                <w:bCs w:val="false"/>
                <w:color w:val="2B2B2B"/>
                <w:sz w:val="19"/>
                <w:szCs w:val="19"/>
              </w:rPr>
              <w:t xml:space="preserve">Return a structured JSON object listing vulnerable lines and a risk assessment.</w:t>
            </w:r>
          </w:p>
        </w:tc>
        <w:tc>
          <w:tcPr>
            <w:tcW w:type="dxa" w:w="1700"/>
            <w:tcMar>
              <w:top w:type="dxa" w:w="100"/>
              <w:left w:type="dxa" w:w="120"/>
              <w:bottom w:type="dxa" w:w="100"/>
              <w:right w:type="dxa" w:w="120"/>
            </w:tcMar>
          </w:tcPr>
          <w:p>
            <w:r>
              <w:rPr>
                <w:rFonts w:ascii="Calibri" w:cs="Calibri" w:eastAsia="Calibri" w:hAnsi="Calibri"/>
                <w:b w:val="false"/>
                <w:bCs w:val="false"/>
                <w:color w:val="2B2B2B"/>
                <w:sz w:val="19"/>
                <w:szCs w:val="19"/>
              </w:rPr>
              <w:t xml:space="preserve">Must</w:t>
            </w:r>
          </w:p>
        </w:tc>
      </w:tr>
      <w:tr>
        <w:tc>
          <w:tcPr>
            <w:tcW w:type="dxa" w:w="130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SC-04</w:t>
            </w:r>
          </w:p>
        </w:tc>
        <w:tc>
          <w:tcPr>
            <w:tcW w:type="dxa" w:w="635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Flag severity/confidence per finding.</w:t>
            </w:r>
          </w:p>
        </w:tc>
        <w:tc>
          <w:tcPr>
            <w:tcW w:type="dxa" w:w="170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Should</w:t>
            </w:r>
          </w:p>
        </w:tc>
      </w:tr>
    </w:tbl>
    <w:p>
      <w:pPr>
        <w:pStyle w:val="Heading2"/>
        <w:spacing w:after="120" w:before="260"/>
      </w:pPr>
      <w:r>
        <w:rPr>
          <w:rFonts w:ascii="Cambria" w:cs="Cambria" w:eastAsia="Cambria" w:hAnsi="Cambria"/>
          <w:b/>
          <w:bCs/>
          <w:color w:val="1E2761"/>
          <w:sz w:val="24"/>
          <w:szCs w:val="24"/>
        </w:rPr>
        <w:t xml:space="preserve">6.2 Refactor Agent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6350"/>
        <w:gridCol w:w="1700"/>
      </w:tblGrid>
      <w:tr>
        <w:tc>
          <w:tcPr>
            <w:tcW w:type="dxa" w:w="130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ID</w:t>
            </w:r>
          </w:p>
        </w:tc>
        <w:tc>
          <w:tcPr>
            <w:tcW w:type="dxa" w:w="635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Requirement</w:t>
            </w:r>
          </w:p>
        </w:tc>
        <w:tc>
          <w:tcPr>
            <w:tcW w:type="dxa" w:w="170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Priority</w:t>
            </w:r>
          </w:p>
        </w:tc>
      </w:tr>
      <w:tr>
        <w:tc>
          <w:tcPr>
            <w:tcW w:type="dxa" w:w="1300"/>
            <w:tcMar>
              <w:top w:type="dxa" w:w="100"/>
              <w:left w:type="dxa" w:w="120"/>
              <w:bottom w:type="dxa" w:w="100"/>
              <w:right w:type="dxa" w:w="120"/>
            </w:tcMar>
          </w:tcPr>
          <w:p>
            <w:r>
              <w:rPr>
                <w:rFonts w:ascii="Calibri" w:cs="Calibri" w:eastAsia="Calibri" w:hAnsi="Calibri"/>
                <w:b w:val="false"/>
                <w:bCs w:val="false"/>
                <w:color w:val="2B2B2B"/>
                <w:sz w:val="19"/>
                <w:szCs w:val="19"/>
              </w:rPr>
              <w:t xml:space="preserve">RF-01</w:t>
            </w:r>
          </w:p>
        </w:tc>
        <w:tc>
          <w:tcPr>
            <w:tcW w:type="dxa" w:w="6350"/>
            <w:tcMar>
              <w:top w:type="dxa" w:w="100"/>
              <w:left w:type="dxa" w:w="120"/>
              <w:bottom w:type="dxa" w:w="100"/>
              <w:right w:type="dxa" w:w="120"/>
            </w:tcMar>
          </w:tcPr>
          <w:p>
            <w:r>
              <w:rPr>
                <w:rFonts w:ascii="Calibri" w:cs="Calibri" w:eastAsia="Calibri" w:hAnsi="Calibri"/>
                <w:b w:val="false"/>
                <w:bCs w:val="false"/>
                <w:color w:val="2B2B2B"/>
                <w:sz w:val="19"/>
                <w:szCs w:val="19"/>
              </w:rPr>
              <w:t xml:space="preserve">Consume the Scanner Agent’s JSON output as input.</w:t>
            </w:r>
          </w:p>
        </w:tc>
        <w:tc>
          <w:tcPr>
            <w:tcW w:type="dxa" w:w="1700"/>
            <w:tcMar>
              <w:top w:type="dxa" w:w="100"/>
              <w:left w:type="dxa" w:w="120"/>
              <w:bottom w:type="dxa" w:w="100"/>
              <w:right w:type="dxa" w:w="120"/>
            </w:tcMar>
          </w:tcPr>
          <w:p>
            <w:r>
              <w:rPr>
                <w:rFonts w:ascii="Calibri" w:cs="Calibri" w:eastAsia="Calibri" w:hAnsi="Calibri"/>
                <w:b w:val="false"/>
                <w:bCs w:val="false"/>
                <w:color w:val="2B2B2B"/>
                <w:sz w:val="19"/>
                <w:szCs w:val="19"/>
              </w:rPr>
              <w:t xml:space="preserve">Must</w:t>
            </w:r>
          </w:p>
        </w:tc>
      </w:tr>
      <w:tr>
        <w:tc>
          <w:tcPr>
            <w:tcW w:type="dxa" w:w="130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RF-02</w:t>
            </w:r>
          </w:p>
        </w:tc>
        <w:tc>
          <w:tcPr>
            <w:tcW w:type="dxa" w:w="635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Call an LLM (Groq or OpenAI-compatible SDK) to rewrite vulnerable code.</w:t>
            </w:r>
          </w:p>
        </w:tc>
        <w:tc>
          <w:tcPr>
            <w:tcW w:type="dxa" w:w="170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Must</w:t>
            </w:r>
          </w:p>
        </w:tc>
      </w:tr>
      <w:tr>
        <w:tc>
          <w:tcPr>
            <w:tcW w:type="dxa" w:w="1300"/>
            <w:tcMar>
              <w:top w:type="dxa" w:w="100"/>
              <w:left w:type="dxa" w:w="120"/>
              <w:bottom w:type="dxa" w:w="100"/>
              <w:right w:type="dxa" w:w="120"/>
            </w:tcMar>
          </w:tcPr>
          <w:p>
            <w:r>
              <w:rPr>
                <w:rFonts w:ascii="Calibri" w:cs="Calibri" w:eastAsia="Calibri" w:hAnsi="Calibri"/>
                <w:b w:val="false"/>
                <w:bCs w:val="false"/>
                <w:color w:val="2B2B2B"/>
                <w:sz w:val="19"/>
                <w:szCs w:val="19"/>
              </w:rPr>
              <w:t xml:space="preserve">RF-03</w:t>
            </w:r>
          </w:p>
        </w:tc>
        <w:tc>
          <w:tcPr>
            <w:tcW w:type="dxa" w:w="6350"/>
            <w:tcMar>
              <w:top w:type="dxa" w:w="100"/>
              <w:left w:type="dxa" w:w="120"/>
              <w:bottom w:type="dxa" w:w="100"/>
              <w:right w:type="dxa" w:w="120"/>
            </w:tcMar>
          </w:tcPr>
          <w:p>
            <w:r>
              <w:rPr>
                <w:rFonts w:ascii="Calibri" w:cs="Calibri" w:eastAsia="Calibri" w:hAnsi="Calibri"/>
                <w:b w:val="false"/>
                <w:bCs w:val="false"/>
                <w:color w:val="2B2B2B"/>
                <w:sz w:val="19"/>
                <w:szCs w:val="19"/>
              </w:rPr>
              <w:t xml:space="preserve">Target the ML-KEM-512 algorithm via liboqs-python exclusively.</w:t>
            </w:r>
          </w:p>
        </w:tc>
        <w:tc>
          <w:tcPr>
            <w:tcW w:type="dxa" w:w="1700"/>
            <w:tcMar>
              <w:top w:type="dxa" w:w="100"/>
              <w:left w:type="dxa" w:w="120"/>
              <w:bottom w:type="dxa" w:w="100"/>
              <w:right w:type="dxa" w:w="120"/>
            </w:tcMar>
          </w:tcPr>
          <w:p>
            <w:r>
              <w:rPr>
                <w:rFonts w:ascii="Calibri" w:cs="Calibri" w:eastAsia="Calibri" w:hAnsi="Calibri"/>
                <w:b w:val="false"/>
                <w:bCs w:val="false"/>
                <w:color w:val="2B2B2B"/>
                <w:sz w:val="19"/>
                <w:szCs w:val="19"/>
              </w:rPr>
              <w:t xml:space="preserve">Must</w:t>
            </w:r>
          </w:p>
        </w:tc>
      </w:tr>
      <w:tr>
        <w:tc>
          <w:tcPr>
            <w:tcW w:type="dxa" w:w="130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RF-04</w:t>
            </w:r>
          </w:p>
        </w:tc>
        <w:tc>
          <w:tcPr>
            <w:tcW w:type="dxa" w:w="635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System prompt must include the canonical implementation pattern to prevent hallucinated APIs.</w:t>
            </w:r>
          </w:p>
        </w:tc>
        <w:tc>
          <w:tcPr>
            <w:tcW w:type="dxa" w:w="170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Must</w:t>
            </w:r>
          </w:p>
        </w:tc>
      </w:tr>
      <w:tr>
        <w:tc>
          <w:tcPr>
            <w:tcW w:type="dxa" w:w="1300"/>
            <w:tcMar>
              <w:top w:type="dxa" w:w="100"/>
              <w:left w:type="dxa" w:w="120"/>
              <w:bottom w:type="dxa" w:w="100"/>
              <w:right w:type="dxa" w:w="120"/>
            </w:tcMar>
          </w:tcPr>
          <w:p>
            <w:r>
              <w:rPr>
                <w:rFonts w:ascii="Calibri" w:cs="Calibri" w:eastAsia="Calibri" w:hAnsi="Calibri"/>
                <w:b w:val="false"/>
                <w:bCs w:val="false"/>
                <w:color w:val="2B2B2B"/>
                <w:sz w:val="19"/>
                <w:szCs w:val="19"/>
              </w:rPr>
              <w:t xml:space="preserve">RF-05</w:t>
            </w:r>
          </w:p>
        </w:tc>
        <w:tc>
          <w:tcPr>
            <w:tcW w:type="dxa" w:w="6350"/>
            <w:tcMar>
              <w:top w:type="dxa" w:w="100"/>
              <w:left w:type="dxa" w:w="120"/>
              <w:bottom w:type="dxa" w:w="100"/>
              <w:right w:type="dxa" w:w="120"/>
            </w:tcMar>
          </w:tcPr>
          <w:p>
            <w:r>
              <w:rPr>
                <w:rFonts w:ascii="Calibri" w:cs="Calibri" w:eastAsia="Calibri" w:hAnsi="Calibri"/>
                <w:b w:val="false"/>
                <w:bCs w:val="false"/>
                <w:color w:val="2B2B2B"/>
                <w:sz w:val="19"/>
                <w:szCs w:val="19"/>
              </w:rPr>
              <w:t xml:space="preserve">Accept a failing stack trace as additional context on retry.</w:t>
            </w:r>
          </w:p>
        </w:tc>
        <w:tc>
          <w:tcPr>
            <w:tcW w:type="dxa" w:w="1700"/>
            <w:tcMar>
              <w:top w:type="dxa" w:w="100"/>
              <w:left w:type="dxa" w:w="120"/>
              <w:bottom w:type="dxa" w:w="100"/>
              <w:right w:type="dxa" w:w="120"/>
            </w:tcMar>
          </w:tcPr>
          <w:p>
            <w:r>
              <w:rPr>
                <w:rFonts w:ascii="Calibri" w:cs="Calibri" w:eastAsia="Calibri" w:hAnsi="Calibri"/>
                <w:b w:val="false"/>
                <w:bCs w:val="false"/>
                <w:color w:val="2B2B2B"/>
                <w:sz w:val="19"/>
                <w:szCs w:val="19"/>
              </w:rPr>
              <w:t xml:space="preserve">Must</w:t>
            </w:r>
          </w:p>
        </w:tc>
      </w:tr>
    </w:tbl>
    <w:p>
      <w:pPr>
        <w:spacing w:after="200" w:before="40"/>
      </w:pPr>
      <w:r>
        <w:rPr>
          <w:rFonts w:ascii="Calibri" w:cs="Calibri" w:eastAsia="Calibri" w:hAnsi="Calibri"/>
          <w:i/>
          <w:iCs/>
          <w:color w:val="5B5B5B"/>
          <w:sz w:val="17"/>
          <w:szCs w:val="17"/>
        </w:rPr>
        <w:t xml:space="preserve">Reference implementation pattern supplied to the LLM to constrain output: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1142E" w:val="clear"/>
            <w:tcMar>
              <w:top w:type="dxa" w:w="160"/>
              <w:left w:type="dxa" w:w="200"/>
              <w:bottom w:type="dxa" w:w="160"/>
              <w:right w:type="dxa" w:w="200"/>
            </w:tcMar>
          </w:tcPr>
          <w:p>
            <w:pPr>
              <w:spacing w:after="20"/>
            </w:pPr>
            <w:r>
              <w:rPr>
                <w:rFonts w:ascii="Courier New" w:cs="Courier New" w:eastAsia="Courier New" w:hAnsi="Courier New"/>
                <w:color w:val="E4C874"/>
                <w:sz w:val="18"/>
                <w:szCs w:val="18"/>
              </w:rPr>
              <w:t xml:space="preserve">import oqs</w:t>
            </w:r>
          </w:p>
          <w:p>
            <w:pPr>
              <w:spacing w:after="20"/>
            </w:pPr>
            <w:r>
              <w:rPr>
                <w:rFonts w:ascii="Courier New" w:cs="Courier New" w:eastAsia="Courier New" w:hAnsi="Courier New"/>
                <w:color w:val="E4C874"/>
                <w:sz w:val="18"/>
                <w:szCs w:val="18"/>
              </w:rPr>
              <w:t xml:space="preserve">def generate_pq_keys():</w:t>
            </w:r>
          </w:p>
          <w:p>
            <w:pPr>
              <w:spacing w:after="20"/>
            </w:pPr>
            <w:r>
              <w:rPr>
                <w:rFonts w:ascii="Courier New" w:cs="Courier New" w:eastAsia="Courier New" w:hAnsi="Courier New"/>
                <w:color w:val="E4C874"/>
                <w:sz w:val="18"/>
                <w:szCs w:val="18"/>
              </w:rPr>
              <w:t xml:space="preserve">    with oqs.KeyEncapsulation('ML-KEM-512') as kem:</w:t>
            </w:r>
          </w:p>
          <w:p>
            <w:pPr>
              <w:spacing w:after="20"/>
            </w:pPr>
            <w:r>
              <w:rPr>
                <w:rFonts w:ascii="Courier New" w:cs="Courier New" w:eastAsia="Courier New" w:hAnsi="Courier New"/>
                <w:color w:val="E4C874"/>
                <w:sz w:val="18"/>
                <w:szCs w:val="18"/>
              </w:rPr>
              <w:t xml:space="preserve">        public_key = kem.generate_keypair()</w:t>
            </w:r>
          </w:p>
          <w:p>
            <w:pPr>
              <w:spacing w:after="20"/>
            </w:pPr>
            <w:r>
              <w:rPr>
                <w:rFonts w:ascii="Courier New" w:cs="Courier New" w:eastAsia="Courier New" w:hAnsi="Courier New"/>
                <w:color w:val="E4C874"/>
                <w:sz w:val="18"/>
                <w:szCs w:val="18"/>
              </w:rPr>
              <w:t xml:space="preserve">        private_key = kem.export_secret_key()</w:t>
            </w:r>
          </w:p>
          <w:p>
            <w:pPr>
              <w:spacing w:after="20"/>
            </w:pPr>
            <w:r>
              <w:rPr>
                <w:rFonts w:ascii="Courier New" w:cs="Courier New" w:eastAsia="Courier New" w:hAnsi="Courier New"/>
                <w:color w:val="E4C874"/>
                <w:sz w:val="18"/>
                <w:szCs w:val="18"/>
              </w:rPr>
              <w:t xml:space="preserve">        ciphertext, shared_secret_sender = kem.encap_secret(public_key)</w:t>
            </w:r>
          </w:p>
          <w:p>
            <w:pPr>
              <w:spacing w:after="20"/>
            </w:pPr>
            <w:r>
              <w:rPr>
                <w:rFonts w:ascii="Courier New" w:cs="Courier New" w:eastAsia="Courier New" w:hAnsi="Courier New"/>
                <w:color w:val="E4C874"/>
                <w:sz w:val="18"/>
                <w:szCs w:val="18"/>
              </w:rPr>
              <w:t xml:space="preserve">    return public_key, private_key</w:t>
            </w:r>
          </w:p>
        </w:tc>
      </w:tr>
    </w:tbl>
    <w:p>
      <w:pPr>
        <w:pStyle w:val="Heading2"/>
        <w:spacing w:after="120" w:before="260"/>
      </w:pPr>
      <w:r>
        <w:rPr>
          <w:rFonts w:ascii="Cambria" w:cs="Cambria" w:eastAsia="Cambria" w:hAnsi="Cambria"/>
          <w:b/>
          <w:bCs/>
          <w:color w:val="1E2761"/>
          <w:sz w:val="24"/>
          <w:szCs w:val="24"/>
        </w:rPr>
        <w:t xml:space="preserve">6.3 Tester Agent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6350"/>
        <w:gridCol w:w="1700"/>
      </w:tblGrid>
      <w:tr>
        <w:tc>
          <w:tcPr>
            <w:tcW w:type="dxa" w:w="130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ID</w:t>
            </w:r>
          </w:p>
        </w:tc>
        <w:tc>
          <w:tcPr>
            <w:tcW w:type="dxa" w:w="635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Requirement</w:t>
            </w:r>
          </w:p>
        </w:tc>
        <w:tc>
          <w:tcPr>
            <w:tcW w:type="dxa" w:w="170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Priority</w:t>
            </w:r>
          </w:p>
        </w:tc>
      </w:tr>
      <w:tr>
        <w:tc>
          <w:tcPr>
            <w:tcW w:type="dxa" w:w="1300"/>
            <w:tcMar>
              <w:top w:type="dxa" w:w="100"/>
              <w:left w:type="dxa" w:w="120"/>
              <w:bottom w:type="dxa" w:w="100"/>
              <w:right w:type="dxa" w:w="120"/>
            </w:tcMar>
          </w:tcPr>
          <w:p>
            <w:r>
              <w:rPr>
                <w:rFonts w:ascii="Calibri" w:cs="Calibri" w:eastAsia="Calibri" w:hAnsi="Calibri"/>
                <w:b w:val="false"/>
                <w:bCs w:val="false"/>
                <w:color w:val="2B2B2B"/>
                <w:sz w:val="19"/>
                <w:szCs w:val="19"/>
              </w:rPr>
              <w:t xml:space="preserve">TS-01</w:t>
            </w:r>
          </w:p>
        </w:tc>
        <w:tc>
          <w:tcPr>
            <w:tcW w:type="dxa" w:w="6350"/>
            <w:tcMar>
              <w:top w:type="dxa" w:w="100"/>
              <w:left w:type="dxa" w:w="120"/>
              <w:bottom w:type="dxa" w:w="100"/>
              <w:right w:type="dxa" w:w="120"/>
            </w:tcMar>
          </w:tcPr>
          <w:p>
            <w:r>
              <w:rPr>
                <w:rFonts w:ascii="Calibri" w:cs="Calibri" w:eastAsia="Calibri" w:hAnsi="Calibri"/>
                <w:b w:val="false"/>
                <w:bCs w:val="false"/>
                <w:color w:val="2B2B2B"/>
                <w:sz w:val="19"/>
                <w:szCs w:val="19"/>
              </w:rPr>
              <w:t xml:space="preserve">Execute the refactored code in an isolated subprocess.</w:t>
            </w:r>
          </w:p>
        </w:tc>
        <w:tc>
          <w:tcPr>
            <w:tcW w:type="dxa" w:w="1700"/>
            <w:tcMar>
              <w:top w:type="dxa" w:w="100"/>
              <w:left w:type="dxa" w:w="120"/>
              <w:bottom w:type="dxa" w:w="100"/>
              <w:right w:type="dxa" w:w="120"/>
            </w:tcMar>
          </w:tcPr>
          <w:p>
            <w:r>
              <w:rPr>
                <w:rFonts w:ascii="Calibri" w:cs="Calibri" w:eastAsia="Calibri" w:hAnsi="Calibri"/>
                <w:b w:val="false"/>
                <w:bCs w:val="false"/>
                <w:color w:val="2B2B2B"/>
                <w:sz w:val="19"/>
                <w:szCs w:val="19"/>
              </w:rPr>
              <w:t xml:space="preserve">Must</w:t>
            </w:r>
          </w:p>
        </w:tc>
      </w:tr>
      <w:tr>
        <w:tc>
          <w:tcPr>
            <w:tcW w:type="dxa" w:w="130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TS-02</w:t>
            </w:r>
          </w:p>
        </w:tc>
        <w:tc>
          <w:tcPr>
            <w:tcW w:type="dxa" w:w="635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Mark the migration "Verified" on clean execution.</w:t>
            </w:r>
          </w:p>
        </w:tc>
        <w:tc>
          <w:tcPr>
            <w:tcW w:type="dxa" w:w="170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Must</w:t>
            </w:r>
          </w:p>
        </w:tc>
      </w:tr>
      <w:tr>
        <w:tc>
          <w:tcPr>
            <w:tcW w:type="dxa" w:w="1300"/>
            <w:tcMar>
              <w:top w:type="dxa" w:w="100"/>
              <w:left w:type="dxa" w:w="120"/>
              <w:bottom w:type="dxa" w:w="100"/>
              <w:right w:type="dxa" w:w="120"/>
            </w:tcMar>
          </w:tcPr>
          <w:p>
            <w:r>
              <w:rPr>
                <w:rFonts w:ascii="Calibri" w:cs="Calibri" w:eastAsia="Calibri" w:hAnsi="Calibri"/>
                <w:b w:val="false"/>
                <w:bCs w:val="false"/>
                <w:color w:val="2B2B2B"/>
                <w:sz w:val="19"/>
                <w:szCs w:val="19"/>
              </w:rPr>
              <w:t xml:space="preserve">TS-03</w:t>
            </w:r>
          </w:p>
        </w:tc>
        <w:tc>
          <w:tcPr>
            <w:tcW w:type="dxa" w:w="6350"/>
            <w:tcMar>
              <w:top w:type="dxa" w:w="100"/>
              <w:left w:type="dxa" w:w="120"/>
              <w:bottom w:type="dxa" w:w="100"/>
              <w:right w:type="dxa" w:w="120"/>
            </w:tcMar>
          </w:tcPr>
          <w:p>
            <w:r>
              <w:rPr>
                <w:rFonts w:ascii="Calibri" w:cs="Calibri" w:eastAsia="Calibri" w:hAnsi="Calibri"/>
                <w:b w:val="false"/>
                <w:bCs w:val="false"/>
                <w:color w:val="2B2B2B"/>
                <w:sz w:val="19"/>
                <w:szCs w:val="19"/>
              </w:rPr>
              <w:t xml:space="preserve">Capture the full stack trace on failure and return it to the Refactor Agent.</w:t>
            </w:r>
          </w:p>
        </w:tc>
        <w:tc>
          <w:tcPr>
            <w:tcW w:type="dxa" w:w="1700"/>
            <w:tcMar>
              <w:top w:type="dxa" w:w="100"/>
              <w:left w:type="dxa" w:w="120"/>
              <w:bottom w:type="dxa" w:w="100"/>
              <w:right w:type="dxa" w:w="120"/>
            </w:tcMar>
          </w:tcPr>
          <w:p>
            <w:r>
              <w:rPr>
                <w:rFonts w:ascii="Calibri" w:cs="Calibri" w:eastAsia="Calibri" w:hAnsi="Calibri"/>
                <w:b w:val="false"/>
                <w:bCs w:val="false"/>
                <w:color w:val="2B2B2B"/>
                <w:sz w:val="19"/>
                <w:szCs w:val="19"/>
              </w:rPr>
              <w:t xml:space="preserve">Must</w:t>
            </w:r>
          </w:p>
        </w:tc>
      </w:tr>
      <w:tr>
        <w:tc>
          <w:tcPr>
            <w:tcW w:type="dxa" w:w="130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TS-04</w:t>
            </w:r>
          </w:p>
        </w:tc>
        <w:tc>
          <w:tcPr>
            <w:tcW w:type="dxa" w:w="635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Cap automatic retries at 2 attempts before flagging for manual review.</w:t>
            </w:r>
          </w:p>
        </w:tc>
        <w:tc>
          <w:tcPr>
            <w:tcW w:type="dxa" w:w="170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Must</w:t>
            </w:r>
          </w:p>
        </w:tc>
      </w:tr>
    </w:tbl>
    <w:p>
      <w:pPr>
        <w:pStyle w:val="Heading2"/>
        <w:spacing w:after="120" w:before="260"/>
      </w:pPr>
      <w:r>
        <w:rPr>
          <w:rFonts w:ascii="Cambria" w:cs="Cambria" w:eastAsia="Cambria" w:hAnsi="Cambria"/>
          <w:b/>
          <w:bCs/>
          <w:color w:val="1E2761"/>
          <w:sz w:val="24"/>
          <w:szCs w:val="24"/>
        </w:rPr>
        <w:t xml:space="preserve">6.4 Frontend Dashboard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6350"/>
        <w:gridCol w:w="1700"/>
      </w:tblGrid>
      <w:tr>
        <w:tc>
          <w:tcPr>
            <w:tcW w:type="dxa" w:w="130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ID</w:t>
            </w:r>
          </w:p>
        </w:tc>
        <w:tc>
          <w:tcPr>
            <w:tcW w:type="dxa" w:w="635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Requirement</w:t>
            </w:r>
          </w:p>
        </w:tc>
        <w:tc>
          <w:tcPr>
            <w:tcW w:type="dxa" w:w="170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Priority</w:t>
            </w:r>
          </w:p>
        </w:tc>
      </w:tr>
      <w:tr>
        <w:tc>
          <w:tcPr>
            <w:tcW w:type="dxa" w:w="1300"/>
            <w:tcMar>
              <w:top w:type="dxa" w:w="100"/>
              <w:left w:type="dxa" w:w="120"/>
              <w:bottom w:type="dxa" w:w="100"/>
              <w:right w:type="dxa" w:w="120"/>
            </w:tcMar>
          </w:tcPr>
          <w:p>
            <w:r>
              <w:rPr>
                <w:rFonts w:ascii="Calibri" w:cs="Calibri" w:eastAsia="Calibri" w:hAnsi="Calibri"/>
                <w:b w:val="false"/>
                <w:bCs w:val="false"/>
                <w:color w:val="2B2B2B"/>
                <w:sz w:val="19"/>
                <w:szCs w:val="19"/>
              </w:rPr>
              <w:t xml:space="preserve">UI-01</w:t>
            </w:r>
          </w:p>
        </w:tc>
        <w:tc>
          <w:tcPr>
            <w:tcW w:type="dxa" w:w="6350"/>
            <w:tcMar>
              <w:top w:type="dxa" w:w="100"/>
              <w:left w:type="dxa" w:w="120"/>
              <w:bottom w:type="dxa" w:w="100"/>
              <w:right w:type="dxa" w:w="120"/>
            </w:tcMar>
          </w:tcPr>
          <w:p>
            <w:r>
              <w:rPr>
                <w:rFonts w:ascii="Calibri" w:cs="Calibri" w:eastAsia="Calibri" w:hAnsi="Calibri"/>
                <w:b w:val="false"/>
                <w:bCs w:val="false"/>
                <w:color w:val="2B2B2B"/>
                <w:sz w:val="19"/>
                <w:szCs w:val="19"/>
              </w:rPr>
              <w:t xml:space="preserve">Split-screen layout: file upload &amp; code diff on the left, live agent terminal on the right.</w:t>
            </w:r>
          </w:p>
        </w:tc>
        <w:tc>
          <w:tcPr>
            <w:tcW w:type="dxa" w:w="1700"/>
            <w:tcMar>
              <w:top w:type="dxa" w:w="100"/>
              <w:left w:type="dxa" w:w="120"/>
              <w:bottom w:type="dxa" w:w="100"/>
              <w:right w:type="dxa" w:w="120"/>
            </w:tcMar>
          </w:tcPr>
          <w:p>
            <w:r>
              <w:rPr>
                <w:rFonts w:ascii="Calibri" w:cs="Calibri" w:eastAsia="Calibri" w:hAnsi="Calibri"/>
                <w:b w:val="false"/>
                <w:bCs w:val="false"/>
                <w:color w:val="2B2B2B"/>
                <w:sz w:val="19"/>
                <w:szCs w:val="19"/>
              </w:rPr>
              <w:t xml:space="preserve">Must</w:t>
            </w:r>
          </w:p>
        </w:tc>
      </w:tr>
      <w:tr>
        <w:tc>
          <w:tcPr>
            <w:tcW w:type="dxa" w:w="130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UI-02</w:t>
            </w:r>
          </w:p>
        </w:tc>
        <w:tc>
          <w:tcPr>
            <w:tcW w:type="dxa" w:w="635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Stream each agent’s logs and reasoning to the terminal panel in real time.</w:t>
            </w:r>
          </w:p>
        </w:tc>
        <w:tc>
          <w:tcPr>
            <w:tcW w:type="dxa" w:w="170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Must</w:t>
            </w:r>
          </w:p>
        </w:tc>
      </w:tr>
      <w:tr>
        <w:tc>
          <w:tcPr>
            <w:tcW w:type="dxa" w:w="1300"/>
            <w:tcMar>
              <w:top w:type="dxa" w:w="100"/>
              <w:left w:type="dxa" w:w="120"/>
              <w:bottom w:type="dxa" w:w="100"/>
              <w:right w:type="dxa" w:w="120"/>
            </w:tcMar>
          </w:tcPr>
          <w:p>
            <w:r>
              <w:rPr>
                <w:rFonts w:ascii="Calibri" w:cs="Calibri" w:eastAsia="Calibri" w:hAnsi="Calibri"/>
                <w:b w:val="false"/>
                <w:bCs w:val="false"/>
                <w:color w:val="2B2B2B"/>
                <w:sz w:val="19"/>
                <w:szCs w:val="19"/>
              </w:rPr>
              <w:t xml:space="preserve">UI-03</w:t>
            </w:r>
          </w:p>
        </w:tc>
        <w:tc>
          <w:tcPr>
            <w:tcW w:type="dxa" w:w="6350"/>
            <w:tcMar>
              <w:top w:type="dxa" w:w="100"/>
              <w:left w:type="dxa" w:w="120"/>
              <w:bottom w:type="dxa" w:w="100"/>
              <w:right w:type="dxa" w:w="120"/>
            </w:tcMar>
          </w:tcPr>
          <w:p>
            <w:r>
              <w:rPr>
                <w:rFonts w:ascii="Calibri" w:cs="Calibri" w:eastAsia="Calibri" w:hAnsi="Calibri"/>
                <w:b w:val="false"/>
                <w:bCs w:val="false"/>
                <w:color w:val="2B2B2B"/>
                <w:sz w:val="19"/>
                <w:szCs w:val="19"/>
              </w:rPr>
              <w:t xml:space="preserve">Display before/after code for every refactored file.</w:t>
            </w:r>
          </w:p>
        </w:tc>
        <w:tc>
          <w:tcPr>
            <w:tcW w:type="dxa" w:w="1700"/>
            <w:tcMar>
              <w:top w:type="dxa" w:w="100"/>
              <w:left w:type="dxa" w:w="120"/>
              <w:bottom w:type="dxa" w:w="100"/>
              <w:right w:type="dxa" w:w="120"/>
            </w:tcMar>
          </w:tcPr>
          <w:p>
            <w:r>
              <w:rPr>
                <w:rFonts w:ascii="Calibri" w:cs="Calibri" w:eastAsia="Calibri" w:hAnsi="Calibri"/>
                <w:b w:val="false"/>
                <w:bCs w:val="false"/>
                <w:color w:val="2B2B2B"/>
                <w:sz w:val="19"/>
                <w:szCs w:val="19"/>
              </w:rPr>
              <w:t xml:space="preserve">Must</w:t>
            </w:r>
          </w:p>
        </w:tc>
      </w:tr>
      <w:tr>
        <w:tc>
          <w:tcPr>
            <w:tcW w:type="dxa" w:w="130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UI-04</w:t>
            </w:r>
          </w:p>
        </w:tc>
        <w:tc>
          <w:tcPr>
            <w:tcW w:type="dxa" w:w="635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Dark-mode, glassmorphic panels with a cream-and-gold accent palette.</w:t>
            </w:r>
          </w:p>
        </w:tc>
        <w:tc>
          <w:tcPr>
            <w:tcW w:type="dxa" w:w="170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Should</w:t>
            </w:r>
          </w:p>
        </w:tc>
      </w:tr>
      <w:tr>
        <w:tc>
          <w:tcPr>
            <w:tcW w:type="dxa" w:w="1300"/>
            <w:tcMar>
              <w:top w:type="dxa" w:w="100"/>
              <w:left w:type="dxa" w:w="120"/>
              <w:bottom w:type="dxa" w:w="100"/>
              <w:right w:type="dxa" w:w="120"/>
            </w:tcMar>
          </w:tcPr>
          <w:p>
            <w:r>
              <w:rPr>
                <w:rFonts w:ascii="Calibri" w:cs="Calibri" w:eastAsia="Calibri" w:hAnsi="Calibri"/>
                <w:b w:val="false"/>
                <w:bCs w:val="false"/>
                <w:color w:val="2B2B2B"/>
                <w:sz w:val="19"/>
                <w:szCs w:val="19"/>
              </w:rPr>
              <w:t xml:space="preserve">UI-05</w:t>
            </w:r>
          </w:p>
        </w:tc>
        <w:tc>
          <w:tcPr>
            <w:tcW w:type="dxa" w:w="6350"/>
            <w:tcMar>
              <w:top w:type="dxa" w:w="100"/>
              <w:left w:type="dxa" w:w="120"/>
              <w:bottom w:type="dxa" w:w="100"/>
              <w:right w:type="dxa" w:w="120"/>
            </w:tcMar>
          </w:tcPr>
          <w:p>
            <w:r>
              <w:rPr>
                <w:rFonts w:ascii="Calibri" w:cs="Calibri" w:eastAsia="Calibri" w:hAnsi="Calibri"/>
                <w:b w:val="false"/>
                <w:bCs w:val="false"/>
                <w:color w:val="2B2B2B"/>
                <w:sz w:val="19"/>
                <w:szCs w:val="19"/>
              </w:rPr>
              <w:t xml:space="preserve">Clear visual state for Scanning / Refactoring / Testing / Verified.</w:t>
            </w:r>
          </w:p>
        </w:tc>
        <w:tc>
          <w:tcPr>
            <w:tcW w:type="dxa" w:w="1700"/>
            <w:tcMar>
              <w:top w:type="dxa" w:w="100"/>
              <w:left w:type="dxa" w:w="120"/>
              <w:bottom w:type="dxa" w:w="100"/>
              <w:right w:type="dxa" w:w="120"/>
            </w:tcMar>
          </w:tcPr>
          <w:p>
            <w:r>
              <w:rPr>
                <w:rFonts w:ascii="Calibri" w:cs="Calibri" w:eastAsia="Calibri" w:hAnsi="Calibri"/>
                <w:b w:val="false"/>
                <w:bCs w:val="false"/>
                <w:color w:val="2B2B2B"/>
                <w:sz w:val="19"/>
                <w:szCs w:val="19"/>
              </w:rPr>
              <w:t xml:space="preserve">Should</w:t>
            </w:r>
          </w:p>
        </w:tc>
      </w:tr>
    </w:tbl>
    <w:p>
      <w:pPr>
        <w:pStyle w:val="Heading1"/>
        <w:pBdr>
          <w:bottom w:val="single" w:color="9A7B1F" w:sz="6" w:space="4"/>
        </w:pBdr>
        <w:spacing w:after="160" w:before="360"/>
      </w:pPr>
      <w:r>
        <w:rPr>
          <w:rFonts w:ascii="Cambria" w:cs="Cambria" w:eastAsia="Cambria" w:hAnsi="Cambria"/>
          <w:b/>
          <w:bCs/>
          <w:color w:val="1E2761"/>
          <w:sz w:val="30"/>
          <w:szCs w:val="30"/>
        </w:rPr>
        <w:t xml:space="preserve">7.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Category</w:t>
            </w:r>
          </w:p>
        </w:tc>
        <w:tc>
          <w:tcPr>
            <w:tcW w:type="dxa" w:w="695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Requirement</w:t>
            </w:r>
          </w:p>
        </w:tc>
      </w:tr>
      <w:tr>
        <w:tc>
          <w:tcPr>
            <w:tcW w:type="dxa" w:w="2400"/>
            <w:tcMar>
              <w:top w:type="dxa" w:w="100"/>
              <w:left w:type="dxa" w:w="120"/>
              <w:bottom w:type="dxa" w:w="100"/>
              <w:right w:type="dxa" w:w="120"/>
            </w:tcMar>
          </w:tcPr>
          <w:p>
            <w:r>
              <w:rPr>
                <w:rFonts w:ascii="Calibri" w:cs="Calibri" w:eastAsia="Calibri" w:hAnsi="Calibri"/>
                <w:b w:val="false"/>
                <w:bCs w:val="false"/>
                <w:color w:val="2B2B2B"/>
                <w:sz w:val="19"/>
                <w:szCs w:val="19"/>
              </w:rPr>
              <w:t xml:space="preserve">Performance</w:t>
            </w:r>
          </w:p>
        </w:tc>
        <w:tc>
          <w:tcPr>
            <w:tcW w:type="dxa" w:w="6950"/>
            <w:tcMar>
              <w:top w:type="dxa" w:w="100"/>
              <w:left w:type="dxa" w:w="120"/>
              <w:bottom w:type="dxa" w:w="100"/>
              <w:right w:type="dxa" w:w="120"/>
            </w:tcMar>
          </w:tcPr>
          <w:p>
            <w:r>
              <w:rPr>
                <w:rFonts w:ascii="Calibri" w:cs="Calibri" w:eastAsia="Calibri" w:hAnsi="Calibri"/>
                <w:b w:val="false"/>
                <w:bCs w:val="false"/>
                <w:color w:val="2B2B2B"/>
                <w:sz w:val="19"/>
                <w:szCs w:val="19"/>
              </w:rPr>
              <w:t xml:space="preserve">Streamed agent output should appear incrementally, not block on full pipeline completion.</w:t>
            </w:r>
          </w:p>
        </w:tc>
      </w:tr>
      <w:tr>
        <w:tc>
          <w:tcPr>
            <w:tcW w:type="dxa" w:w="240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Reliability</w:t>
            </w:r>
          </w:p>
        </w:tc>
        <w:tc>
          <w:tcPr>
            <w:tcW w:type="dxa" w:w="695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Pipeline must degrade gracefully to a flagged-for-review state rather than crash after max retries.</w:t>
            </w:r>
          </w:p>
        </w:tc>
      </w:tr>
      <w:tr>
        <w:tc>
          <w:tcPr>
            <w:tcW w:type="dxa" w:w="2400"/>
            <w:tcMar>
              <w:top w:type="dxa" w:w="100"/>
              <w:left w:type="dxa" w:w="120"/>
              <w:bottom w:type="dxa" w:w="100"/>
              <w:right w:type="dxa" w:w="120"/>
            </w:tcMar>
          </w:tcPr>
          <w:p>
            <w:r>
              <w:rPr>
                <w:rFonts w:ascii="Calibri" w:cs="Calibri" w:eastAsia="Calibri" w:hAnsi="Calibri"/>
                <w:b w:val="false"/>
                <w:bCs w:val="false"/>
                <w:color w:val="2B2B2B"/>
                <w:sz w:val="19"/>
                <w:szCs w:val="19"/>
              </w:rPr>
              <w:t xml:space="preserve">Security</w:t>
            </w:r>
          </w:p>
        </w:tc>
        <w:tc>
          <w:tcPr>
            <w:tcW w:type="dxa" w:w="6950"/>
            <w:tcMar>
              <w:top w:type="dxa" w:w="100"/>
              <w:left w:type="dxa" w:w="120"/>
              <w:bottom w:type="dxa" w:w="100"/>
              <w:right w:type="dxa" w:w="120"/>
            </w:tcMar>
          </w:tcPr>
          <w:p>
            <w:r>
              <w:rPr>
                <w:rFonts w:ascii="Calibri" w:cs="Calibri" w:eastAsia="Calibri" w:hAnsi="Calibri"/>
                <w:b w:val="false"/>
                <w:bCs w:val="false"/>
                <w:color w:val="2B2B2B"/>
                <w:sz w:val="19"/>
                <w:szCs w:val="19"/>
              </w:rPr>
              <w:t xml:space="preserve">Refactored code executes only inside an isolated subprocess; API keys are read from .env and never exposed to the frontend.</w:t>
            </w:r>
          </w:p>
        </w:tc>
      </w:tr>
      <w:tr>
        <w:tc>
          <w:tcPr>
            <w:tcW w:type="dxa" w:w="240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Portability</w:t>
            </w:r>
          </w:p>
        </w:tc>
        <w:tc>
          <w:tcPr>
            <w:tcW w:type="dxa" w:w="695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Full stack must run via a single docker-compose up command.</w:t>
            </w:r>
          </w:p>
        </w:tc>
      </w:tr>
      <w:tr>
        <w:tc>
          <w:tcPr>
            <w:tcW w:type="dxa" w:w="2400"/>
            <w:tcMar>
              <w:top w:type="dxa" w:w="100"/>
              <w:left w:type="dxa" w:w="120"/>
              <w:bottom w:type="dxa" w:w="100"/>
              <w:right w:type="dxa" w:w="120"/>
            </w:tcMar>
          </w:tcPr>
          <w:p>
            <w:r>
              <w:rPr>
                <w:rFonts w:ascii="Calibri" w:cs="Calibri" w:eastAsia="Calibri" w:hAnsi="Calibri"/>
                <w:b w:val="false"/>
                <w:bCs w:val="false"/>
                <w:color w:val="2B2B2B"/>
                <w:sz w:val="19"/>
                <w:szCs w:val="19"/>
              </w:rPr>
              <w:t xml:space="preserve">Usability</w:t>
            </w:r>
          </w:p>
        </w:tc>
        <w:tc>
          <w:tcPr>
            <w:tcW w:type="dxa" w:w="6950"/>
            <w:tcMar>
              <w:top w:type="dxa" w:w="100"/>
              <w:left w:type="dxa" w:w="120"/>
              <w:bottom w:type="dxa" w:w="100"/>
              <w:right w:type="dxa" w:w="120"/>
            </w:tcMar>
          </w:tcPr>
          <w:p>
            <w:r>
              <w:rPr>
                <w:rFonts w:ascii="Calibri" w:cs="Calibri" w:eastAsia="Calibri" w:hAnsi="Calibri"/>
                <w:b w:val="false"/>
                <w:bCs w:val="false"/>
                <w:color w:val="2B2B2B"/>
                <w:sz w:val="19"/>
                <w:szCs w:val="19"/>
              </w:rPr>
              <w:t xml:space="preserve">A user with no cryptography background should be able to understand pipeline status at a glance.</w:t>
            </w:r>
          </w:p>
        </w:tc>
      </w:tr>
    </w:tbl>
    <w:p>
      <w:pPr>
        <w:pStyle w:val="Heading1"/>
        <w:pBdr>
          <w:bottom w:val="single" w:color="9A7B1F" w:sz="6" w:space="4"/>
        </w:pBdr>
        <w:spacing w:after="160" w:before="360"/>
      </w:pPr>
      <w:r>
        <w:rPr>
          <w:rFonts w:ascii="Cambria" w:cs="Cambria" w:eastAsia="Cambria" w:hAnsi="Cambria"/>
          <w:b/>
          <w:bCs/>
          <w:color w:val="1E2761"/>
          <w:sz w:val="30"/>
          <w:szCs w:val="30"/>
        </w:rPr>
        <w:t xml:space="preserve">8. Technical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Layer</w:t>
            </w:r>
          </w:p>
        </w:tc>
        <w:tc>
          <w:tcPr>
            <w:tcW w:type="dxa" w:w="695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Technology</w:t>
            </w:r>
          </w:p>
        </w:tc>
      </w:tr>
      <w:tr>
        <w:tc>
          <w:tcPr>
            <w:tcW w:type="dxa" w:w="2400"/>
            <w:tcMar>
              <w:top w:type="dxa" w:w="100"/>
              <w:left w:type="dxa" w:w="120"/>
              <w:bottom w:type="dxa" w:w="100"/>
              <w:right w:type="dxa" w:w="120"/>
            </w:tcMar>
          </w:tcPr>
          <w:p>
            <w:r>
              <w:rPr>
                <w:rFonts w:ascii="Calibri" w:cs="Calibri" w:eastAsia="Calibri" w:hAnsi="Calibri"/>
                <w:b w:val="false"/>
                <w:bCs w:val="false"/>
                <w:color w:val="2B2B2B"/>
                <w:sz w:val="19"/>
                <w:szCs w:val="19"/>
              </w:rPr>
              <w:t xml:space="preserve">Backend</w:t>
            </w:r>
          </w:p>
        </w:tc>
        <w:tc>
          <w:tcPr>
            <w:tcW w:type="dxa" w:w="6950"/>
            <w:tcMar>
              <w:top w:type="dxa" w:w="100"/>
              <w:left w:type="dxa" w:w="120"/>
              <w:bottom w:type="dxa" w:w="100"/>
              <w:right w:type="dxa" w:w="120"/>
            </w:tcMar>
          </w:tcPr>
          <w:p>
            <w:r>
              <w:rPr>
                <w:rFonts w:ascii="Calibri" w:cs="Calibri" w:eastAsia="Calibri" w:hAnsi="Calibri"/>
                <w:b w:val="false"/>
                <w:bCs w:val="false"/>
                <w:color w:val="2B2B2B"/>
                <w:sz w:val="19"/>
                <w:szCs w:val="19"/>
              </w:rPr>
              <w:t xml:space="preserve">Python, FastAPI, Uvicorn</w:t>
            </w:r>
          </w:p>
        </w:tc>
      </w:tr>
      <w:tr>
        <w:tc>
          <w:tcPr>
            <w:tcW w:type="dxa" w:w="240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AI Agents</w:t>
            </w:r>
          </w:p>
        </w:tc>
        <w:tc>
          <w:tcPr>
            <w:tcW w:type="dxa" w:w="695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Async Python functions calling Groq / OpenAI-compatible SDK</w:t>
            </w:r>
          </w:p>
        </w:tc>
      </w:tr>
      <w:tr>
        <w:tc>
          <w:tcPr>
            <w:tcW w:type="dxa" w:w="2400"/>
            <w:tcMar>
              <w:top w:type="dxa" w:w="100"/>
              <w:left w:type="dxa" w:w="120"/>
              <w:bottom w:type="dxa" w:w="100"/>
              <w:right w:type="dxa" w:w="120"/>
            </w:tcMar>
          </w:tcPr>
          <w:p>
            <w:r>
              <w:rPr>
                <w:rFonts w:ascii="Calibri" w:cs="Calibri" w:eastAsia="Calibri" w:hAnsi="Calibri"/>
                <w:b w:val="false"/>
                <w:bCs w:val="false"/>
                <w:color w:val="2B2B2B"/>
                <w:sz w:val="19"/>
                <w:szCs w:val="19"/>
              </w:rPr>
              <w:t xml:space="preserve">Cryptography</w:t>
            </w:r>
          </w:p>
        </w:tc>
        <w:tc>
          <w:tcPr>
            <w:tcW w:type="dxa" w:w="6950"/>
            <w:tcMar>
              <w:top w:type="dxa" w:w="100"/>
              <w:left w:type="dxa" w:w="120"/>
              <w:bottom w:type="dxa" w:w="100"/>
              <w:right w:type="dxa" w:w="120"/>
            </w:tcMar>
          </w:tcPr>
          <w:p>
            <w:r>
              <w:rPr>
                <w:rFonts w:ascii="Calibri" w:cs="Calibri" w:eastAsia="Calibri" w:hAnsi="Calibri"/>
                <w:b w:val="false"/>
                <w:bCs w:val="false"/>
                <w:color w:val="2B2B2B"/>
                <w:sz w:val="19"/>
                <w:szCs w:val="19"/>
              </w:rPr>
              <w:t xml:space="preserve">liboqs-python (NIST ML-KEM-512)</w:t>
            </w:r>
          </w:p>
        </w:tc>
      </w:tr>
      <w:tr>
        <w:tc>
          <w:tcPr>
            <w:tcW w:type="dxa" w:w="240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Frontend</w:t>
            </w:r>
          </w:p>
        </w:tc>
        <w:tc>
          <w:tcPr>
            <w:tcW w:type="dxa" w:w="695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React (Vite), Tailwind CSS, Lucide icons</w:t>
            </w:r>
          </w:p>
        </w:tc>
      </w:tr>
      <w:tr>
        <w:tc>
          <w:tcPr>
            <w:tcW w:type="dxa" w:w="2400"/>
            <w:tcMar>
              <w:top w:type="dxa" w:w="100"/>
              <w:left w:type="dxa" w:w="120"/>
              <w:bottom w:type="dxa" w:w="100"/>
              <w:right w:type="dxa" w:w="120"/>
            </w:tcMar>
          </w:tcPr>
          <w:p>
            <w:r>
              <w:rPr>
                <w:rFonts w:ascii="Calibri" w:cs="Calibri" w:eastAsia="Calibri" w:hAnsi="Calibri"/>
                <w:b w:val="false"/>
                <w:bCs w:val="false"/>
                <w:color w:val="2B2B2B"/>
                <w:sz w:val="19"/>
                <w:szCs w:val="19"/>
              </w:rPr>
              <w:t xml:space="preserve">Deployment</w:t>
            </w:r>
          </w:p>
        </w:tc>
        <w:tc>
          <w:tcPr>
            <w:tcW w:type="dxa" w:w="6950"/>
            <w:tcMar>
              <w:top w:type="dxa" w:w="100"/>
              <w:left w:type="dxa" w:w="120"/>
              <w:bottom w:type="dxa" w:w="100"/>
              <w:right w:type="dxa" w:w="120"/>
            </w:tcMar>
          </w:tcPr>
          <w:p>
            <w:r>
              <w:rPr>
                <w:rFonts w:ascii="Calibri" w:cs="Calibri" w:eastAsia="Calibri" w:hAnsi="Calibri"/>
                <w:b w:val="false"/>
                <w:bCs w:val="false"/>
                <w:color w:val="2B2B2B"/>
                <w:sz w:val="19"/>
                <w:szCs w:val="19"/>
              </w:rPr>
              <w:t xml:space="preserve">Docker &amp; Docker Compose</w:t>
            </w:r>
          </w:p>
        </w:tc>
      </w:tr>
      <w:tr>
        <w:tc>
          <w:tcPr>
            <w:tcW w:type="dxa" w:w="240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Configuration</w:t>
            </w:r>
          </w:p>
        </w:tc>
        <w:tc>
          <w:tcPr>
            <w:tcW w:type="dxa" w:w="695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.env file for GROQ_API_KEY / OPENAI_API_KEY</w:t>
            </w:r>
          </w:p>
        </w:tc>
      </w:tr>
    </w:tbl>
    <w:p>
      <w:pPr>
        <w:pStyle w:val="Heading1"/>
        <w:pBdr>
          <w:bottom w:val="single" w:color="9A7B1F" w:sz="6" w:space="4"/>
        </w:pBdr>
        <w:spacing w:after="160" w:before="360"/>
      </w:pPr>
      <w:r>
        <w:rPr>
          <w:rFonts w:ascii="Cambria" w:cs="Cambria" w:eastAsia="Cambria" w:hAnsi="Cambria"/>
          <w:b/>
          <w:bCs/>
          <w:color w:val="1E2761"/>
          <w:sz w:val="30"/>
          <w:szCs w:val="30"/>
        </w:rPr>
        <w:t xml:space="preserve">9. Success Metrics</w:t>
      </w:r>
    </w:p>
    <w:p>
      <w:pPr>
        <w:pStyle w:val="ListParagraph"/>
        <w:numPr>
          <w:ilvl w:val="0"/>
          <w:numId w:val="2"/>
        </w:numPr>
        <w:spacing w:after="70"/>
      </w:pPr>
      <w:r>
        <w:rPr>
          <w:rFonts w:ascii="Calibri" w:cs="Calibri" w:eastAsia="Calibri" w:hAnsi="Calibri"/>
          <w:color w:val="2B2B2B"/>
          <w:sz w:val="21"/>
          <w:szCs w:val="21"/>
        </w:rPr>
        <w:t xml:space="preserve">Percentage of known vulnerable imports correctly identified by the Scanner Agent.</w:t>
      </w:r>
    </w:p>
    <w:p>
      <w:pPr>
        <w:pStyle w:val="ListParagraph"/>
        <w:numPr>
          <w:ilvl w:val="0"/>
          <w:numId w:val="2"/>
        </w:numPr>
        <w:spacing w:after="70"/>
      </w:pPr>
      <w:r>
        <w:rPr>
          <w:rFonts w:ascii="Calibri" w:cs="Calibri" w:eastAsia="Calibri" w:hAnsi="Calibri"/>
          <w:color w:val="2B2B2B"/>
          <w:sz w:val="21"/>
          <w:szCs w:val="21"/>
        </w:rPr>
        <w:t xml:space="preserve">Percentage of refactors that pass sandbox verification on the first attempt (without retry).</w:t>
      </w:r>
    </w:p>
    <w:p>
      <w:pPr>
        <w:pStyle w:val="ListParagraph"/>
        <w:numPr>
          <w:ilvl w:val="0"/>
          <w:numId w:val="2"/>
        </w:numPr>
        <w:spacing w:after="70"/>
      </w:pPr>
      <w:r>
        <w:rPr>
          <w:rFonts w:ascii="Calibri" w:cs="Calibri" w:eastAsia="Calibri" w:hAnsi="Calibri"/>
          <w:color w:val="2B2B2B"/>
          <w:sz w:val="21"/>
          <w:szCs w:val="21"/>
        </w:rPr>
        <w:t xml:space="preserve">End-to-end time from upload to a "Verified" result.</w:t>
      </w:r>
    </w:p>
    <w:p>
      <w:pPr>
        <w:pStyle w:val="ListParagraph"/>
        <w:numPr>
          <w:ilvl w:val="0"/>
          <w:numId w:val="2"/>
        </w:numPr>
        <w:spacing w:after="70"/>
      </w:pPr>
      <w:r>
        <w:rPr>
          <w:rFonts w:ascii="Calibri" w:cs="Calibri" w:eastAsia="Calibri" w:hAnsi="Calibri"/>
          <w:color w:val="2B2B2B"/>
          <w:sz w:val="21"/>
          <w:szCs w:val="21"/>
        </w:rPr>
        <w:t xml:space="preserve">Successful live demo: upload → scan → refactor → verify, completed on stage without manual intervention.</w:t>
      </w:r>
    </w:p>
    <w:p>
      <w:pPr>
        <w:pStyle w:val="Heading1"/>
        <w:pBdr>
          <w:bottom w:val="single" w:color="9A7B1F" w:sz="6" w:space="4"/>
        </w:pBdr>
        <w:spacing w:after="160" w:before="360"/>
      </w:pPr>
      <w:r>
        <w:rPr>
          <w:rFonts w:ascii="Cambria" w:cs="Cambria" w:eastAsia="Cambria" w:hAnsi="Cambria"/>
          <w:b/>
          <w:bCs/>
          <w:color w:val="1E2761"/>
          <w:sz w:val="30"/>
          <w:szCs w:val="30"/>
        </w:rPr>
        <w:t xml:space="preserve">10. Risks &amp;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6050"/>
      </w:tblGrid>
      <w:tr>
        <w:tc>
          <w:tcPr>
            <w:tcW w:type="dxa" w:w="330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Risk</w:t>
            </w:r>
          </w:p>
        </w:tc>
        <w:tc>
          <w:tcPr>
            <w:tcW w:type="dxa" w:w="605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Mitigation</w:t>
            </w:r>
          </w:p>
        </w:tc>
      </w:tr>
      <w:tr>
        <w:tc>
          <w:tcPr>
            <w:tcW w:type="dxa" w:w="3300"/>
            <w:tcMar>
              <w:top w:type="dxa" w:w="100"/>
              <w:left w:type="dxa" w:w="120"/>
              <w:bottom w:type="dxa" w:w="100"/>
              <w:right w:type="dxa" w:w="120"/>
            </w:tcMar>
          </w:tcPr>
          <w:p>
            <w:r>
              <w:rPr>
                <w:rFonts w:ascii="Calibri" w:cs="Calibri" w:eastAsia="Calibri" w:hAnsi="Calibri"/>
                <w:b w:val="false"/>
                <w:bCs w:val="false"/>
                <w:color w:val="2B2B2B"/>
                <w:sz w:val="19"/>
                <w:szCs w:val="19"/>
              </w:rPr>
              <w:t xml:space="preserve">LLM hallucinates a non-existent liboqs API.</w:t>
            </w:r>
          </w:p>
        </w:tc>
        <w:tc>
          <w:tcPr>
            <w:tcW w:type="dxa" w:w="6050"/>
            <w:tcMar>
              <w:top w:type="dxa" w:w="100"/>
              <w:left w:type="dxa" w:w="120"/>
              <w:bottom w:type="dxa" w:w="100"/>
              <w:right w:type="dxa" w:w="120"/>
            </w:tcMar>
          </w:tcPr>
          <w:p>
            <w:r>
              <w:rPr>
                <w:rFonts w:ascii="Calibri" w:cs="Calibri" w:eastAsia="Calibri" w:hAnsi="Calibri"/>
                <w:b w:val="false"/>
                <w:bCs w:val="false"/>
                <w:color w:val="2B2B2B"/>
                <w:sz w:val="19"/>
                <w:szCs w:val="19"/>
              </w:rPr>
              <w:t xml:space="preserve">Lock the system prompt to the exact reference implementation pattern; validate output before execution.</w:t>
            </w:r>
          </w:p>
        </w:tc>
      </w:tr>
      <w:tr>
        <w:tc>
          <w:tcPr>
            <w:tcW w:type="dxa" w:w="330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Refactored code is unsafe to execute directly.</w:t>
            </w:r>
          </w:p>
        </w:tc>
        <w:tc>
          <w:tcPr>
            <w:tcW w:type="dxa" w:w="605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Run all generated code inside an isolated subprocess, never in the main process.</w:t>
            </w:r>
          </w:p>
        </w:tc>
      </w:tr>
      <w:tr>
        <w:tc>
          <w:tcPr>
            <w:tcW w:type="dxa" w:w="3300"/>
            <w:tcMar>
              <w:top w:type="dxa" w:w="100"/>
              <w:left w:type="dxa" w:w="120"/>
              <w:bottom w:type="dxa" w:w="100"/>
              <w:right w:type="dxa" w:w="120"/>
            </w:tcMar>
          </w:tcPr>
          <w:p>
            <w:r>
              <w:rPr>
                <w:rFonts w:ascii="Calibri" w:cs="Calibri" w:eastAsia="Calibri" w:hAnsi="Calibri"/>
                <w:b w:val="false"/>
                <w:bCs w:val="false"/>
                <w:color w:val="2B2B2B"/>
                <w:sz w:val="19"/>
                <w:szCs w:val="19"/>
              </w:rPr>
              <w:t xml:space="preserve">Infinite retry loops on unfixable code.</w:t>
            </w:r>
          </w:p>
        </w:tc>
        <w:tc>
          <w:tcPr>
            <w:tcW w:type="dxa" w:w="6050"/>
            <w:tcMar>
              <w:top w:type="dxa" w:w="100"/>
              <w:left w:type="dxa" w:w="120"/>
              <w:bottom w:type="dxa" w:w="100"/>
              <w:right w:type="dxa" w:w="120"/>
            </w:tcMar>
          </w:tcPr>
          <w:p>
            <w:r>
              <w:rPr>
                <w:rFonts w:ascii="Calibri" w:cs="Calibri" w:eastAsia="Calibri" w:hAnsi="Calibri"/>
                <w:b w:val="false"/>
                <w:bCs w:val="false"/>
                <w:color w:val="2B2B2B"/>
                <w:sz w:val="19"/>
                <w:szCs w:val="19"/>
              </w:rPr>
              <w:t xml:space="preserve">Hard cap of 2 automatic retries, then flag for manual review.</w:t>
            </w:r>
          </w:p>
        </w:tc>
      </w:tr>
      <w:tr>
        <w:tc>
          <w:tcPr>
            <w:tcW w:type="dxa" w:w="330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liboqs-python build/install issues under time pressure.</w:t>
            </w:r>
          </w:p>
        </w:tc>
        <w:tc>
          <w:tcPr>
            <w:tcW w:type="dxa" w:w="605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Pin a tested version in requirements.txt and containerize early via Docker.</w:t>
            </w:r>
          </w:p>
        </w:tc>
      </w:tr>
    </w:tbl>
    <w:p>
      <w:pPr>
        <w:pStyle w:val="Heading1"/>
        <w:pBdr>
          <w:bottom w:val="single" w:color="9A7B1F" w:sz="6" w:space="4"/>
        </w:pBdr>
        <w:spacing w:after="160" w:before="360"/>
      </w:pPr>
      <w:r>
        <w:rPr>
          <w:rFonts w:ascii="Cambria" w:cs="Cambria" w:eastAsia="Cambria" w:hAnsi="Cambria"/>
          <w:b/>
          <w:bCs/>
          <w:color w:val="1E2761"/>
          <w:sz w:val="30"/>
          <w:szCs w:val="30"/>
        </w:rPr>
        <w:t xml:space="preserve">11. Milestones (24-Hour Build)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Window</w:t>
            </w:r>
          </w:p>
        </w:tc>
        <w:tc>
          <w:tcPr>
            <w:tcW w:type="dxa" w:w="6950"/>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Milestone</w:t>
            </w:r>
          </w:p>
        </w:tc>
      </w:tr>
      <w:tr>
        <w:tc>
          <w:tcPr>
            <w:tcW w:type="dxa" w:w="2400"/>
            <w:tcMar>
              <w:top w:type="dxa" w:w="100"/>
              <w:left w:type="dxa" w:w="120"/>
              <w:bottom w:type="dxa" w:w="100"/>
              <w:right w:type="dxa" w:w="120"/>
            </w:tcMar>
          </w:tcPr>
          <w:p>
            <w:r>
              <w:rPr>
                <w:rFonts w:ascii="Calibri" w:cs="Calibri" w:eastAsia="Calibri" w:hAnsi="Calibri"/>
                <w:b w:val="false"/>
                <w:bCs w:val="false"/>
                <w:color w:val="2B2B2B"/>
                <w:sz w:val="19"/>
                <w:szCs w:val="19"/>
              </w:rPr>
              <w:t xml:space="preserve">Hr 0 – 4</w:t>
            </w:r>
          </w:p>
        </w:tc>
        <w:tc>
          <w:tcPr>
            <w:tcW w:type="dxa" w:w="6950"/>
            <w:tcMar>
              <w:top w:type="dxa" w:w="100"/>
              <w:left w:type="dxa" w:w="120"/>
              <w:bottom w:type="dxa" w:w="100"/>
              <w:right w:type="dxa" w:w="120"/>
            </w:tcMar>
          </w:tcPr>
          <w:p>
            <w:r>
              <w:rPr>
                <w:rFonts w:ascii="Calibri" w:cs="Calibri" w:eastAsia="Calibri" w:hAnsi="Calibri"/>
                <w:b w:val="false"/>
                <w:bCs w:val="false"/>
                <w:color w:val="2B2B2B"/>
                <w:sz w:val="19"/>
                <w:szCs w:val="19"/>
              </w:rPr>
              <w:t xml:space="preserve">Repo scaffolding, FastAPI skeleton, Scanner Agent logic.</w:t>
            </w:r>
          </w:p>
        </w:tc>
      </w:tr>
      <w:tr>
        <w:tc>
          <w:tcPr>
            <w:tcW w:type="dxa" w:w="240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Hr 4 – 10</w:t>
            </w:r>
          </w:p>
        </w:tc>
        <w:tc>
          <w:tcPr>
            <w:tcW w:type="dxa" w:w="695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Refactor Agent + LLM integration, prompt-locked ML-KEM-512 pattern.</w:t>
            </w:r>
          </w:p>
        </w:tc>
      </w:tr>
      <w:tr>
        <w:tc>
          <w:tcPr>
            <w:tcW w:type="dxa" w:w="2400"/>
            <w:tcMar>
              <w:top w:type="dxa" w:w="100"/>
              <w:left w:type="dxa" w:w="120"/>
              <w:bottom w:type="dxa" w:w="100"/>
              <w:right w:type="dxa" w:w="120"/>
            </w:tcMar>
          </w:tcPr>
          <w:p>
            <w:r>
              <w:rPr>
                <w:rFonts w:ascii="Calibri" w:cs="Calibri" w:eastAsia="Calibri" w:hAnsi="Calibri"/>
                <w:b w:val="false"/>
                <w:bCs w:val="false"/>
                <w:color w:val="2B2B2B"/>
                <w:sz w:val="19"/>
                <w:szCs w:val="19"/>
              </w:rPr>
              <w:t xml:space="preserve">Hr 10 – 16</w:t>
            </w:r>
          </w:p>
        </w:tc>
        <w:tc>
          <w:tcPr>
            <w:tcW w:type="dxa" w:w="6950"/>
            <w:tcMar>
              <w:top w:type="dxa" w:w="100"/>
              <w:left w:type="dxa" w:w="120"/>
              <w:bottom w:type="dxa" w:w="100"/>
              <w:right w:type="dxa" w:w="120"/>
            </w:tcMar>
          </w:tcPr>
          <w:p>
            <w:r>
              <w:rPr>
                <w:rFonts w:ascii="Calibri" w:cs="Calibri" w:eastAsia="Calibri" w:hAnsi="Calibri"/>
                <w:b w:val="false"/>
                <w:bCs w:val="false"/>
                <w:color w:val="2B2B2B"/>
                <w:sz w:val="19"/>
                <w:szCs w:val="19"/>
              </w:rPr>
              <w:t xml:space="preserve">Tester Agent, sandboxed execution, retry loop.</w:t>
            </w:r>
          </w:p>
        </w:tc>
      </w:tr>
      <w:tr>
        <w:tc>
          <w:tcPr>
            <w:tcW w:type="dxa" w:w="240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Hr 16 – 20</w:t>
            </w:r>
          </w:p>
        </w:tc>
        <w:tc>
          <w:tcPr>
            <w:tcW w:type="dxa" w:w="6950"/>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React dashboard: split-screen UI, live agent terminal, glassmorphic styling.</w:t>
            </w:r>
          </w:p>
        </w:tc>
      </w:tr>
      <w:tr>
        <w:tc>
          <w:tcPr>
            <w:tcW w:type="dxa" w:w="2400"/>
            <w:tcMar>
              <w:top w:type="dxa" w:w="100"/>
              <w:left w:type="dxa" w:w="120"/>
              <w:bottom w:type="dxa" w:w="100"/>
              <w:right w:type="dxa" w:w="120"/>
            </w:tcMar>
          </w:tcPr>
          <w:p>
            <w:r>
              <w:rPr>
                <w:rFonts w:ascii="Calibri" w:cs="Calibri" w:eastAsia="Calibri" w:hAnsi="Calibri"/>
                <w:b w:val="false"/>
                <w:bCs w:val="false"/>
                <w:color w:val="2B2B2B"/>
                <w:sz w:val="19"/>
                <w:szCs w:val="19"/>
              </w:rPr>
              <w:t xml:space="preserve">Hr 20 – 24</w:t>
            </w:r>
          </w:p>
        </w:tc>
        <w:tc>
          <w:tcPr>
            <w:tcW w:type="dxa" w:w="6950"/>
            <w:tcMar>
              <w:top w:type="dxa" w:w="100"/>
              <w:left w:type="dxa" w:w="120"/>
              <w:bottom w:type="dxa" w:w="100"/>
              <w:right w:type="dxa" w:w="120"/>
            </w:tcMar>
          </w:tcPr>
          <w:p>
            <w:r>
              <w:rPr>
                <w:rFonts w:ascii="Calibri" w:cs="Calibri" w:eastAsia="Calibri" w:hAnsi="Calibri"/>
                <w:b w:val="false"/>
                <w:bCs w:val="false"/>
                <w:color w:val="2B2B2B"/>
                <w:sz w:val="19"/>
                <w:szCs w:val="19"/>
              </w:rPr>
              <w:t xml:space="preserve">Dockerization, end-to-end testing, demo polish, pitch prep.</w:t>
            </w:r>
          </w:p>
        </w:tc>
      </w:tr>
    </w:tbl>
    <w:p>
      <w:pPr>
        <w:pStyle w:val="Heading1"/>
        <w:pBdr>
          <w:bottom w:val="single" w:color="9A7B1F" w:sz="6" w:space="4"/>
        </w:pBdr>
        <w:spacing w:after="160" w:before="360"/>
      </w:pPr>
      <w:r>
        <w:rPr>
          <w:rFonts w:ascii="Cambria" w:cs="Cambria" w:eastAsia="Cambria" w:hAnsi="Cambria"/>
          <w:b/>
          <w:bCs/>
          <w:color w:val="1E2761"/>
          <w:sz w:val="30"/>
          <w:szCs w:val="30"/>
        </w:rPr>
        <w:t xml:space="preserve">12. Future Roadmap</w:t>
      </w:r>
    </w:p>
    <w:p>
      <w:pPr>
        <w:pStyle w:val="Heading2"/>
        <w:spacing w:after="120" w:before="260"/>
      </w:pPr>
      <w:r>
        <w:rPr>
          <w:rFonts w:ascii="Cambria" w:cs="Cambria" w:eastAsia="Cambria" w:hAnsi="Cambria"/>
          <w:b/>
          <w:bCs/>
          <w:color w:val="1E2761"/>
          <w:sz w:val="24"/>
          <w:szCs w:val="24"/>
        </w:rPr>
        <w:t xml:space="preserve">12.1 Post-Quantum Compliance &amp; Automated Audit Platform</w:t>
      </w:r>
    </w:p>
    <w:p>
      <w:pPr>
        <w:spacing w:after="140" w:line="276"/>
      </w:pPr>
      <w:r>
        <w:rPr>
          <w:rFonts w:ascii="Calibri" w:cs="Calibri" w:eastAsia="Calibri" w:hAnsi="Calibri"/>
          <w:i w:val="false"/>
          <w:iCs w:val="false"/>
          <w:color w:val="2B2B2B"/>
          <w:sz w:val="21"/>
          <w:szCs w:val="21"/>
        </w:rPr>
        <w:t xml:space="preserve">Regulators — including NIST, CISA, and HIPAA — are introducing strict rules requiring companies to prove their systems are safe from quantum attacks. The MVP’s scanner is the core engine for a much larger platform.</w:t>
      </w:r>
    </w:p>
    <w:p>
      <w:pPr>
        <w:pStyle w:val="ListParagraph"/>
        <w:numPr>
          <w:ilvl w:val="0"/>
          <w:numId w:val="2"/>
        </w:numPr>
        <w:spacing w:after="70"/>
      </w:pPr>
      <w:r>
        <w:rPr>
          <w:rFonts w:ascii="Calibri" w:cs="Calibri" w:eastAsia="Calibri" w:hAnsi="Calibri"/>
          <w:color w:val="2B2B2B"/>
          <w:sz w:val="21"/>
          <w:szCs w:val="21"/>
        </w:rPr>
        <w:t xml:space="preserve">Combine the code scanner with an automated legal / compliance report generator.</w:t>
      </w:r>
    </w:p>
    <w:p>
      <w:pPr>
        <w:pStyle w:val="ListParagraph"/>
        <w:numPr>
          <w:ilvl w:val="0"/>
          <w:numId w:val="2"/>
        </w:numPr>
        <w:spacing w:after="70"/>
      </w:pPr>
      <w:r>
        <w:rPr>
          <w:rFonts w:ascii="Calibri" w:cs="Calibri" w:eastAsia="Calibri" w:hAnsi="Calibri"/>
          <w:color w:val="2B2B2B"/>
          <w:sz w:val="21"/>
          <w:szCs w:val="21"/>
        </w:rPr>
        <w:t xml:space="preserve">Generate formal audit documentation and mathematical proof of key-exchange security alongside the code fix.</w:t>
      </w:r>
    </w:p>
    <w:p>
      <w:pPr>
        <w:pStyle w:val="ListParagraph"/>
        <w:numPr>
          <w:ilvl w:val="0"/>
          <w:numId w:val="2"/>
        </w:numPr>
        <w:spacing w:after="70"/>
      </w:pPr>
      <w:r>
        <w:rPr>
          <w:rFonts w:ascii="Calibri" w:cs="Calibri" w:eastAsia="Calibri" w:hAnsi="Calibri"/>
          <w:color w:val="2B2B2B"/>
          <w:sz w:val="21"/>
          <w:szCs w:val="21"/>
        </w:rPr>
        <w:t xml:space="preserve">Issue compliance certificates for regulators, reducing enterprises’ reliance on manual cybersecurity consulting.</w:t>
      </w:r>
    </w:p>
    <w:p>
      <w:pPr>
        <w:pStyle w:val="Heading2"/>
        <w:spacing w:after="120" w:before="260"/>
      </w:pPr>
      <w:r>
        <w:rPr>
          <w:rFonts w:ascii="Cambria" w:cs="Cambria" w:eastAsia="Cambria" w:hAnsi="Cambria"/>
          <w:b/>
          <w:bCs/>
          <w:color w:val="1E2761"/>
          <w:sz w:val="24"/>
          <w:szCs w:val="24"/>
        </w:rPr>
        <w:t xml:space="preserve">12.2 Long-Term Vision</w:t>
      </w:r>
    </w:p>
    <w:p>
      <w:pPr>
        <w:spacing w:after="140" w:line="276"/>
      </w:pPr>
      <w:r>
        <w:rPr>
          <w:rFonts w:ascii="Calibri" w:cs="Calibri" w:eastAsia="Calibri" w:hAnsi="Calibri"/>
          <w:i/>
          <w:iCs/>
          <w:color w:val="2B2B2B"/>
          <w:sz w:val="21"/>
          <w:szCs w:val="21"/>
        </w:rPr>
        <w:t xml:space="preserve">"What we built in 24 hours is the core AI engine. Our vision is to scale this MVP into a DevSecOps pipeline plugin and Enterprise PQC Migration Platform that helps Fortune 500 companies automatically upgrade their entire software infrastructure to NIST Post-Quantum standards before the 2030 deadline."</w:t>
      </w:r>
    </w:p>
    <w:p>
      <w:pPr>
        <w:pStyle w:val="Heading1"/>
        <w:pBdr>
          <w:bottom w:val="single" w:color="9A7B1F" w:sz="6" w:space="4"/>
        </w:pBdr>
        <w:spacing w:after="160" w:before="360"/>
      </w:pPr>
      <w:r>
        <w:rPr>
          <w:rFonts w:ascii="Cambria" w:cs="Cambria" w:eastAsia="Cambria" w:hAnsi="Cambria"/>
          <w:b/>
          <w:bCs/>
          <w:color w:val="1E2761"/>
          <w:sz w:val="30"/>
          <w:szCs w:val="30"/>
        </w:rPr>
        <w:t xml:space="preserve">13. Team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Name</w:t>
            </w:r>
          </w:p>
        </w:tc>
        <w:tc>
          <w:tcPr>
            <w:tcW w:type="dxa" w:w="4675"/>
            <w:shd w:fill="1E2761" w:val="clear"/>
            <w:tcMar>
              <w:top w:type="dxa" w:w="100"/>
              <w:left w:type="dxa" w:w="120"/>
              <w:bottom w:type="dxa" w:w="100"/>
              <w:right w:type="dxa" w:w="120"/>
            </w:tcMar>
          </w:tcPr>
          <w:p>
            <w:r>
              <w:rPr>
                <w:rFonts w:ascii="Calibri" w:cs="Calibri" w:eastAsia="Calibri" w:hAnsi="Calibri"/>
                <w:b/>
                <w:bCs/>
                <w:color w:val="FFFFFF"/>
                <w:sz w:val="19"/>
                <w:szCs w:val="19"/>
              </w:rPr>
              <w:t xml:space="preserve">Role</w:t>
            </w:r>
          </w:p>
        </w:tc>
      </w:tr>
      <w:tr>
        <w:tc>
          <w:tcPr>
            <w:tcW w:type="dxa" w:w="4675"/>
            <w:tcMar>
              <w:top w:type="dxa" w:w="100"/>
              <w:left w:type="dxa" w:w="120"/>
              <w:bottom w:type="dxa" w:w="100"/>
              <w:right w:type="dxa" w:w="120"/>
            </w:tcMar>
          </w:tcPr>
          <w:p>
            <w:r>
              <w:rPr>
                <w:rFonts w:ascii="Calibri" w:cs="Calibri" w:eastAsia="Calibri" w:hAnsi="Calibri"/>
                <w:b w:val="false"/>
                <w:bCs w:val="false"/>
                <w:color w:val="2B2B2B"/>
                <w:sz w:val="19"/>
                <w:szCs w:val="19"/>
              </w:rPr>
              <w:t xml:space="preserve">Shahyan Ahmed Kiani</w:t>
            </w:r>
          </w:p>
        </w:tc>
        <w:tc>
          <w:tcPr>
            <w:tcW w:type="dxa" w:w="4675"/>
            <w:tcMar>
              <w:top w:type="dxa" w:w="100"/>
              <w:left w:type="dxa" w:w="120"/>
              <w:bottom w:type="dxa" w:w="100"/>
              <w:right w:type="dxa" w:w="120"/>
            </w:tcMar>
          </w:tcPr>
          <w:p>
            <w:r>
              <w:rPr>
                <w:rFonts w:ascii="Calibri" w:cs="Calibri" w:eastAsia="Calibri" w:hAnsi="Calibri"/>
                <w:b w:val="false"/>
                <w:bCs w:val="false"/>
                <w:color w:val="2B2B2B"/>
                <w:sz w:val="19"/>
                <w:szCs w:val="19"/>
              </w:rPr>
              <w:t xml:space="preserve">Team Lead</w:t>
            </w:r>
          </w:p>
        </w:tc>
      </w:tr>
      <w:tr>
        <w:tc>
          <w:tcPr>
            <w:tcW w:type="dxa" w:w="4675"/>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Taimoor Arshad</w:t>
            </w:r>
          </w:p>
        </w:tc>
        <w:tc>
          <w:tcPr>
            <w:tcW w:type="dxa" w:w="4675"/>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Team Member</w:t>
            </w:r>
          </w:p>
        </w:tc>
      </w:tr>
      <w:tr>
        <w:tc>
          <w:tcPr>
            <w:tcW w:type="dxa" w:w="4675"/>
            <w:tcMar>
              <w:top w:type="dxa" w:w="100"/>
              <w:left w:type="dxa" w:w="120"/>
              <w:bottom w:type="dxa" w:w="100"/>
              <w:right w:type="dxa" w:w="120"/>
            </w:tcMar>
          </w:tcPr>
          <w:p>
            <w:r>
              <w:rPr>
                <w:rFonts w:ascii="Calibri" w:cs="Calibri" w:eastAsia="Calibri" w:hAnsi="Calibri"/>
                <w:b w:val="false"/>
                <w:bCs w:val="false"/>
                <w:color w:val="2B2B2B"/>
                <w:sz w:val="19"/>
                <w:szCs w:val="19"/>
              </w:rPr>
              <w:t xml:space="preserve">Muhammad Bilal</w:t>
            </w:r>
          </w:p>
        </w:tc>
        <w:tc>
          <w:tcPr>
            <w:tcW w:type="dxa" w:w="4675"/>
            <w:tcMar>
              <w:top w:type="dxa" w:w="100"/>
              <w:left w:type="dxa" w:w="120"/>
              <w:bottom w:type="dxa" w:w="100"/>
              <w:right w:type="dxa" w:w="120"/>
            </w:tcMar>
          </w:tcPr>
          <w:p>
            <w:r>
              <w:rPr>
                <w:rFonts w:ascii="Calibri" w:cs="Calibri" w:eastAsia="Calibri" w:hAnsi="Calibri"/>
                <w:b w:val="false"/>
                <w:bCs w:val="false"/>
                <w:color w:val="2B2B2B"/>
                <w:sz w:val="19"/>
                <w:szCs w:val="19"/>
              </w:rPr>
              <w:t xml:space="preserve">Team Member</w:t>
            </w:r>
          </w:p>
        </w:tc>
      </w:tr>
      <w:tr>
        <w:tc>
          <w:tcPr>
            <w:tcW w:type="dxa" w:w="4675"/>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Adeel Satti</w:t>
            </w:r>
          </w:p>
        </w:tc>
        <w:tc>
          <w:tcPr>
            <w:tcW w:type="dxa" w:w="4675"/>
            <w:shd w:fill="F2F2F2"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Team Member</w:t>
            </w:r>
          </w:p>
        </w:tc>
      </w:tr>
    </w:tbl>
    <w:p>
      <w:pPr>
        <w:spacing w:after="200" w:before="40"/>
      </w:pPr>
      <w:r>
        <w:rPr>
          <w:rFonts w:ascii="Calibri" w:cs="Calibri" w:eastAsia="Calibri" w:hAnsi="Calibri"/>
          <w:i/>
          <w:iCs/>
          <w:color w:val="5B5B5B"/>
          <w:sz w:val="17"/>
          <w:szCs w:val="17"/>
        </w:rPr>
        <w:t xml:space="preserve">Submitted to the GenAI Hackathon | Cohort 11 — organized by Pak Angels, with iCodeGuru as Technical Lead, in collaboration with Aspire Pakistan, HEC, NCEAC, and PEC.</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2026-09-13T14:57:57.451Z</dcterms:created>
  <dcterms:modified xsi:type="dcterms:W3CDTF">2026-09-13T14:57:57.462Z</dcterms:modified>
</cp:coreProperties>
</file>

<file path=docProps/custom.xml><?xml version="1.0" encoding="utf-8"?>
<Properties xmlns="http://schemas.openxmlformats.org/officeDocument/2006/custom-properties" xmlns:vt="http://schemas.openxmlformats.org/officeDocument/2006/docPropsVTypes"/>
</file>