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47F68" w:rsidRDefault="000E348D">
      <w:pPr>
        <w:pStyle w:val="Heading1"/>
      </w:pPr>
      <w:r>
        <w:rPr>
          <w:b/>
          <w:bCs/>
        </w:rPr>
        <w:t>AI Risks and Their Solutions (With External References)</w:t>
      </w:r>
    </w:p>
    <w:p w:rsidR="00947F68" w:rsidRDefault="000E348D">
      <w:r>
        <w:t>Artificial Intelligence (AI) has rapidly evolved into a transformative technology shaping global industry, governance, and daily life. However, the same capabilities that make AI powerful also introduce significant risks. To enable safe, reliable, and ethi</w:t>
      </w:r>
      <w:r>
        <w:t>cal AI deployment, it is crucial to assess these risks and apply appropriate mitigation strategies. The following note explores key categories of AI risks and outlines effective solutions, supported by external research and expert reports.</w:t>
      </w:r>
    </w:p>
    <w:p w:rsidR="00947F68" w:rsidRDefault="00947F68">
      <w:pPr>
        <w:pBdr>
          <w:top w:val="single" w:sz="12" w:space="0" w:color="auto"/>
        </w:pBdr>
        <w:spacing w:after="0"/>
      </w:pPr>
    </w:p>
    <w:p w:rsidR="00947F68" w:rsidRDefault="000E348D">
      <w:pPr>
        <w:pStyle w:val="Heading2"/>
      </w:pPr>
      <w:r>
        <w:rPr>
          <w:b/>
          <w:bCs/>
        </w:rPr>
        <w:t>1. Ethical Risk</w:t>
      </w:r>
      <w:r>
        <w:rPr>
          <w:b/>
          <w:bCs/>
        </w:rPr>
        <w:t>s: Bias and Discrimination</w:t>
      </w:r>
    </w:p>
    <w:p w:rsidR="00947F68" w:rsidRDefault="000E348D">
      <w:pPr>
        <w:pStyle w:val="Heading3"/>
      </w:pPr>
      <w:r>
        <w:rPr>
          <w:b/>
          <w:bCs/>
        </w:rPr>
        <w:t>Risk Overview</w:t>
      </w:r>
    </w:p>
    <w:p w:rsidR="00947F68" w:rsidRDefault="000E348D">
      <w:r>
        <w:t xml:space="preserve">AI models may inadvertently reproduce social biases present in the data used to train them. These biases can affect critical decisions, such as hiring, loan approvals, and medical assessments. The </w:t>
      </w:r>
      <w:r>
        <w:rPr>
          <w:b/>
          <w:bCs/>
        </w:rPr>
        <w:t>International AI S</w:t>
      </w:r>
      <w:r>
        <w:rPr>
          <w:b/>
          <w:bCs/>
        </w:rPr>
        <w:t>afety Report 2025</w:t>
      </w:r>
      <w:r>
        <w:t xml:space="preserve"> highlights algorithmic bias as a major concern associated with general‑purpose AI systems, emphasizing their potential to reinforce societal inequities. </w:t>
      </w:r>
      <w:r>
        <w:rPr>
          <w:rStyle w:val="FootnoteReference"/>
        </w:rPr>
        <w:footnoteReference w:id="1"/>
      </w:r>
    </w:p>
    <w:p w:rsidR="00947F68" w:rsidRDefault="000E348D">
      <w:r>
        <w:t xml:space="preserve">Similarly, the </w:t>
      </w:r>
      <w:r>
        <w:rPr>
          <w:b/>
          <w:bCs/>
        </w:rPr>
        <w:t>MIT AI Risk Repository</w:t>
      </w:r>
      <w:r>
        <w:t xml:space="preserve">, a comprehensive database of 1700+ AI risks, </w:t>
      </w:r>
      <w:r>
        <w:t xml:space="preserve">identifies “false or misleading information” and discriminatory outcomes as key recurring themes across multiple AI use‑cases. </w:t>
      </w:r>
      <w:r>
        <w:rPr>
          <w:rStyle w:val="FootnoteReference"/>
        </w:rPr>
        <w:footnoteReference w:id="2"/>
      </w:r>
    </w:p>
    <w:p w:rsidR="00947F68" w:rsidRDefault="000E348D">
      <w:pPr>
        <w:pStyle w:val="Heading3"/>
      </w:pPr>
      <w:r>
        <w:rPr>
          <w:b/>
          <w:bCs/>
        </w:rPr>
        <w:t>Solutions</w:t>
      </w:r>
    </w:p>
    <w:p w:rsidR="00947F68" w:rsidRDefault="000E348D">
      <w:pPr>
        <w:pStyle w:val="ListParagraph"/>
        <w:numPr>
          <w:ilvl w:val="0"/>
          <w:numId w:val="2"/>
        </w:numPr>
      </w:pPr>
      <w:r>
        <w:rPr>
          <w:b/>
          <w:bCs/>
        </w:rPr>
        <w:t>Use diverse and representative datasets</w:t>
      </w:r>
      <w:r>
        <w:t xml:space="preserve"> to reduce skewed outcomes.</w:t>
      </w:r>
    </w:p>
    <w:p w:rsidR="00947F68" w:rsidRDefault="000E348D">
      <w:pPr>
        <w:pStyle w:val="ListParagraph"/>
        <w:numPr>
          <w:ilvl w:val="0"/>
          <w:numId w:val="2"/>
        </w:numPr>
      </w:pPr>
      <w:r>
        <w:rPr>
          <w:b/>
          <w:bCs/>
        </w:rPr>
        <w:t>Conduct fairness audits and impact assessments</w:t>
      </w:r>
      <w:r>
        <w:t>, al</w:t>
      </w:r>
      <w:r>
        <w:t xml:space="preserve">igned with NIST’s AI Risk Management Framework, which promotes measurement science and risk‑based oversight. </w:t>
      </w:r>
      <w:r>
        <w:rPr>
          <w:rStyle w:val="FootnoteReference"/>
        </w:rPr>
        <w:footnoteReference w:id="3"/>
      </w:r>
    </w:p>
    <w:p w:rsidR="00947F68" w:rsidRDefault="000E348D">
      <w:pPr>
        <w:pStyle w:val="ListParagraph"/>
        <w:numPr>
          <w:ilvl w:val="0"/>
          <w:numId w:val="2"/>
        </w:numPr>
      </w:pPr>
      <w:r>
        <w:rPr>
          <w:b/>
          <w:bCs/>
        </w:rPr>
        <w:t>Adopt Explainable AI (XAI)</w:t>
      </w:r>
      <w:r>
        <w:t xml:space="preserve"> tools that make AI reasoning more transparent.</w:t>
      </w:r>
    </w:p>
    <w:p w:rsidR="00947F68" w:rsidRDefault="00947F68">
      <w:pPr>
        <w:pBdr>
          <w:top w:val="single" w:sz="12" w:space="0" w:color="auto"/>
        </w:pBdr>
        <w:spacing w:after="0"/>
      </w:pPr>
    </w:p>
    <w:p w:rsidR="00947F68" w:rsidRDefault="000E348D">
      <w:pPr>
        <w:pStyle w:val="Heading2"/>
      </w:pPr>
      <w:r>
        <w:rPr>
          <w:b/>
          <w:bCs/>
        </w:rPr>
        <w:lastRenderedPageBreak/>
        <w:t>2. Privacy and Security Risks</w:t>
      </w:r>
    </w:p>
    <w:p w:rsidR="00947F68" w:rsidRDefault="000E348D">
      <w:pPr>
        <w:pStyle w:val="Heading3"/>
      </w:pPr>
      <w:r>
        <w:rPr>
          <w:b/>
          <w:bCs/>
        </w:rPr>
        <w:t>Risk Overview</w:t>
      </w:r>
    </w:p>
    <w:p w:rsidR="00947F68" w:rsidRDefault="000E348D">
      <w:r>
        <w:t>AI systems often rely on l</w:t>
      </w:r>
      <w:r>
        <w:t xml:space="preserve">arge-scale data, increasing vulnerability to data breaches, model inversion, and adversarial manipulation. The </w:t>
      </w:r>
      <w:r>
        <w:rPr>
          <w:b/>
          <w:bCs/>
        </w:rPr>
        <w:t>International AI Safety Report</w:t>
      </w:r>
      <w:r>
        <w:t xml:space="preserve"> notes that advancing general-purpose AI increases exposure to privacy threats and data misuse. </w:t>
      </w:r>
      <w:r>
        <w:rPr>
          <w:rStyle w:val="FootnoteReference"/>
        </w:rPr>
        <w:footnoteReference w:id="4"/>
      </w:r>
    </w:p>
    <w:p w:rsidR="00947F68" w:rsidRDefault="000E348D">
      <w:r>
        <w:t>NIST further warn</w:t>
      </w:r>
      <w:r>
        <w:t xml:space="preserve">s of adversarial attacks, data poisoning, and model extraction, urging the adoption of robust standards and security testing methodologies. </w:t>
      </w:r>
      <w:r>
        <w:rPr>
          <w:rStyle w:val="FootnoteReference"/>
        </w:rPr>
        <w:footnoteReference w:id="5"/>
      </w:r>
    </w:p>
    <w:p w:rsidR="00947F68" w:rsidRDefault="000E348D">
      <w:pPr>
        <w:pStyle w:val="Heading3"/>
      </w:pPr>
      <w:r>
        <w:rPr>
          <w:b/>
          <w:bCs/>
        </w:rPr>
        <w:t>Solutions</w:t>
      </w:r>
    </w:p>
    <w:p w:rsidR="00947F68" w:rsidRDefault="000E348D">
      <w:pPr>
        <w:pStyle w:val="ListParagraph"/>
        <w:numPr>
          <w:ilvl w:val="0"/>
          <w:numId w:val="3"/>
        </w:numPr>
      </w:pPr>
      <w:r>
        <w:rPr>
          <w:b/>
          <w:bCs/>
        </w:rPr>
        <w:t>Implement strong data governance</w:t>
      </w:r>
      <w:r>
        <w:t xml:space="preserve">, including encryption, </w:t>
      </w:r>
      <w:proofErr w:type="spellStart"/>
      <w:r>
        <w:t>anonymization</w:t>
      </w:r>
      <w:proofErr w:type="spellEnd"/>
      <w:r>
        <w:t>, and access controls.</w:t>
      </w:r>
    </w:p>
    <w:p w:rsidR="00947F68" w:rsidRDefault="000E348D">
      <w:pPr>
        <w:pStyle w:val="ListParagraph"/>
        <w:numPr>
          <w:ilvl w:val="0"/>
          <w:numId w:val="3"/>
        </w:numPr>
      </w:pPr>
      <w:r>
        <w:rPr>
          <w:b/>
          <w:bCs/>
        </w:rPr>
        <w:t>Use privacy-</w:t>
      </w:r>
      <w:r>
        <w:rPr>
          <w:b/>
          <w:bCs/>
        </w:rPr>
        <w:t>preserving technologies</w:t>
      </w:r>
      <w:r>
        <w:t>, such as differential privacy and federated learning.</w:t>
      </w:r>
    </w:p>
    <w:p w:rsidR="00947F68" w:rsidRDefault="000E348D">
      <w:pPr>
        <w:pStyle w:val="ListParagraph"/>
        <w:numPr>
          <w:ilvl w:val="0"/>
          <w:numId w:val="3"/>
        </w:numPr>
      </w:pPr>
      <w:r>
        <w:rPr>
          <w:b/>
          <w:bCs/>
        </w:rPr>
        <w:t>Perform adversarial robustness evaluations</w:t>
      </w:r>
      <w:r>
        <w:t xml:space="preserve">, consistent with NIST’s guidance for secure AI deployment. </w:t>
      </w:r>
      <w:r>
        <w:rPr>
          <w:rStyle w:val="FootnoteReference"/>
        </w:rPr>
        <w:footnoteReference w:id="6"/>
      </w:r>
    </w:p>
    <w:p w:rsidR="00947F68" w:rsidRDefault="00947F68">
      <w:pPr>
        <w:pBdr>
          <w:top w:val="single" w:sz="12" w:space="0" w:color="auto"/>
        </w:pBdr>
        <w:spacing w:after="0"/>
      </w:pPr>
    </w:p>
    <w:p w:rsidR="00947F68" w:rsidRDefault="000E348D">
      <w:pPr>
        <w:pStyle w:val="Heading2"/>
      </w:pPr>
      <w:r>
        <w:rPr>
          <w:b/>
          <w:bCs/>
        </w:rPr>
        <w:t>3. Transparency &amp; Accountability Risks</w:t>
      </w:r>
    </w:p>
    <w:p w:rsidR="00947F68" w:rsidRDefault="000E348D">
      <w:pPr>
        <w:pStyle w:val="Heading3"/>
      </w:pPr>
      <w:r>
        <w:rPr>
          <w:b/>
          <w:bCs/>
        </w:rPr>
        <w:t>Risk Overview</w:t>
      </w:r>
    </w:p>
    <w:p w:rsidR="00947F68" w:rsidRDefault="000E348D">
      <w:r>
        <w:t>Many advanced AI mod</w:t>
      </w:r>
      <w:r>
        <w:t xml:space="preserve">els operate as “black boxes,” making it difficult to understand their internal decision-making mechanisms. The </w:t>
      </w:r>
      <w:r>
        <w:rPr>
          <w:b/>
          <w:bCs/>
        </w:rPr>
        <w:t>International AI Safety Report</w:t>
      </w:r>
      <w:r>
        <w:t xml:space="preserve"> identifies a lack of interpretability and transparency as major unresolved challenges in AI safety research. </w:t>
      </w:r>
      <w:r>
        <w:rPr>
          <w:rStyle w:val="FootnoteReference"/>
        </w:rPr>
        <w:footnoteReference w:id="7"/>
      </w:r>
    </w:p>
    <w:p w:rsidR="00947F68" w:rsidRDefault="000E348D">
      <w:r>
        <w:t xml:space="preserve">The </w:t>
      </w:r>
      <w:r>
        <w:rPr>
          <w:b/>
          <w:bCs/>
        </w:rPr>
        <w:t>MIT AI Risk Repository</w:t>
      </w:r>
      <w:r>
        <w:t xml:space="preserve"> also classifies opacity as a risk factor affecting governance, quality control, and public trust. </w:t>
      </w:r>
      <w:r>
        <w:rPr>
          <w:rStyle w:val="FootnoteReference"/>
        </w:rPr>
        <w:footnoteReference w:id="8"/>
      </w:r>
    </w:p>
    <w:p w:rsidR="00947F68" w:rsidRDefault="000E348D">
      <w:pPr>
        <w:pStyle w:val="Heading3"/>
      </w:pPr>
      <w:r>
        <w:rPr>
          <w:b/>
          <w:bCs/>
        </w:rPr>
        <w:t>Solutions</w:t>
      </w:r>
    </w:p>
    <w:p w:rsidR="00947F68" w:rsidRDefault="000E348D">
      <w:pPr>
        <w:pStyle w:val="ListParagraph"/>
        <w:numPr>
          <w:ilvl w:val="0"/>
          <w:numId w:val="4"/>
        </w:numPr>
      </w:pPr>
      <w:r>
        <w:rPr>
          <w:b/>
          <w:bCs/>
        </w:rPr>
        <w:t>Adopt Explainable AI frameworks</w:t>
      </w:r>
      <w:r>
        <w:t xml:space="preserve"> (e.g., SHAP, LIME).</w:t>
      </w:r>
    </w:p>
    <w:p w:rsidR="00947F68" w:rsidRDefault="000E348D">
      <w:pPr>
        <w:pStyle w:val="ListParagraph"/>
        <w:numPr>
          <w:ilvl w:val="0"/>
          <w:numId w:val="4"/>
        </w:numPr>
      </w:pPr>
      <w:r>
        <w:rPr>
          <w:b/>
          <w:bCs/>
        </w:rPr>
        <w:lastRenderedPageBreak/>
        <w:t>Use model cards, data sheets, and documentation</w:t>
      </w:r>
      <w:r>
        <w:t>, advocated across N</w:t>
      </w:r>
      <w:r>
        <w:t xml:space="preserve">IST’s risk-based governance tools. </w:t>
      </w:r>
      <w:r>
        <w:rPr>
          <w:rStyle w:val="FootnoteReference"/>
        </w:rPr>
        <w:footnoteReference w:id="9"/>
      </w:r>
    </w:p>
    <w:p w:rsidR="00947F68" w:rsidRDefault="000E348D">
      <w:pPr>
        <w:pStyle w:val="ListParagraph"/>
        <w:numPr>
          <w:ilvl w:val="0"/>
          <w:numId w:val="4"/>
        </w:numPr>
      </w:pPr>
      <w:r>
        <w:rPr>
          <w:b/>
          <w:bCs/>
        </w:rPr>
        <w:t>Establish clear accountability structures</w:t>
      </w:r>
      <w:r>
        <w:t>, defining roles in model development and deployment.</w:t>
      </w:r>
    </w:p>
    <w:p w:rsidR="00947F68" w:rsidRDefault="00947F68">
      <w:pPr>
        <w:pBdr>
          <w:top w:val="single" w:sz="12" w:space="0" w:color="auto"/>
        </w:pBdr>
        <w:spacing w:after="0"/>
      </w:pPr>
    </w:p>
    <w:p w:rsidR="00947F68" w:rsidRDefault="000E348D">
      <w:pPr>
        <w:pStyle w:val="Heading2"/>
      </w:pPr>
      <w:r>
        <w:rPr>
          <w:b/>
          <w:bCs/>
        </w:rPr>
        <w:t>4. Socio-economic Risks: Job Displacement &amp; Inequality</w:t>
      </w:r>
    </w:p>
    <w:p w:rsidR="00947F68" w:rsidRDefault="000E348D">
      <w:pPr>
        <w:pStyle w:val="Heading3"/>
      </w:pPr>
      <w:r>
        <w:rPr>
          <w:b/>
          <w:bCs/>
        </w:rPr>
        <w:t>Risk Overview</w:t>
      </w:r>
    </w:p>
    <w:p w:rsidR="00947F68" w:rsidRDefault="000E348D">
      <w:r>
        <w:t>AI’s rapid integration into industries may replace hum</w:t>
      </w:r>
      <w:r>
        <w:t xml:space="preserve">an labor, especially in repetitive or analytical roles. The </w:t>
      </w:r>
      <w:r>
        <w:rPr>
          <w:b/>
          <w:bCs/>
        </w:rPr>
        <w:t>Stanford AI Index 2025</w:t>
      </w:r>
      <w:r>
        <w:t xml:space="preserve"> reports that AI’s influence on the workforce is accelerating sharply, with increasing adoption across sectors and a measurable impact on productivity and skill requirements.</w:t>
      </w:r>
      <w:r>
        <w:t xml:space="preserve"> </w:t>
      </w:r>
      <w:r>
        <w:rPr>
          <w:rStyle w:val="FootnoteReference"/>
        </w:rPr>
        <w:footnoteReference w:id="10"/>
      </w:r>
    </w:p>
    <w:p w:rsidR="00947F68" w:rsidRDefault="000E348D">
      <w:r>
        <w:t xml:space="preserve">The </w:t>
      </w:r>
      <w:r>
        <w:rPr>
          <w:b/>
          <w:bCs/>
        </w:rPr>
        <w:t>International AI Safety Report 2025</w:t>
      </w:r>
      <w:r>
        <w:t xml:space="preserve"> also warns that unequal AI access may widen international and domestic socio-economic gaps. </w:t>
      </w:r>
      <w:r>
        <w:rPr>
          <w:rStyle w:val="FootnoteReference"/>
        </w:rPr>
        <w:footnoteReference w:id="11"/>
      </w:r>
    </w:p>
    <w:p w:rsidR="00947F68" w:rsidRDefault="000E348D">
      <w:pPr>
        <w:pStyle w:val="Heading3"/>
      </w:pPr>
      <w:r>
        <w:rPr>
          <w:b/>
          <w:bCs/>
        </w:rPr>
        <w:t>Solutions</w:t>
      </w:r>
    </w:p>
    <w:p w:rsidR="00947F68" w:rsidRDefault="000E348D">
      <w:pPr>
        <w:pStyle w:val="ListParagraph"/>
        <w:numPr>
          <w:ilvl w:val="0"/>
          <w:numId w:val="5"/>
        </w:numPr>
      </w:pPr>
      <w:r>
        <w:rPr>
          <w:b/>
          <w:bCs/>
        </w:rPr>
        <w:t xml:space="preserve">Provide reskilling and </w:t>
      </w:r>
      <w:proofErr w:type="spellStart"/>
      <w:r>
        <w:rPr>
          <w:b/>
          <w:bCs/>
        </w:rPr>
        <w:t>upskilling</w:t>
      </w:r>
      <w:proofErr w:type="spellEnd"/>
      <w:r>
        <w:rPr>
          <w:b/>
          <w:bCs/>
        </w:rPr>
        <w:t xml:space="preserve"> programs</w:t>
      </w:r>
      <w:r>
        <w:t xml:space="preserve"> to prepare workers for AI‑augmented roles.</w:t>
      </w:r>
    </w:p>
    <w:p w:rsidR="00947F68" w:rsidRDefault="000E348D">
      <w:pPr>
        <w:pStyle w:val="ListParagraph"/>
        <w:numPr>
          <w:ilvl w:val="0"/>
          <w:numId w:val="5"/>
        </w:numPr>
      </w:pPr>
      <w:r>
        <w:rPr>
          <w:b/>
          <w:bCs/>
        </w:rPr>
        <w:t>Implement responsible automation strategies</w:t>
      </w:r>
      <w:r>
        <w:t>, where AI supports rather than replaces human workers.</w:t>
      </w:r>
    </w:p>
    <w:p w:rsidR="00947F68" w:rsidRDefault="000E348D">
      <w:pPr>
        <w:pStyle w:val="ListParagraph"/>
        <w:numPr>
          <w:ilvl w:val="0"/>
          <w:numId w:val="5"/>
        </w:numPr>
      </w:pPr>
      <w:r>
        <w:rPr>
          <w:b/>
          <w:bCs/>
        </w:rPr>
        <w:t>Promote equitable AI policies</w:t>
      </w:r>
      <w:r>
        <w:t>, ensuring broad access to digital resources and training.</w:t>
      </w:r>
    </w:p>
    <w:p w:rsidR="00947F68" w:rsidRDefault="00947F68">
      <w:pPr>
        <w:pBdr>
          <w:top w:val="single" w:sz="12" w:space="0" w:color="auto"/>
        </w:pBdr>
        <w:spacing w:after="0"/>
      </w:pPr>
    </w:p>
    <w:p w:rsidR="00947F68" w:rsidRDefault="000E348D">
      <w:pPr>
        <w:pStyle w:val="Heading2"/>
      </w:pPr>
      <w:r>
        <w:rPr>
          <w:b/>
          <w:bCs/>
        </w:rPr>
        <w:t xml:space="preserve">5. AI Misuse: </w:t>
      </w:r>
      <w:proofErr w:type="spellStart"/>
      <w:r>
        <w:rPr>
          <w:b/>
          <w:bCs/>
        </w:rPr>
        <w:t>Deepfakes</w:t>
      </w:r>
      <w:proofErr w:type="spellEnd"/>
      <w:r>
        <w:rPr>
          <w:b/>
          <w:bCs/>
        </w:rPr>
        <w:t>, Misinformation &amp; Autonomous Weapons</w:t>
      </w:r>
    </w:p>
    <w:p w:rsidR="00947F68" w:rsidRDefault="000E348D">
      <w:pPr>
        <w:pStyle w:val="Heading3"/>
      </w:pPr>
      <w:r>
        <w:rPr>
          <w:b/>
          <w:bCs/>
        </w:rPr>
        <w:t>Risk Ov</w:t>
      </w:r>
      <w:r>
        <w:rPr>
          <w:b/>
          <w:bCs/>
        </w:rPr>
        <w:t>erview</w:t>
      </w:r>
    </w:p>
    <w:p w:rsidR="00947F68" w:rsidRDefault="000E348D">
      <w:r>
        <w:t xml:space="preserve">AI can be </w:t>
      </w:r>
      <w:proofErr w:type="spellStart"/>
      <w:r>
        <w:t>weaponized</w:t>
      </w:r>
      <w:proofErr w:type="spellEnd"/>
      <w:r>
        <w:t xml:space="preserve"> to produce </w:t>
      </w:r>
      <w:proofErr w:type="spellStart"/>
      <w:r>
        <w:t>deepfake</w:t>
      </w:r>
      <w:proofErr w:type="spellEnd"/>
      <w:r>
        <w:t xml:space="preserve"> videos, manipulate public opinion, execute </w:t>
      </w:r>
      <w:proofErr w:type="spellStart"/>
      <w:r>
        <w:t>cyberattacks</w:t>
      </w:r>
      <w:proofErr w:type="spellEnd"/>
      <w:r>
        <w:t xml:space="preserve">, or power autonomous weapons. The MIT AI Risk Repository highlights “false or misleading information” as a critical domain in AI risk classification. </w:t>
      </w:r>
      <w:r>
        <w:rPr>
          <w:rStyle w:val="FootnoteReference"/>
        </w:rPr>
        <w:footnoteReference w:id="12"/>
      </w:r>
    </w:p>
    <w:p w:rsidR="00947F68" w:rsidRDefault="000E348D">
      <w:r>
        <w:lastRenderedPageBreak/>
        <w:t xml:space="preserve">The </w:t>
      </w:r>
      <w:r>
        <w:rPr>
          <w:b/>
          <w:bCs/>
        </w:rPr>
        <w:t>Future of Life Institute’s AI Safety Index (2025)</w:t>
      </w:r>
      <w:r>
        <w:t xml:space="preserve"> notes that even leading AI companies demonstrate shortcomings in controlling misuse risks, particularly in safety testing and governance enforcement. </w:t>
      </w:r>
      <w:r>
        <w:rPr>
          <w:rStyle w:val="FootnoteReference"/>
        </w:rPr>
        <w:footnoteReference w:id="13"/>
      </w:r>
    </w:p>
    <w:p w:rsidR="00947F68" w:rsidRDefault="000E348D">
      <w:pPr>
        <w:pStyle w:val="Heading3"/>
      </w:pPr>
      <w:r>
        <w:rPr>
          <w:b/>
          <w:bCs/>
        </w:rPr>
        <w:t>Solutions</w:t>
      </w:r>
    </w:p>
    <w:p w:rsidR="00947F68" w:rsidRDefault="000E348D">
      <w:pPr>
        <w:pStyle w:val="ListParagraph"/>
        <w:numPr>
          <w:ilvl w:val="0"/>
          <w:numId w:val="6"/>
        </w:numPr>
      </w:pPr>
      <w:r>
        <w:rPr>
          <w:b/>
          <w:bCs/>
        </w:rPr>
        <w:t>Deploy AI‑generated content detection to</w:t>
      </w:r>
      <w:r>
        <w:rPr>
          <w:b/>
          <w:bCs/>
        </w:rPr>
        <w:t>ols</w:t>
      </w:r>
      <w:r>
        <w:t>, including watermarking and cryptographic provenance tracking.</w:t>
      </w:r>
    </w:p>
    <w:p w:rsidR="00947F68" w:rsidRDefault="000E348D">
      <w:pPr>
        <w:pStyle w:val="ListParagraph"/>
        <w:numPr>
          <w:ilvl w:val="0"/>
          <w:numId w:val="6"/>
        </w:numPr>
      </w:pPr>
      <w:r>
        <w:rPr>
          <w:b/>
          <w:bCs/>
        </w:rPr>
        <w:t>Regulate use of synthetic media</w:t>
      </w:r>
      <w:r>
        <w:t>, implementing legal safeguards for election integrity and public trust.</w:t>
      </w:r>
    </w:p>
    <w:p w:rsidR="00947F68" w:rsidRDefault="000E348D">
      <w:pPr>
        <w:pStyle w:val="ListParagraph"/>
        <w:numPr>
          <w:ilvl w:val="0"/>
          <w:numId w:val="6"/>
        </w:numPr>
      </w:pPr>
      <w:r>
        <w:rPr>
          <w:b/>
          <w:bCs/>
        </w:rPr>
        <w:t>Promote international treaties</w:t>
      </w:r>
      <w:r>
        <w:t xml:space="preserve"> restricting autonomous lethal weapons.</w:t>
      </w:r>
    </w:p>
    <w:p w:rsidR="00947F68" w:rsidRDefault="00947F68">
      <w:pPr>
        <w:pBdr>
          <w:top w:val="single" w:sz="12" w:space="0" w:color="auto"/>
        </w:pBdr>
        <w:spacing w:after="0"/>
      </w:pPr>
    </w:p>
    <w:p w:rsidR="00947F68" w:rsidRDefault="000E348D">
      <w:pPr>
        <w:pStyle w:val="Heading2"/>
      </w:pPr>
      <w:r>
        <w:rPr>
          <w:b/>
          <w:bCs/>
        </w:rPr>
        <w:t xml:space="preserve">6. Safety and </w:t>
      </w:r>
      <w:r>
        <w:rPr>
          <w:b/>
          <w:bCs/>
        </w:rPr>
        <w:t>Reliability Risks</w:t>
      </w:r>
    </w:p>
    <w:p w:rsidR="00947F68" w:rsidRDefault="000E348D">
      <w:pPr>
        <w:pStyle w:val="Heading3"/>
      </w:pPr>
      <w:r>
        <w:rPr>
          <w:b/>
          <w:bCs/>
        </w:rPr>
        <w:t>Risk Overview</w:t>
      </w:r>
    </w:p>
    <w:p w:rsidR="00947F68" w:rsidRDefault="000E348D">
      <w:r>
        <w:t xml:space="preserve">AI systems may behave unpredictably, especially when confronted with edge cases or unfamiliar scenarios. The </w:t>
      </w:r>
      <w:r>
        <w:rPr>
          <w:b/>
          <w:bCs/>
        </w:rPr>
        <w:t>International AI Safety Report 2025</w:t>
      </w:r>
      <w:r>
        <w:t xml:space="preserve"> identifies unintended behavior and misalignment as priority research challenges requiring stronger safety protocols. </w:t>
      </w:r>
      <w:r>
        <w:rPr>
          <w:rStyle w:val="FootnoteReference"/>
        </w:rPr>
        <w:footnoteReference w:id="14"/>
      </w:r>
    </w:p>
    <w:p w:rsidR="00947F68" w:rsidRDefault="000E348D">
      <w:r>
        <w:t xml:space="preserve">The </w:t>
      </w:r>
      <w:r>
        <w:rPr>
          <w:b/>
          <w:bCs/>
        </w:rPr>
        <w:t>AI Safety Index</w:t>
      </w:r>
      <w:r>
        <w:t xml:space="preserve"> emphasizes gaps in companies’ pre‑deployment safety testing and real‑time monitoring capabilities. </w:t>
      </w:r>
      <w:r>
        <w:rPr>
          <w:rStyle w:val="FootnoteReference"/>
        </w:rPr>
        <w:footnoteReference w:id="15"/>
      </w:r>
    </w:p>
    <w:p w:rsidR="00947F68" w:rsidRDefault="000E348D">
      <w:pPr>
        <w:pStyle w:val="Heading3"/>
      </w:pPr>
      <w:r>
        <w:rPr>
          <w:b/>
          <w:bCs/>
        </w:rPr>
        <w:t>Solutions</w:t>
      </w:r>
    </w:p>
    <w:p w:rsidR="00947F68" w:rsidRDefault="000E348D">
      <w:pPr>
        <w:pStyle w:val="ListParagraph"/>
        <w:numPr>
          <w:ilvl w:val="0"/>
          <w:numId w:val="7"/>
        </w:numPr>
      </w:pPr>
      <w:r>
        <w:rPr>
          <w:b/>
          <w:bCs/>
        </w:rPr>
        <w:t>Perfo</w:t>
      </w:r>
      <w:r>
        <w:rPr>
          <w:b/>
          <w:bCs/>
        </w:rPr>
        <w:t>rm rigorous pre‑deployment testing</w:t>
      </w:r>
      <w:r>
        <w:t>, including red‑teaming and stress-testing.</w:t>
      </w:r>
    </w:p>
    <w:p w:rsidR="00947F68" w:rsidRDefault="000E348D">
      <w:pPr>
        <w:pStyle w:val="ListParagraph"/>
        <w:numPr>
          <w:ilvl w:val="0"/>
          <w:numId w:val="7"/>
        </w:numPr>
      </w:pPr>
      <w:r>
        <w:rPr>
          <w:b/>
          <w:bCs/>
        </w:rPr>
        <w:t>Use continuous monitoring systems</w:t>
      </w:r>
      <w:r>
        <w:t xml:space="preserve"> to detect anomalies in real-world contexts.</w:t>
      </w:r>
    </w:p>
    <w:p w:rsidR="00947F68" w:rsidRDefault="000E348D">
      <w:pPr>
        <w:pStyle w:val="ListParagraph"/>
        <w:numPr>
          <w:ilvl w:val="0"/>
          <w:numId w:val="7"/>
        </w:numPr>
      </w:pPr>
      <w:r>
        <w:rPr>
          <w:b/>
          <w:bCs/>
        </w:rPr>
        <w:t>Implement safe‑fail and human‑override mechanisms</w:t>
      </w:r>
      <w:r>
        <w:t xml:space="preserve"> to maintain human control.</w:t>
      </w:r>
    </w:p>
    <w:p w:rsidR="00947F68" w:rsidRDefault="00947F68">
      <w:pPr>
        <w:pBdr>
          <w:top w:val="single" w:sz="12" w:space="0" w:color="auto"/>
        </w:pBdr>
        <w:spacing w:after="0"/>
      </w:pPr>
    </w:p>
    <w:p w:rsidR="00947F68" w:rsidRDefault="000E348D">
      <w:pPr>
        <w:pStyle w:val="Heading2"/>
      </w:pPr>
      <w:r>
        <w:rPr>
          <w:b/>
          <w:bCs/>
        </w:rPr>
        <w:lastRenderedPageBreak/>
        <w:t>7. Long-term Existenti</w:t>
      </w:r>
      <w:r>
        <w:rPr>
          <w:b/>
          <w:bCs/>
        </w:rPr>
        <w:t>al Risks</w:t>
      </w:r>
    </w:p>
    <w:p w:rsidR="00947F68" w:rsidRDefault="000E348D">
      <w:pPr>
        <w:pStyle w:val="Heading3"/>
      </w:pPr>
      <w:r>
        <w:rPr>
          <w:b/>
          <w:bCs/>
        </w:rPr>
        <w:t>Risk Overview</w:t>
      </w:r>
    </w:p>
    <w:p w:rsidR="00947F68" w:rsidRDefault="000E348D">
      <w:r>
        <w:t xml:space="preserve">Beyond immediate harms, advanced AI may pose long‑term existential threats if systems become highly autonomous or misaligned with human values. The </w:t>
      </w:r>
      <w:r>
        <w:rPr>
          <w:b/>
          <w:bCs/>
        </w:rPr>
        <w:t>International AI Safety Report</w:t>
      </w:r>
      <w:r>
        <w:t xml:space="preserve"> dedicates extensive analysis to these catastrophic ris</w:t>
      </w:r>
      <w:r>
        <w:t xml:space="preserve">ks, emphasizing the need for proactive global governance. </w:t>
      </w:r>
      <w:r>
        <w:rPr>
          <w:rStyle w:val="FootnoteReference"/>
        </w:rPr>
        <w:footnoteReference w:id="16"/>
      </w:r>
    </w:p>
    <w:p w:rsidR="00947F68" w:rsidRDefault="000E348D">
      <w:r>
        <w:t xml:space="preserve">NIST and the Future of Life Institute both highlight the necessity of long-term planning for advanced AI transitions. </w:t>
      </w:r>
      <w:r>
        <w:rPr>
          <w:rStyle w:val="FootnoteReference"/>
        </w:rPr>
        <w:footnoteReference w:id="17"/>
      </w:r>
      <w:r>
        <w:t xml:space="preserve"> </w:t>
      </w:r>
      <w:r>
        <w:rPr>
          <w:rStyle w:val="FootnoteReference"/>
        </w:rPr>
        <w:footnoteReference w:id="18"/>
      </w:r>
    </w:p>
    <w:p w:rsidR="00947F68" w:rsidRDefault="000E348D">
      <w:pPr>
        <w:pStyle w:val="Heading3"/>
      </w:pPr>
      <w:r>
        <w:rPr>
          <w:b/>
          <w:bCs/>
        </w:rPr>
        <w:t>Solutions</w:t>
      </w:r>
    </w:p>
    <w:p w:rsidR="00947F68" w:rsidRDefault="000E348D">
      <w:pPr>
        <w:pStyle w:val="ListParagraph"/>
        <w:numPr>
          <w:ilvl w:val="0"/>
          <w:numId w:val="8"/>
        </w:numPr>
      </w:pPr>
      <w:r>
        <w:rPr>
          <w:b/>
          <w:bCs/>
        </w:rPr>
        <w:t>Strengthen AI value‑alignment research</w:t>
      </w:r>
      <w:r>
        <w:t xml:space="preserve"> to ensure systems optimiz</w:t>
      </w:r>
      <w:r>
        <w:t>e for human well-being.</w:t>
      </w:r>
    </w:p>
    <w:p w:rsidR="00947F68" w:rsidRDefault="000E348D">
      <w:pPr>
        <w:pStyle w:val="ListParagraph"/>
        <w:numPr>
          <w:ilvl w:val="0"/>
          <w:numId w:val="8"/>
        </w:numPr>
      </w:pPr>
      <w:r>
        <w:rPr>
          <w:b/>
          <w:bCs/>
        </w:rPr>
        <w:t>Establish international governance frameworks</w:t>
      </w:r>
      <w:r>
        <w:t xml:space="preserve"> for high‑capability AI systems.</w:t>
      </w:r>
    </w:p>
    <w:p w:rsidR="00947F68" w:rsidRDefault="000E348D">
      <w:pPr>
        <w:pStyle w:val="ListParagraph"/>
        <w:numPr>
          <w:ilvl w:val="0"/>
          <w:numId w:val="8"/>
        </w:numPr>
      </w:pPr>
      <w:r>
        <w:rPr>
          <w:b/>
          <w:bCs/>
        </w:rPr>
        <w:t>Mandate transparency and auditing</w:t>
      </w:r>
      <w:r>
        <w:t xml:space="preserve"> for powerful general-purpose AI models.</w:t>
      </w:r>
    </w:p>
    <w:p w:rsidR="00947F68" w:rsidRDefault="00947F68">
      <w:pPr>
        <w:pBdr>
          <w:top w:val="single" w:sz="12" w:space="0" w:color="auto"/>
        </w:pBdr>
        <w:spacing w:after="0"/>
      </w:pPr>
    </w:p>
    <w:p w:rsidR="00947F68" w:rsidRDefault="000E348D">
      <w:pPr>
        <w:pStyle w:val="Heading1"/>
      </w:pPr>
      <w:r>
        <w:rPr>
          <w:b/>
          <w:bCs/>
        </w:rPr>
        <w:t>Conclusion</w:t>
      </w:r>
    </w:p>
    <w:p w:rsidR="00947F68" w:rsidRDefault="000E348D">
      <w:r>
        <w:t>AI poses ethical, technical, economic, and existential risks that re</w:t>
      </w:r>
      <w:r>
        <w:t xml:space="preserve">quire coordinated action from governments, researchers, industry leaders, and civil society. External reports—such as the </w:t>
      </w:r>
      <w:r>
        <w:rPr>
          <w:b/>
          <w:bCs/>
        </w:rPr>
        <w:t>International AI Safety Report</w:t>
      </w:r>
      <w:r>
        <w:t xml:space="preserve">, </w:t>
      </w:r>
      <w:r>
        <w:rPr>
          <w:b/>
          <w:bCs/>
        </w:rPr>
        <w:t>NIST AI governance guidelines</w:t>
      </w:r>
      <w:r>
        <w:t xml:space="preserve">, </w:t>
      </w:r>
      <w:r>
        <w:rPr>
          <w:b/>
          <w:bCs/>
        </w:rPr>
        <w:t>MIT’s AI Risk Repository</w:t>
      </w:r>
      <w:r>
        <w:t xml:space="preserve">, and the </w:t>
      </w:r>
      <w:r>
        <w:rPr>
          <w:b/>
          <w:bCs/>
        </w:rPr>
        <w:t>Future of Life Institute'</w:t>
      </w:r>
      <w:r>
        <w:rPr>
          <w:b/>
          <w:bCs/>
        </w:rPr>
        <w:t>s Safety Index</w:t>
      </w:r>
      <w:r>
        <w:t>—provide strong foundations for building safer AI systems. By prioritizing fairness, transparency, robust security, and long-term governance, we can ensure AI remains aligned with human values while maximizing its benefits.</w:t>
      </w:r>
      <w:bookmarkStart w:id="0" w:name="_GoBack"/>
      <w:bookmarkEnd w:id="0"/>
    </w:p>
    <w:sectPr w:rsidR="00947F6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E348D" w:rsidRDefault="000E348D">
      <w:pPr>
        <w:spacing w:after="0" w:line="240" w:lineRule="auto"/>
      </w:pPr>
      <w:r>
        <w:separator/>
      </w:r>
    </w:p>
  </w:endnote>
  <w:endnote w:type="continuationSeparator" w:id="0">
    <w:p w:rsidR="000E348D" w:rsidRDefault="000E3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E348D" w:rsidRDefault="000E348D">
      <w:pPr>
        <w:spacing w:after="0" w:line="240" w:lineRule="auto"/>
      </w:pPr>
      <w:r>
        <w:separator/>
      </w:r>
    </w:p>
  </w:footnote>
  <w:footnote w:type="continuationSeparator" w:id="0">
    <w:p w:rsidR="000E348D" w:rsidRDefault="000E348D">
      <w:pPr>
        <w:spacing w:after="0" w:line="240" w:lineRule="auto"/>
      </w:pPr>
      <w:r>
        <w:continuationSeparator/>
      </w:r>
    </w:p>
  </w:footnote>
  <w:footnote w:id="1">
    <w:p w:rsidR="00947F68" w:rsidRDefault="000E348D">
      <w:r>
        <w:rPr>
          <w:rStyle w:val="FootnoteReference"/>
        </w:rPr>
        <w:footnoteRef/>
      </w:r>
      <w:hyperlink r:id="rId1" w:history="1">
        <w:r>
          <w:rPr>
            <w:rStyle w:val="Hyperlink"/>
          </w:rPr>
          <w:t>https://internationalaisafetyreport.org/</w:t>
        </w:r>
        <w:r>
          <w:rPr>
            <w:rStyle w:val="Hyperlink"/>
          </w:rPr>
          <w:t>publication/international-ai-safety-report-2025</w:t>
        </w:r>
      </w:hyperlink>
    </w:p>
  </w:footnote>
  <w:footnote w:id="2">
    <w:p w:rsidR="00947F68" w:rsidRDefault="000E348D">
      <w:r>
        <w:rPr>
          <w:rStyle w:val="FootnoteReference"/>
        </w:rPr>
        <w:footnoteRef/>
      </w:r>
      <w:hyperlink r:id="rId2" w:history="1">
        <w:r>
          <w:rPr>
            <w:rStyle w:val="Hyperlink"/>
          </w:rPr>
          <w:t>https://airisk.mit.edu/</w:t>
        </w:r>
      </w:hyperlink>
    </w:p>
  </w:footnote>
  <w:footnote w:id="3">
    <w:p w:rsidR="00947F68" w:rsidRDefault="000E348D">
      <w:r>
        <w:rPr>
          <w:rStyle w:val="FootnoteReference"/>
        </w:rPr>
        <w:footnoteRef/>
      </w:r>
      <w:hyperlink r:id="rId3" w:history="1">
        <w:r>
          <w:rPr>
            <w:rStyle w:val="Hyperlink"/>
          </w:rPr>
          <w:t>https://www.nist.gov/artificial-intelligence</w:t>
        </w:r>
      </w:hyperlink>
    </w:p>
  </w:footnote>
  <w:footnote w:id="4">
    <w:p w:rsidR="00947F68" w:rsidRDefault="000E348D">
      <w:r>
        <w:rPr>
          <w:rStyle w:val="FootnoteReference"/>
        </w:rPr>
        <w:footnoteRef/>
      </w:r>
      <w:hyperlink r:id="rId4" w:history="1">
        <w:r>
          <w:rPr>
            <w:rStyle w:val="Hyperlink"/>
          </w:rPr>
          <w:t>https://internationalaisafetyreport.org/publication/international-ai-safety-report-2025</w:t>
        </w:r>
      </w:hyperlink>
    </w:p>
  </w:footnote>
  <w:footnote w:id="5">
    <w:p w:rsidR="00947F68" w:rsidRDefault="000E348D">
      <w:r>
        <w:rPr>
          <w:rStyle w:val="FootnoteReference"/>
        </w:rPr>
        <w:footnoteRef/>
      </w:r>
      <w:hyperlink r:id="rId5" w:history="1">
        <w:r>
          <w:rPr>
            <w:rStyle w:val="Hyperlink"/>
          </w:rPr>
          <w:t>https://www.nist.gov/artificial-intelligence</w:t>
        </w:r>
      </w:hyperlink>
    </w:p>
  </w:footnote>
  <w:footnote w:id="6">
    <w:p w:rsidR="00947F68" w:rsidRDefault="000E348D">
      <w:r>
        <w:rPr>
          <w:rStyle w:val="FootnoteReference"/>
        </w:rPr>
        <w:footnoteRef/>
      </w:r>
      <w:hyperlink r:id="rId6" w:history="1">
        <w:r>
          <w:rPr>
            <w:rStyle w:val="Hyperlink"/>
          </w:rPr>
          <w:t>https://www.nist.gov/artificial-intelligence</w:t>
        </w:r>
      </w:hyperlink>
    </w:p>
  </w:footnote>
  <w:footnote w:id="7">
    <w:p w:rsidR="00947F68" w:rsidRDefault="000E348D">
      <w:r>
        <w:rPr>
          <w:rStyle w:val="FootnoteReference"/>
        </w:rPr>
        <w:footnoteRef/>
      </w:r>
      <w:hyperlink r:id="rId7" w:history="1">
        <w:r>
          <w:rPr>
            <w:rStyle w:val="Hyperlink"/>
          </w:rPr>
          <w:t>https://internationalaisafetyreport.org/publication/international-ai-safety-report-2025</w:t>
        </w:r>
      </w:hyperlink>
    </w:p>
  </w:footnote>
  <w:footnote w:id="8">
    <w:p w:rsidR="00947F68" w:rsidRDefault="000E348D">
      <w:r>
        <w:rPr>
          <w:rStyle w:val="FootnoteReference"/>
        </w:rPr>
        <w:footnoteRef/>
      </w:r>
      <w:hyperlink r:id="rId8" w:history="1">
        <w:r>
          <w:rPr>
            <w:rStyle w:val="Hyperlink"/>
          </w:rPr>
          <w:t>https://airisk.mit.edu/</w:t>
        </w:r>
      </w:hyperlink>
    </w:p>
  </w:footnote>
  <w:footnote w:id="9">
    <w:p w:rsidR="00947F68" w:rsidRDefault="000E348D">
      <w:r>
        <w:rPr>
          <w:rStyle w:val="FootnoteReference"/>
        </w:rPr>
        <w:footnoteRef/>
      </w:r>
      <w:hyperlink r:id="rId9" w:history="1">
        <w:r>
          <w:rPr>
            <w:rStyle w:val="Hyperlink"/>
          </w:rPr>
          <w:t>https://www.nist.gov/artificial-intellig</w:t>
        </w:r>
        <w:r>
          <w:rPr>
            <w:rStyle w:val="Hyperlink"/>
          </w:rPr>
          <w:t>ence</w:t>
        </w:r>
      </w:hyperlink>
    </w:p>
  </w:footnote>
  <w:footnote w:id="10">
    <w:p w:rsidR="00947F68" w:rsidRDefault="000E348D">
      <w:r>
        <w:rPr>
          <w:rStyle w:val="FootnoteReference"/>
        </w:rPr>
        <w:footnoteRef/>
      </w:r>
      <w:hyperlink r:id="rId10" w:history="1">
        <w:r>
          <w:rPr>
            <w:rStyle w:val="Hyperlink"/>
          </w:rPr>
          <w:t>https://hai.stanford.edu/ai-index/2025-ai-index-report</w:t>
        </w:r>
      </w:hyperlink>
    </w:p>
  </w:footnote>
  <w:footnote w:id="11">
    <w:p w:rsidR="00947F68" w:rsidRDefault="000E348D">
      <w:r>
        <w:rPr>
          <w:rStyle w:val="FootnoteReference"/>
        </w:rPr>
        <w:footnoteRef/>
      </w:r>
      <w:hyperlink r:id="rId11" w:history="1">
        <w:r>
          <w:rPr>
            <w:rStyle w:val="Hyperlink"/>
          </w:rPr>
          <w:t>https://internation</w:t>
        </w:r>
        <w:r>
          <w:rPr>
            <w:rStyle w:val="Hyperlink"/>
          </w:rPr>
          <w:t>alaisafetyreport.org/publication/international-ai-safety-report-2025</w:t>
        </w:r>
      </w:hyperlink>
    </w:p>
  </w:footnote>
  <w:footnote w:id="12">
    <w:p w:rsidR="00947F68" w:rsidRDefault="000E348D">
      <w:r>
        <w:rPr>
          <w:rStyle w:val="FootnoteReference"/>
        </w:rPr>
        <w:footnoteRef/>
      </w:r>
      <w:hyperlink r:id="rId12" w:history="1">
        <w:r>
          <w:rPr>
            <w:rStyle w:val="Hyperlink"/>
          </w:rPr>
          <w:t>https://airisk.mit.edu/</w:t>
        </w:r>
      </w:hyperlink>
    </w:p>
  </w:footnote>
  <w:footnote w:id="13">
    <w:p w:rsidR="00947F68" w:rsidRDefault="000E348D">
      <w:r>
        <w:rPr>
          <w:rStyle w:val="FootnoteReference"/>
        </w:rPr>
        <w:footnoteRef/>
      </w:r>
      <w:hyperlink r:id="rId13" w:history="1">
        <w:r>
          <w:rPr>
            <w:rStyle w:val="Hyperlink"/>
          </w:rPr>
          <w:t>https://futureoflife.org/wp-content/uploads/2025/12/AI-Safety-Index-Report_131225_Full_Report_Digital.pdf</w:t>
        </w:r>
      </w:hyperlink>
    </w:p>
  </w:footnote>
  <w:footnote w:id="14">
    <w:p w:rsidR="00947F68" w:rsidRDefault="000E348D">
      <w:r>
        <w:rPr>
          <w:rStyle w:val="FootnoteReference"/>
        </w:rPr>
        <w:footnoteRef/>
      </w:r>
      <w:hyperlink r:id="rId14" w:history="1">
        <w:r>
          <w:rPr>
            <w:rStyle w:val="Hyperlink"/>
          </w:rPr>
          <w:t>https://internationalaisafetyreport.org/publ</w:t>
        </w:r>
        <w:r>
          <w:rPr>
            <w:rStyle w:val="Hyperlink"/>
          </w:rPr>
          <w:t>ication/international-ai-safety-report-2025</w:t>
        </w:r>
      </w:hyperlink>
    </w:p>
  </w:footnote>
  <w:footnote w:id="15">
    <w:p w:rsidR="00947F68" w:rsidRDefault="000E348D">
      <w:r>
        <w:rPr>
          <w:rStyle w:val="FootnoteReference"/>
        </w:rPr>
        <w:footnoteRef/>
      </w:r>
      <w:hyperlink r:id="rId15" w:history="1">
        <w:r>
          <w:rPr>
            <w:rStyle w:val="Hyperlink"/>
          </w:rPr>
          <w:t>https://futureoflife.org/wp-content/uploads/2025/12/AI-Safety-Index-Report_131225_Full_Report_Digital.pdf</w:t>
        </w:r>
      </w:hyperlink>
    </w:p>
  </w:footnote>
  <w:footnote w:id="16">
    <w:p w:rsidR="00947F68" w:rsidRDefault="000E348D">
      <w:r>
        <w:rPr>
          <w:rStyle w:val="FootnoteReference"/>
        </w:rPr>
        <w:footnoteRef/>
      </w:r>
      <w:hyperlink r:id="rId16" w:history="1">
        <w:r>
          <w:rPr>
            <w:rStyle w:val="Hyperlink"/>
          </w:rPr>
          <w:t>https://internationalaisafetyreport.org/publi</w:t>
        </w:r>
        <w:r>
          <w:rPr>
            <w:rStyle w:val="Hyperlink"/>
          </w:rPr>
          <w:t>cation/international-ai-safety-report-2025</w:t>
        </w:r>
      </w:hyperlink>
    </w:p>
  </w:footnote>
  <w:footnote w:id="17">
    <w:p w:rsidR="00947F68" w:rsidRDefault="000E348D">
      <w:r>
        <w:rPr>
          <w:rStyle w:val="FootnoteReference"/>
        </w:rPr>
        <w:footnoteRef/>
      </w:r>
      <w:hyperlink r:id="rId17" w:history="1">
        <w:r>
          <w:rPr>
            <w:rStyle w:val="Hyperlink"/>
          </w:rPr>
          <w:t>https://www.nist.gov/artificial-intelligence</w:t>
        </w:r>
      </w:hyperlink>
    </w:p>
  </w:footnote>
  <w:footnote w:id="18">
    <w:p w:rsidR="00947F68" w:rsidRDefault="000E348D">
      <w:r>
        <w:rPr>
          <w:rStyle w:val="FootnoteReference"/>
        </w:rPr>
        <w:footnoteRef/>
      </w:r>
      <w:hyperlink r:id="rId18" w:history="1">
        <w:r>
          <w:rPr>
            <w:rStyle w:val="Hyperlink"/>
          </w:rPr>
          <w:t>https://futureoflife.org/wp-content/uploads/2025/12/AI-Safety-Index-Report_131225_Full_Report_Digital.pdf</w:t>
        </w:r>
      </w:hyperlink>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520EC8"/>
    <w:multiLevelType w:val="hybridMultilevel"/>
    <w:tmpl w:val="A6020EB0"/>
    <w:lvl w:ilvl="0" w:tplc="DBE2318E">
      <w:start w:val="1"/>
      <w:numFmt w:val="bullet"/>
      <w:lvlText w:val=""/>
      <w:lvlJc w:val="left"/>
      <w:pPr>
        <w:ind w:left="720" w:hanging="360"/>
      </w:pPr>
      <w:rPr>
        <w:rFonts w:ascii="Symbol" w:eastAsia="Symbol" w:hAnsi="Symbol" w:cs="Symbol"/>
      </w:rPr>
    </w:lvl>
    <w:lvl w:ilvl="1" w:tplc="874E5BFA">
      <w:start w:val="1"/>
      <w:numFmt w:val="bullet"/>
      <w:lvlText w:val="o"/>
      <w:lvlJc w:val="left"/>
      <w:pPr>
        <w:ind w:left="1440" w:hanging="360"/>
      </w:pPr>
      <w:rPr>
        <w:rFonts w:ascii="Courier New" w:eastAsia="Courier New" w:hAnsi="Courier New" w:cs="Courier New"/>
      </w:rPr>
    </w:lvl>
    <w:lvl w:ilvl="2" w:tplc="1966CCAE">
      <w:start w:val="1"/>
      <w:numFmt w:val="bullet"/>
      <w:lvlText w:val=""/>
      <w:lvlJc w:val="left"/>
      <w:pPr>
        <w:ind w:left="2160" w:hanging="360"/>
      </w:pPr>
      <w:rPr>
        <w:rFonts w:ascii="Wingdings" w:eastAsia="Wingdings" w:hAnsi="Wingdings" w:cs="Wingdings"/>
      </w:rPr>
    </w:lvl>
    <w:lvl w:ilvl="3" w:tplc="DCC65250">
      <w:start w:val="1"/>
      <w:numFmt w:val="bullet"/>
      <w:lvlText w:val=""/>
      <w:lvlJc w:val="left"/>
      <w:pPr>
        <w:ind w:left="2880" w:hanging="360"/>
      </w:pPr>
      <w:rPr>
        <w:rFonts w:ascii="Symbol" w:eastAsia="Symbol" w:hAnsi="Symbol" w:cs="Symbol"/>
      </w:rPr>
    </w:lvl>
    <w:lvl w:ilvl="4" w:tplc="457C0706">
      <w:start w:val="1"/>
      <w:numFmt w:val="bullet"/>
      <w:lvlText w:val="o"/>
      <w:lvlJc w:val="left"/>
      <w:pPr>
        <w:ind w:left="3600" w:hanging="360"/>
      </w:pPr>
      <w:rPr>
        <w:rFonts w:ascii="Courier New" w:eastAsia="Courier New" w:hAnsi="Courier New" w:cs="Courier New"/>
      </w:rPr>
    </w:lvl>
    <w:lvl w:ilvl="5" w:tplc="AFB2B214">
      <w:start w:val="1"/>
      <w:numFmt w:val="bullet"/>
      <w:lvlText w:val=""/>
      <w:lvlJc w:val="left"/>
      <w:pPr>
        <w:ind w:left="4320" w:hanging="360"/>
      </w:pPr>
      <w:rPr>
        <w:rFonts w:ascii="Wingdings" w:eastAsia="Wingdings" w:hAnsi="Wingdings" w:cs="Wingdings"/>
      </w:rPr>
    </w:lvl>
    <w:lvl w:ilvl="6" w:tplc="34749A28">
      <w:start w:val="1"/>
      <w:numFmt w:val="bullet"/>
      <w:lvlText w:val=""/>
      <w:lvlJc w:val="left"/>
      <w:pPr>
        <w:ind w:left="5040" w:hanging="360"/>
      </w:pPr>
      <w:rPr>
        <w:rFonts w:ascii="Symbol" w:eastAsia="Symbol" w:hAnsi="Symbol" w:cs="Symbol"/>
      </w:rPr>
    </w:lvl>
    <w:lvl w:ilvl="7" w:tplc="5692944E">
      <w:start w:val="1"/>
      <w:numFmt w:val="bullet"/>
      <w:lvlText w:val="o"/>
      <w:lvlJc w:val="left"/>
      <w:pPr>
        <w:ind w:left="5760" w:hanging="360"/>
      </w:pPr>
      <w:rPr>
        <w:rFonts w:ascii="Courier New" w:eastAsia="Courier New" w:hAnsi="Courier New" w:cs="Courier New"/>
      </w:rPr>
    </w:lvl>
    <w:lvl w:ilvl="8" w:tplc="E2CA0C3E">
      <w:start w:val="1"/>
      <w:numFmt w:val="bullet"/>
      <w:lvlText w:val=""/>
      <w:lvlJc w:val="left"/>
      <w:pPr>
        <w:ind w:left="6480" w:hanging="360"/>
      </w:pPr>
      <w:rPr>
        <w:rFonts w:ascii="Wingdings" w:eastAsia="Wingdings" w:hAnsi="Wingdings" w:cs="Wingdings"/>
      </w:rPr>
    </w:lvl>
  </w:abstractNum>
  <w:abstractNum w:abstractNumId="1">
    <w:nsid w:val="15B212CD"/>
    <w:multiLevelType w:val="hybridMultilevel"/>
    <w:tmpl w:val="E4A4EE80"/>
    <w:lvl w:ilvl="0" w:tplc="4B6CD67A">
      <w:start w:val="1"/>
      <w:numFmt w:val="bullet"/>
      <w:lvlText w:val=""/>
      <w:lvlJc w:val="left"/>
      <w:pPr>
        <w:ind w:left="720" w:hanging="360"/>
      </w:pPr>
      <w:rPr>
        <w:rFonts w:ascii="Symbol" w:eastAsia="Symbol" w:hAnsi="Symbol" w:cs="Symbol"/>
      </w:rPr>
    </w:lvl>
    <w:lvl w:ilvl="1" w:tplc="807449AE">
      <w:start w:val="1"/>
      <w:numFmt w:val="bullet"/>
      <w:lvlText w:val="o"/>
      <w:lvlJc w:val="left"/>
      <w:pPr>
        <w:ind w:left="1440" w:hanging="360"/>
      </w:pPr>
      <w:rPr>
        <w:rFonts w:ascii="Courier New" w:eastAsia="Courier New" w:hAnsi="Courier New" w:cs="Courier New"/>
      </w:rPr>
    </w:lvl>
    <w:lvl w:ilvl="2" w:tplc="273A5FFC">
      <w:start w:val="1"/>
      <w:numFmt w:val="bullet"/>
      <w:lvlText w:val=""/>
      <w:lvlJc w:val="left"/>
      <w:pPr>
        <w:ind w:left="2160" w:hanging="360"/>
      </w:pPr>
      <w:rPr>
        <w:rFonts w:ascii="Wingdings" w:eastAsia="Wingdings" w:hAnsi="Wingdings" w:cs="Wingdings"/>
      </w:rPr>
    </w:lvl>
    <w:lvl w:ilvl="3" w:tplc="9DFEAB62">
      <w:start w:val="1"/>
      <w:numFmt w:val="bullet"/>
      <w:lvlText w:val=""/>
      <w:lvlJc w:val="left"/>
      <w:pPr>
        <w:ind w:left="2880" w:hanging="360"/>
      </w:pPr>
      <w:rPr>
        <w:rFonts w:ascii="Symbol" w:eastAsia="Symbol" w:hAnsi="Symbol" w:cs="Symbol"/>
      </w:rPr>
    </w:lvl>
    <w:lvl w:ilvl="4" w:tplc="4772682E">
      <w:start w:val="1"/>
      <w:numFmt w:val="bullet"/>
      <w:lvlText w:val="o"/>
      <w:lvlJc w:val="left"/>
      <w:pPr>
        <w:ind w:left="3600" w:hanging="360"/>
      </w:pPr>
      <w:rPr>
        <w:rFonts w:ascii="Courier New" w:eastAsia="Courier New" w:hAnsi="Courier New" w:cs="Courier New"/>
      </w:rPr>
    </w:lvl>
    <w:lvl w:ilvl="5" w:tplc="409E43FE">
      <w:start w:val="1"/>
      <w:numFmt w:val="bullet"/>
      <w:lvlText w:val=""/>
      <w:lvlJc w:val="left"/>
      <w:pPr>
        <w:ind w:left="4320" w:hanging="360"/>
      </w:pPr>
      <w:rPr>
        <w:rFonts w:ascii="Wingdings" w:eastAsia="Wingdings" w:hAnsi="Wingdings" w:cs="Wingdings"/>
      </w:rPr>
    </w:lvl>
    <w:lvl w:ilvl="6" w:tplc="FBD00968">
      <w:start w:val="1"/>
      <w:numFmt w:val="bullet"/>
      <w:lvlText w:val=""/>
      <w:lvlJc w:val="left"/>
      <w:pPr>
        <w:ind w:left="5040" w:hanging="360"/>
      </w:pPr>
      <w:rPr>
        <w:rFonts w:ascii="Symbol" w:eastAsia="Symbol" w:hAnsi="Symbol" w:cs="Symbol"/>
      </w:rPr>
    </w:lvl>
    <w:lvl w:ilvl="7" w:tplc="1F7C2366">
      <w:start w:val="1"/>
      <w:numFmt w:val="bullet"/>
      <w:lvlText w:val="o"/>
      <w:lvlJc w:val="left"/>
      <w:pPr>
        <w:ind w:left="5760" w:hanging="360"/>
      </w:pPr>
      <w:rPr>
        <w:rFonts w:ascii="Courier New" w:eastAsia="Courier New" w:hAnsi="Courier New" w:cs="Courier New"/>
      </w:rPr>
    </w:lvl>
    <w:lvl w:ilvl="8" w:tplc="82D6AC76">
      <w:start w:val="1"/>
      <w:numFmt w:val="bullet"/>
      <w:lvlText w:val=""/>
      <w:lvlJc w:val="left"/>
      <w:pPr>
        <w:ind w:left="6480" w:hanging="360"/>
      </w:pPr>
      <w:rPr>
        <w:rFonts w:ascii="Wingdings" w:eastAsia="Wingdings" w:hAnsi="Wingdings" w:cs="Wingdings"/>
      </w:rPr>
    </w:lvl>
  </w:abstractNum>
  <w:abstractNum w:abstractNumId="2">
    <w:nsid w:val="179D1E10"/>
    <w:multiLevelType w:val="hybridMultilevel"/>
    <w:tmpl w:val="0E868198"/>
    <w:lvl w:ilvl="0" w:tplc="11847CD2">
      <w:start w:val="1"/>
      <w:numFmt w:val="bullet"/>
      <w:lvlText w:val=""/>
      <w:lvlJc w:val="left"/>
      <w:pPr>
        <w:ind w:left="720" w:hanging="360"/>
      </w:pPr>
      <w:rPr>
        <w:rFonts w:ascii="Symbol" w:eastAsia="Symbol" w:hAnsi="Symbol" w:cs="Symbol"/>
      </w:rPr>
    </w:lvl>
    <w:lvl w:ilvl="1" w:tplc="E9AE809C">
      <w:start w:val="1"/>
      <w:numFmt w:val="bullet"/>
      <w:lvlText w:val="o"/>
      <w:lvlJc w:val="left"/>
      <w:pPr>
        <w:ind w:left="1440" w:hanging="360"/>
      </w:pPr>
      <w:rPr>
        <w:rFonts w:ascii="Courier New" w:eastAsia="Courier New" w:hAnsi="Courier New" w:cs="Courier New"/>
      </w:rPr>
    </w:lvl>
    <w:lvl w:ilvl="2" w:tplc="468019A2">
      <w:start w:val="1"/>
      <w:numFmt w:val="bullet"/>
      <w:lvlText w:val=""/>
      <w:lvlJc w:val="left"/>
      <w:pPr>
        <w:ind w:left="2160" w:hanging="360"/>
      </w:pPr>
      <w:rPr>
        <w:rFonts w:ascii="Wingdings" w:eastAsia="Wingdings" w:hAnsi="Wingdings" w:cs="Wingdings"/>
      </w:rPr>
    </w:lvl>
    <w:lvl w:ilvl="3" w:tplc="B15EFB92">
      <w:start w:val="1"/>
      <w:numFmt w:val="bullet"/>
      <w:lvlText w:val=""/>
      <w:lvlJc w:val="left"/>
      <w:pPr>
        <w:ind w:left="2880" w:hanging="360"/>
      </w:pPr>
      <w:rPr>
        <w:rFonts w:ascii="Symbol" w:eastAsia="Symbol" w:hAnsi="Symbol" w:cs="Symbol"/>
      </w:rPr>
    </w:lvl>
    <w:lvl w:ilvl="4" w:tplc="B35EBD16">
      <w:start w:val="1"/>
      <w:numFmt w:val="bullet"/>
      <w:lvlText w:val="o"/>
      <w:lvlJc w:val="left"/>
      <w:pPr>
        <w:ind w:left="3600" w:hanging="360"/>
      </w:pPr>
      <w:rPr>
        <w:rFonts w:ascii="Courier New" w:eastAsia="Courier New" w:hAnsi="Courier New" w:cs="Courier New"/>
      </w:rPr>
    </w:lvl>
    <w:lvl w:ilvl="5" w:tplc="7ED8B458">
      <w:start w:val="1"/>
      <w:numFmt w:val="bullet"/>
      <w:lvlText w:val=""/>
      <w:lvlJc w:val="left"/>
      <w:pPr>
        <w:ind w:left="4320" w:hanging="360"/>
      </w:pPr>
      <w:rPr>
        <w:rFonts w:ascii="Wingdings" w:eastAsia="Wingdings" w:hAnsi="Wingdings" w:cs="Wingdings"/>
      </w:rPr>
    </w:lvl>
    <w:lvl w:ilvl="6" w:tplc="1A825484">
      <w:start w:val="1"/>
      <w:numFmt w:val="bullet"/>
      <w:lvlText w:val=""/>
      <w:lvlJc w:val="left"/>
      <w:pPr>
        <w:ind w:left="5040" w:hanging="360"/>
      </w:pPr>
      <w:rPr>
        <w:rFonts w:ascii="Symbol" w:eastAsia="Symbol" w:hAnsi="Symbol" w:cs="Symbol"/>
      </w:rPr>
    </w:lvl>
    <w:lvl w:ilvl="7" w:tplc="AAFCFAFA">
      <w:start w:val="1"/>
      <w:numFmt w:val="bullet"/>
      <w:lvlText w:val="o"/>
      <w:lvlJc w:val="left"/>
      <w:pPr>
        <w:ind w:left="5760" w:hanging="360"/>
      </w:pPr>
      <w:rPr>
        <w:rFonts w:ascii="Courier New" w:eastAsia="Courier New" w:hAnsi="Courier New" w:cs="Courier New"/>
      </w:rPr>
    </w:lvl>
    <w:lvl w:ilvl="8" w:tplc="E4785EB8">
      <w:start w:val="1"/>
      <w:numFmt w:val="bullet"/>
      <w:lvlText w:val=""/>
      <w:lvlJc w:val="left"/>
      <w:pPr>
        <w:ind w:left="6480" w:hanging="360"/>
      </w:pPr>
      <w:rPr>
        <w:rFonts w:ascii="Wingdings" w:eastAsia="Wingdings" w:hAnsi="Wingdings" w:cs="Wingdings"/>
      </w:rPr>
    </w:lvl>
  </w:abstractNum>
  <w:abstractNum w:abstractNumId="3">
    <w:nsid w:val="45A048CC"/>
    <w:multiLevelType w:val="hybridMultilevel"/>
    <w:tmpl w:val="ECE47C58"/>
    <w:lvl w:ilvl="0" w:tplc="BF92F9C2">
      <w:start w:val="1"/>
      <w:numFmt w:val="bullet"/>
      <w:lvlText w:val=""/>
      <w:lvlJc w:val="left"/>
      <w:pPr>
        <w:ind w:left="720" w:hanging="360"/>
      </w:pPr>
      <w:rPr>
        <w:rFonts w:ascii="Symbol" w:eastAsia="Symbol" w:hAnsi="Symbol" w:cs="Symbol"/>
      </w:rPr>
    </w:lvl>
    <w:lvl w:ilvl="1" w:tplc="2690AB06">
      <w:start w:val="1"/>
      <w:numFmt w:val="bullet"/>
      <w:lvlText w:val="o"/>
      <w:lvlJc w:val="left"/>
      <w:pPr>
        <w:ind w:left="1440" w:hanging="360"/>
      </w:pPr>
      <w:rPr>
        <w:rFonts w:ascii="Courier New" w:eastAsia="Courier New" w:hAnsi="Courier New" w:cs="Courier New"/>
      </w:rPr>
    </w:lvl>
    <w:lvl w:ilvl="2" w:tplc="AFD647C8">
      <w:start w:val="1"/>
      <w:numFmt w:val="bullet"/>
      <w:lvlText w:val=""/>
      <w:lvlJc w:val="left"/>
      <w:pPr>
        <w:ind w:left="2160" w:hanging="360"/>
      </w:pPr>
      <w:rPr>
        <w:rFonts w:ascii="Wingdings" w:eastAsia="Wingdings" w:hAnsi="Wingdings" w:cs="Wingdings"/>
      </w:rPr>
    </w:lvl>
    <w:lvl w:ilvl="3" w:tplc="1974B688">
      <w:start w:val="1"/>
      <w:numFmt w:val="bullet"/>
      <w:lvlText w:val=""/>
      <w:lvlJc w:val="left"/>
      <w:pPr>
        <w:ind w:left="2880" w:hanging="360"/>
      </w:pPr>
      <w:rPr>
        <w:rFonts w:ascii="Symbol" w:eastAsia="Symbol" w:hAnsi="Symbol" w:cs="Symbol"/>
      </w:rPr>
    </w:lvl>
    <w:lvl w:ilvl="4" w:tplc="0EF2C14C">
      <w:start w:val="1"/>
      <w:numFmt w:val="bullet"/>
      <w:lvlText w:val="o"/>
      <w:lvlJc w:val="left"/>
      <w:pPr>
        <w:ind w:left="3600" w:hanging="360"/>
      </w:pPr>
      <w:rPr>
        <w:rFonts w:ascii="Courier New" w:eastAsia="Courier New" w:hAnsi="Courier New" w:cs="Courier New"/>
      </w:rPr>
    </w:lvl>
    <w:lvl w:ilvl="5" w:tplc="119AC2F8">
      <w:start w:val="1"/>
      <w:numFmt w:val="bullet"/>
      <w:lvlText w:val=""/>
      <w:lvlJc w:val="left"/>
      <w:pPr>
        <w:ind w:left="4320" w:hanging="360"/>
      </w:pPr>
      <w:rPr>
        <w:rFonts w:ascii="Wingdings" w:eastAsia="Wingdings" w:hAnsi="Wingdings" w:cs="Wingdings"/>
      </w:rPr>
    </w:lvl>
    <w:lvl w:ilvl="6" w:tplc="3DF43480">
      <w:start w:val="1"/>
      <w:numFmt w:val="bullet"/>
      <w:lvlText w:val=""/>
      <w:lvlJc w:val="left"/>
      <w:pPr>
        <w:ind w:left="5040" w:hanging="360"/>
      </w:pPr>
      <w:rPr>
        <w:rFonts w:ascii="Symbol" w:eastAsia="Symbol" w:hAnsi="Symbol" w:cs="Symbol"/>
      </w:rPr>
    </w:lvl>
    <w:lvl w:ilvl="7" w:tplc="58788B34">
      <w:start w:val="1"/>
      <w:numFmt w:val="bullet"/>
      <w:lvlText w:val="o"/>
      <w:lvlJc w:val="left"/>
      <w:pPr>
        <w:ind w:left="5760" w:hanging="360"/>
      </w:pPr>
      <w:rPr>
        <w:rFonts w:ascii="Courier New" w:eastAsia="Courier New" w:hAnsi="Courier New" w:cs="Courier New"/>
      </w:rPr>
    </w:lvl>
    <w:lvl w:ilvl="8" w:tplc="D0606E8E">
      <w:start w:val="1"/>
      <w:numFmt w:val="bullet"/>
      <w:lvlText w:val=""/>
      <w:lvlJc w:val="left"/>
      <w:pPr>
        <w:ind w:left="6480" w:hanging="360"/>
      </w:pPr>
      <w:rPr>
        <w:rFonts w:ascii="Wingdings" w:eastAsia="Wingdings" w:hAnsi="Wingdings" w:cs="Wingdings"/>
      </w:rPr>
    </w:lvl>
  </w:abstractNum>
  <w:abstractNum w:abstractNumId="4">
    <w:nsid w:val="57923FDA"/>
    <w:multiLevelType w:val="hybridMultilevel"/>
    <w:tmpl w:val="999C5BDC"/>
    <w:lvl w:ilvl="0" w:tplc="A06CD218">
      <w:start w:val="1"/>
      <w:numFmt w:val="bullet"/>
      <w:lvlText w:val="●"/>
      <w:lvlJc w:val="left"/>
      <w:pPr>
        <w:ind w:left="720" w:hanging="360"/>
      </w:pPr>
    </w:lvl>
    <w:lvl w:ilvl="1" w:tplc="7C5EBF62">
      <w:start w:val="1"/>
      <w:numFmt w:val="bullet"/>
      <w:lvlText w:val="○"/>
      <w:lvlJc w:val="left"/>
      <w:pPr>
        <w:ind w:left="1440" w:hanging="360"/>
      </w:pPr>
    </w:lvl>
    <w:lvl w:ilvl="2" w:tplc="C8145112">
      <w:start w:val="1"/>
      <w:numFmt w:val="bullet"/>
      <w:lvlText w:val="■"/>
      <w:lvlJc w:val="left"/>
      <w:pPr>
        <w:ind w:left="2160" w:hanging="360"/>
      </w:pPr>
    </w:lvl>
    <w:lvl w:ilvl="3" w:tplc="AC827D58">
      <w:start w:val="1"/>
      <w:numFmt w:val="bullet"/>
      <w:lvlText w:val="●"/>
      <w:lvlJc w:val="left"/>
      <w:pPr>
        <w:ind w:left="2880" w:hanging="360"/>
      </w:pPr>
    </w:lvl>
    <w:lvl w:ilvl="4" w:tplc="198EB2C4">
      <w:start w:val="1"/>
      <w:numFmt w:val="bullet"/>
      <w:lvlText w:val="○"/>
      <w:lvlJc w:val="left"/>
      <w:pPr>
        <w:ind w:left="3600" w:hanging="360"/>
      </w:pPr>
    </w:lvl>
    <w:lvl w:ilvl="5" w:tplc="B284F1A4">
      <w:start w:val="1"/>
      <w:numFmt w:val="bullet"/>
      <w:lvlText w:val="■"/>
      <w:lvlJc w:val="left"/>
      <w:pPr>
        <w:ind w:left="4320" w:hanging="360"/>
      </w:pPr>
    </w:lvl>
    <w:lvl w:ilvl="6" w:tplc="D9702BBE">
      <w:start w:val="1"/>
      <w:numFmt w:val="bullet"/>
      <w:lvlText w:val="●"/>
      <w:lvlJc w:val="left"/>
      <w:pPr>
        <w:ind w:left="5040" w:hanging="360"/>
      </w:pPr>
    </w:lvl>
    <w:lvl w:ilvl="7" w:tplc="6CE29676">
      <w:start w:val="1"/>
      <w:numFmt w:val="bullet"/>
      <w:lvlText w:val="●"/>
      <w:lvlJc w:val="left"/>
      <w:pPr>
        <w:ind w:left="5760" w:hanging="360"/>
      </w:pPr>
    </w:lvl>
    <w:lvl w:ilvl="8" w:tplc="D902C790">
      <w:start w:val="1"/>
      <w:numFmt w:val="bullet"/>
      <w:lvlText w:val="●"/>
      <w:lvlJc w:val="left"/>
      <w:pPr>
        <w:ind w:left="6480" w:hanging="360"/>
      </w:pPr>
    </w:lvl>
  </w:abstractNum>
  <w:abstractNum w:abstractNumId="5">
    <w:nsid w:val="663709A4"/>
    <w:multiLevelType w:val="hybridMultilevel"/>
    <w:tmpl w:val="EEEA4CB8"/>
    <w:lvl w:ilvl="0" w:tplc="C7467D82">
      <w:start w:val="1"/>
      <w:numFmt w:val="bullet"/>
      <w:lvlText w:val=""/>
      <w:lvlJc w:val="left"/>
      <w:pPr>
        <w:ind w:left="720" w:hanging="360"/>
      </w:pPr>
      <w:rPr>
        <w:rFonts w:ascii="Symbol" w:eastAsia="Symbol" w:hAnsi="Symbol" w:cs="Symbol"/>
      </w:rPr>
    </w:lvl>
    <w:lvl w:ilvl="1" w:tplc="8424EF80">
      <w:start w:val="1"/>
      <w:numFmt w:val="bullet"/>
      <w:lvlText w:val="o"/>
      <w:lvlJc w:val="left"/>
      <w:pPr>
        <w:ind w:left="1440" w:hanging="360"/>
      </w:pPr>
      <w:rPr>
        <w:rFonts w:ascii="Courier New" w:eastAsia="Courier New" w:hAnsi="Courier New" w:cs="Courier New"/>
      </w:rPr>
    </w:lvl>
    <w:lvl w:ilvl="2" w:tplc="9C84F0BC">
      <w:start w:val="1"/>
      <w:numFmt w:val="bullet"/>
      <w:lvlText w:val=""/>
      <w:lvlJc w:val="left"/>
      <w:pPr>
        <w:ind w:left="2160" w:hanging="360"/>
      </w:pPr>
      <w:rPr>
        <w:rFonts w:ascii="Wingdings" w:eastAsia="Wingdings" w:hAnsi="Wingdings" w:cs="Wingdings"/>
      </w:rPr>
    </w:lvl>
    <w:lvl w:ilvl="3" w:tplc="1FAEA78C">
      <w:start w:val="1"/>
      <w:numFmt w:val="bullet"/>
      <w:lvlText w:val=""/>
      <w:lvlJc w:val="left"/>
      <w:pPr>
        <w:ind w:left="2880" w:hanging="360"/>
      </w:pPr>
      <w:rPr>
        <w:rFonts w:ascii="Symbol" w:eastAsia="Symbol" w:hAnsi="Symbol" w:cs="Symbol"/>
      </w:rPr>
    </w:lvl>
    <w:lvl w:ilvl="4" w:tplc="13B0CCC8">
      <w:start w:val="1"/>
      <w:numFmt w:val="bullet"/>
      <w:lvlText w:val="o"/>
      <w:lvlJc w:val="left"/>
      <w:pPr>
        <w:ind w:left="3600" w:hanging="360"/>
      </w:pPr>
      <w:rPr>
        <w:rFonts w:ascii="Courier New" w:eastAsia="Courier New" w:hAnsi="Courier New" w:cs="Courier New"/>
      </w:rPr>
    </w:lvl>
    <w:lvl w:ilvl="5" w:tplc="B7A49F24">
      <w:start w:val="1"/>
      <w:numFmt w:val="bullet"/>
      <w:lvlText w:val=""/>
      <w:lvlJc w:val="left"/>
      <w:pPr>
        <w:ind w:left="4320" w:hanging="360"/>
      </w:pPr>
      <w:rPr>
        <w:rFonts w:ascii="Wingdings" w:eastAsia="Wingdings" w:hAnsi="Wingdings" w:cs="Wingdings"/>
      </w:rPr>
    </w:lvl>
    <w:lvl w:ilvl="6" w:tplc="BE8A421A">
      <w:start w:val="1"/>
      <w:numFmt w:val="bullet"/>
      <w:lvlText w:val=""/>
      <w:lvlJc w:val="left"/>
      <w:pPr>
        <w:ind w:left="5040" w:hanging="360"/>
      </w:pPr>
      <w:rPr>
        <w:rFonts w:ascii="Symbol" w:eastAsia="Symbol" w:hAnsi="Symbol" w:cs="Symbol"/>
      </w:rPr>
    </w:lvl>
    <w:lvl w:ilvl="7" w:tplc="559A5D1C">
      <w:start w:val="1"/>
      <w:numFmt w:val="bullet"/>
      <w:lvlText w:val="o"/>
      <w:lvlJc w:val="left"/>
      <w:pPr>
        <w:ind w:left="5760" w:hanging="360"/>
      </w:pPr>
      <w:rPr>
        <w:rFonts w:ascii="Courier New" w:eastAsia="Courier New" w:hAnsi="Courier New" w:cs="Courier New"/>
      </w:rPr>
    </w:lvl>
    <w:lvl w:ilvl="8" w:tplc="51F48FC6">
      <w:start w:val="1"/>
      <w:numFmt w:val="bullet"/>
      <w:lvlText w:val=""/>
      <w:lvlJc w:val="left"/>
      <w:pPr>
        <w:ind w:left="6480" w:hanging="360"/>
      </w:pPr>
      <w:rPr>
        <w:rFonts w:ascii="Wingdings" w:eastAsia="Wingdings" w:hAnsi="Wingdings" w:cs="Wingdings"/>
      </w:rPr>
    </w:lvl>
  </w:abstractNum>
  <w:abstractNum w:abstractNumId="6">
    <w:nsid w:val="6A675291"/>
    <w:multiLevelType w:val="hybridMultilevel"/>
    <w:tmpl w:val="A90CBDE0"/>
    <w:lvl w:ilvl="0" w:tplc="C61A5C34">
      <w:start w:val="1"/>
      <w:numFmt w:val="bullet"/>
      <w:lvlText w:val=""/>
      <w:lvlJc w:val="left"/>
      <w:pPr>
        <w:ind w:left="720" w:hanging="360"/>
      </w:pPr>
      <w:rPr>
        <w:rFonts w:ascii="Symbol" w:eastAsia="Symbol" w:hAnsi="Symbol" w:cs="Symbol"/>
      </w:rPr>
    </w:lvl>
    <w:lvl w:ilvl="1" w:tplc="9A9E1CEC">
      <w:start w:val="1"/>
      <w:numFmt w:val="bullet"/>
      <w:lvlText w:val="o"/>
      <w:lvlJc w:val="left"/>
      <w:pPr>
        <w:ind w:left="1440" w:hanging="360"/>
      </w:pPr>
      <w:rPr>
        <w:rFonts w:ascii="Courier New" w:eastAsia="Courier New" w:hAnsi="Courier New" w:cs="Courier New"/>
      </w:rPr>
    </w:lvl>
    <w:lvl w:ilvl="2" w:tplc="F508DC76">
      <w:start w:val="1"/>
      <w:numFmt w:val="bullet"/>
      <w:lvlText w:val=""/>
      <w:lvlJc w:val="left"/>
      <w:pPr>
        <w:ind w:left="2160" w:hanging="360"/>
      </w:pPr>
      <w:rPr>
        <w:rFonts w:ascii="Wingdings" w:eastAsia="Wingdings" w:hAnsi="Wingdings" w:cs="Wingdings"/>
      </w:rPr>
    </w:lvl>
    <w:lvl w:ilvl="3" w:tplc="1C9C0C06">
      <w:start w:val="1"/>
      <w:numFmt w:val="bullet"/>
      <w:lvlText w:val=""/>
      <w:lvlJc w:val="left"/>
      <w:pPr>
        <w:ind w:left="2880" w:hanging="360"/>
      </w:pPr>
      <w:rPr>
        <w:rFonts w:ascii="Symbol" w:eastAsia="Symbol" w:hAnsi="Symbol" w:cs="Symbol"/>
      </w:rPr>
    </w:lvl>
    <w:lvl w:ilvl="4" w:tplc="BBAEB800">
      <w:start w:val="1"/>
      <w:numFmt w:val="bullet"/>
      <w:lvlText w:val="o"/>
      <w:lvlJc w:val="left"/>
      <w:pPr>
        <w:ind w:left="3600" w:hanging="360"/>
      </w:pPr>
      <w:rPr>
        <w:rFonts w:ascii="Courier New" w:eastAsia="Courier New" w:hAnsi="Courier New" w:cs="Courier New"/>
      </w:rPr>
    </w:lvl>
    <w:lvl w:ilvl="5" w:tplc="90CEC538">
      <w:start w:val="1"/>
      <w:numFmt w:val="bullet"/>
      <w:lvlText w:val=""/>
      <w:lvlJc w:val="left"/>
      <w:pPr>
        <w:ind w:left="4320" w:hanging="360"/>
      </w:pPr>
      <w:rPr>
        <w:rFonts w:ascii="Wingdings" w:eastAsia="Wingdings" w:hAnsi="Wingdings" w:cs="Wingdings"/>
      </w:rPr>
    </w:lvl>
    <w:lvl w:ilvl="6" w:tplc="98660388">
      <w:start w:val="1"/>
      <w:numFmt w:val="bullet"/>
      <w:lvlText w:val=""/>
      <w:lvlJc w:val="left"/>
      <w:pPr>
        <w:ind w:left="5040" w:hanging="360"/>
      </w:pPr>
      <w:rPr>
        <w:rFonts w:ascii="Symbol" w:eastAsia="Symbol" w:hAnsi="Symbol" w:cs="Symbol"/>
      </w:rPr>
    </w:lvl>
    <w:lvl w:ilvl="7" w:tplc="EB084834">
      <w:start w:val="1"/>
      <w:numFmt w:val="bullet"/>
      <w:lvlText w:val="o"/>
      <w:lvlJc w:val="left"/>
      <w:pPr>
        <w:ind w:left="5760" w:hanging="360"/>
      </w:pPr>
      <w:rPr>
        <w:rFonts w:ascii="Courier New" w:eastAsia="Courier New" w:hAnsi="Courier New" w:cs="Courier New"/>
      </w:rPr>
    </w:lvl>
    <w:lvl w:ilvl="8" w:tplc="67C447EA">
      <w:start w:val="1"/>
      <w:numFmt w:val="bullet"/>
      <w:lvlText w:val=""/>
      <w:lvlJc w:val="left"/>
      <w:pPr>
        <w:ind w:left="6480" w:hanging="360"/>
      </w:pPr>
      <w:rPr>
        <w:rFonts w:ascii="Wingdings" w:eastAsia="Wingdings" w:hAnsi="Wingdings" w:cs="Wingdings"/>
      </w:rPr>
    </w:lvl>
  </w:abstractNum>
  <w:abstractNum w:abstractNumId="7">
    <w:nsid w:val="7B3D3355"/>
    <w:multiLevelType w:val="hybridMultilevel"/>
    <w:tmpl w:val="F25E8856"/>
    <w:lvl w:ilvl="0" w:tplc="E9089DB2">
      <w:start w:val="1"/>
      <w:numFmt w:val="bullet"/>
      <w:lvlText w:val=""/>
      <w:lvlJc w:val="left"/>
      <w:pPr>
        <w:ind w:left="720" w:hanging="360"/>
      </w:pPr>
      <w:rPr>
        <w:rFonts w:ascii="Symbol" w:eastAsia="Symbol" w:hAnsi="Symbol" w:cs="Symbol"/>
      </w:rPr>
    </w:lvl>
    <w:lvl w:ilvl="1" w:tplc="5C9651E0">
      <w:start w:val="1"/>
      <w:numFmt w:val="bullet"/>
      <w:lvlText w:val="o"/>
      <w:lvlJc w:val="left"/>
      <w:pPr>
        <w:ind w:left="1440" w:hanging="360"/>
      </w:pPr>
      <w:rPr>
        <w:rFonts w:ascii="Courier New" w:eastAsia="Courier New" w:hAnsi="Courier New" w:cs="Courier New"/>
      </w:rPr>
    </w:lvl>
    <w:lvl w:ilvl="2" w:tplc="996C2E6C">
      <w:start w:val="1"/>
      <w:numFmt w:val="bullet"/>
      <w:lvlText w:val=""/>
      <w:lvlJc w:val="left"/>
      <w:pPr>
        <w:ind w:left="2160" w:hanging="360"/>
      </w:pPr>
      <w:rPr>
        <w:rFonts w:ascii="Wingdings" w:eastAsia="Wingdings" w:hAnsi="Wingdings" w:cs="Wingdings"/>
      </w:rPr>
    </w:lvl>
    <w:lvl w:ilvl="3" w:tplc="49CC855A">
      <w:start w:val="1"/>
      <w:numFmt w:val="bullet"/>
      <w:lvlText w:val=""/>
      <w:lvlJc w:val="left"/>
      <w:pPr>
        <w:ind w:left="2880" w:hanging="360"/>
      </w:pPr>
      <w:rPr>
        <w:rFonts w:ascii="Symbol" w:eastAsia="Symbol" w:hAnsi="Symbol" w:cs="Symbol"/>
      </w:rPr>
    </w:lvl>
    <w:lvl w:ilvl="4" w:tplc="6BCC124C">
      <w:start w:val="1"/>
      <w:numFmt w:val="bullet"/>
      <w:lvlText w:val="o"/>
      <w:lvlJc w:val="left"/>
      <w:pPr>
        <w:ind w:left="3600" w:hanging="360"/>
      </w:pPr>
      <w:rPr>
        <w:rFonts w:ascii="Courier New" w:eastAsia="Courier New" w:hAnsi="Courier New" w:cs="Courier New"/>
      </w:rPr>
    </w:lvl>
    <w:lvl w:ilvl="5" w:tplc="70C0D50A">
      <w:start w:val="1"/>
      <w:numFmt w:val="bullet"/>
      <w:lvlText w:val=""/>
      <w:lvlJc w:val="left"/>
      <w:pPr>
        <w:ind w:left="4320" w:hanging="360"/>
      </w:pPr>
      <w:rPr>
        <w:rFonts w:ascii="Wingdings" w:eastAsia="Wingdings" w:hAnsi="Wingdings" w:cs="Wingdings"/>
      </w:rPr>
    </w:lvl>
    <w:lvl w:ilvl="6" w:tplc="950A1F8E">
      <w:start w:val="1"/>
      <w:numFmt w:val="bullet"/>
      <w:lvlText w:val=""/>
      <w:lvlJc w:val="left"/>
      <w:pPr>
        <w:ind w:left="5040" w:hanging="360"/>
      </w:pPr>
      <w:rPr>
        <w:rFonts w:ascii="Symbol" w:eastAsia="Symbol" w:hAnsi="Symbol" w:cs="Symbol"/>
      </w:rPr>
    </w:lvl>
    <w:lvl w:ilvl="7" w:tplc="EB86F82A">
      <w:start w:val="1"/>
      <w:numFmt w:val="bullet"/>
      <w:lvlText w:val="o"/>
      <w:lvlJc w:val="left"/>
      <w:pPr>
        <w:ind w:left="5760" w:hanging="360"/>
      </w:pPr>
      <w:rPr>
        <w:rFonts w:ascii="Courier New" w:eastAsia="Courier New" w:hAnsi="Courier New" w:cs="Courier New"/>
      </w:rPr>
    </w:lvl>
    <w:lvl w:ilvl="8" w:tplc="1D189A18">
      <w:start w:val="1"/>
      <w:numFmt w:val="bullet"/>
      <w:lvlText w:val=""/>
      <w:lvlJc w:val="left"/>
      <w:pPr>
        <w:ind w:left="6480" w:hanging="360"/>
      </w:pPr>
      <w:rPr>
        <w:rFonts w:ascii="Wingdings" w:eastAsia="Wingdings" w:hAnsi="Wingdings" w:cs="Wingdings"/>
      </w:rPr>
    </w:lvl>
  </w:abstractNum>
  <w:num w:numId="1">
    <w:abstractNumId w:val="4"/>
    <w:lvlOverride w:ilvl="0">
      <w:startOverride w:val="1"/>
    </w:lvlOverride>
  </w:num>
  <w:num w:numId="2">
    <w:abstractNumId w:val="3"/>
  </w:num>
  <w:num w:numId="3">
    <w:abstractNumId w:val="5"/>
  </w:num>
  <w:num w:numId="4">
    <w:abstractNumId w:val="0"/>
  </w:num>
  <w:num w:numId="5">
    <w:abstractNumId w:val="7"/>
  </w:num>
  <w:num w:numId="6">
    <w:abstractNumId w:val="1"/>
  </w:num>
  <w:num w:numId="7">
    <w:abstractNumId w:val="6"/>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F68"/>
    <w:rsid w:val="000E348D"/>
    <w:rsid w:val="00947F68"/>
    <w:rsid w:val="00CF5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677C86A-A76B-412E-A5CA-2D4ED4876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GridTable4-Accent1">
    <w:name w:val="Grid Table 4 Accent 1"/>
    <w:basedOn w:val="TableNormal"/>
    <w:uiPriority w:val="49"/>
    <w:pPr>
      <w:spacing w:after="0" w:line="240" w:lineRule="auto"/>
    </w:pPr>
    <w:tblPr>
      <w:tblStyleRowBandSize w:val="1"/>
      <w:tblStyleColBandSize w:val="1"/>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CellMar>
        <w:top w:w="0" w:type="dxa"/>
        <w:left w:w="108" w:type="dxa"/>
        <w:bottom w:w="0" w:type="dxa"/>
        <w:right w:w="108" w:type="dxa"/>
      </w:tblCellMar>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5B9BD5"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 w:type="paragraph" w:styleId="FootnoteText">
    <w:name w:val="footnote text"/>
    <w:basedOn w:val="Normal"/>
    <w:link w:val="FootnoteTextChar"/>
    <w:uiPriority w:val="99"/>
    <w:semiHidden/>
    <w:unhideWhenUsed/>
    <w:rsid w:val="00C17A4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17A41"/>
    <w:rPr>
      <w:sz w:val="20"/>
      <w:szCs w:val="20"/>
    </w:rPr>
  </w:style>
  <w:style w:type="character" w:styleId="FootnoteReference">
    <w:name w:val="footnote reference"/>
    <w:basedOn w:val="DefaultParagraphFont"/>
    <w:uiPriority w:val="99"/>
    <w:semiHidden/>
    <w:unhideWhenUsed/>
    <w:rsid w:val="00C17A4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airisk.mit.edu/" TargetMode="External"/><Relationship Id="rId13" Type="http://schemas.openxmlformats.org/officeDocument/2006/relationships/hyperlink" Target="https://futureoflife.org/wp-content/uploads/2025/12/AI-Safety-Index-Report_131225_Full_Report_Digital.pdf" TargetMode="External"/><Relationship Id="rId18" Type="http://schemas.openxmlformats.org/officeDocument/2006/relationships/hyperlink" Target="https://futureoflife.org/wp-content/uploads/2025/12/AI-Safety-Index-Report_131225_Full_Report_Digital.pdf" TargetMode="External"/><Relationship Id="rId3" Type="http://schemas.openxmlformats.org/officeDocument/2006/relationships/hyperlink" Target="https://www.nist.gov/artificial-intelligence" TargetMode="External"/><Relationship Id="rId7" Type="http://schemas.openxmlformats.org/officeDocument/2006/relationships/hyperlink" Target="https://internationalaisafetyreport.org/publication/international-ai-safety-report-2025" TargetMode="External"/><Relationship Id="rId12" Type="http://schemas.openxmlformats.org/officeDocument/2006/relationships/hyperlink" Target="https://airisk.mit.edu/" TargetMode="External"/><Relationship Id="rId17" Type="http://schemas.openxmlformats.org/officeDocument/2006/relationships/hyperlink" Target="https://www.nist.gov/artificial-intelligence" TargetMode="External"/><Relationship Id="rId2" Type="http://schemas.openxmlformats.org/officeDocument/2006/relationships/hyperlink" Target="https://airisk.mit.edu/" TargetMode="External"/><Relationship Id="rId16" Type="http://schemas.openxmlformats.org/officeDocument/2006/relationships/hyperlink" Target="https://internationalaisafetyreport.org/publication/international-ai-safety-report-2025" TargetMode="External"/><Relationship Id="rId1" Type="http://schemas.openxmlformats.org/officeDocument/2006/relationships/hyperlink" Target="https://internationalaisafetyreport.org/publication/international-ai-safety-report-2025" TargetMode="External"/><Relationship Id="rId6" Type="http://schemas.openxmlformats.org/officeDocument/2006/relationships/hyperlink" Target="https://www.nist.gov/artificial-intelligence" TargetMode="External"/><Relationship Id="rId11" Type="http://schemas.openxmlformats.org/officeDocument/2006/relationships/hyperlink" Target="https://internationalaisafetyreport.org/publication/international-ai-safety-report-2025" TargetMode="External"/><Relationship Id="rId5" Type="http://schemas.openxmlformats.org/officeDocument/2006/relationships/hyperlink" Target="https://www.nist.gov/artificial-intelligence" TargetMode="External"/><Relationship Id="rId15" Type="http://schemas.openxmlformats.org/officeDocument/2006/relationships/hyperlink" Target="https://futureoflife.org/wp-content/uploads/2025/12/AI-Safety-Index-Report_131225_Full_Report_Digital.pdf" TargetMode="External"/><Relationship Id="rId10" Type="http://schemas.openxmlformats.org/officeDocument/2006/relationships/hyperlink" Target="https://hai.stanford.edu/ai-index/2025-ai-index-report" TargetMode="External"/><Relationship Id="rId4" Type="http://schemas.openxmlformats.org/officeDocument/2006/relationships/hyperlink" Target="https://internationalaisafetyreport.org/publication/international-ai-safety-report-2025" TargetMode="External"/><Relationship Id="rId9" Type="http://schemas.openxmlformats.org/officeDocument/2006/relationships/hyperlink" Target="https://www.nist.gov/artificial-intelligence" TargetMode="External"/><Relationship Id="rId14" Type="http://schemas.openxmlformats.org/officeDocument/2006/relationships/hyperlink" Target="https://internationalaisafetyreport.org/publication/international-ai-safety-report-2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981</Words>
  <Characters>5595</Characters>
  <Application>Microsoft Office Word</Application>
  <DocSecurity>0</DocSecurity>
  <Lines>46</Lines>
  <Paragraphs>13</Paragraphs>
  <ScaleCrop>false</ScaleCrop>
  <Company/>
  <LinksUpToDate>false</LinksUpToDate>
  <CharactersWithSpaces>6563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HP</cp:lastModifiedBy>
  <cp:revision>2</cp:revision>
  <dcterms:created xsi:type="dcterms:W3CDTF">2026-01-30T16:36:00Z</dcterms:created>
  <dcterms:modified xsi:type="dcterms:W3CDTF">2026-01-30T16:38:00Z</dcterms:modified>
</cp:coreProperties>
</file>