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t>How to Launch an Internal AI Marketplace (Step</w:t>
      </w: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noBreakHyphen/>
        <w:t>by</w:t>
      </w: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noBreakHyphen/>
        <w:t>Step)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i/>
          <w:iCs/>
          <w:sz w:val="21"/>
          <w:szCs w:val="21"/>
        </w:rPr>
        <w:t>For enterprises deploying AI agents safely, securely, and at scale.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Internal AI marketplaces allow companies to </w:t>
      </w:r>
      <w:r w:rsidRPr="006E4DC2">
        <w:rPr>
          <w:rFonts w:ascii="Segoe UI" w:eastAsia="Times New Roman" w:hAnsi="Segoe UI" w:cs="Segoe UI"/>
          <w:b/>
          <w:bCs/>
          <w:sz w:val="21"/>
          <w:szCs w:val="21"/>
        </w:rPr>
        <w:t>publish, discover, reuse, and govern AI agents</w:t>
      </w:r>
      <w:r w:rsidRPr="006E4DC2">
        <w:rPr>
          <w:rFonts w:ascii="Segoe UI" w:eastAsia="Times New Roman" w:hAnsi="Segoe UI" w:cs="Segoe UI"/>
          <w:sz w:val="21"/>
          <w:szCs w:val="21"/>
        </w:rPr>
        <w:t xml:space="preserve"> in a controlled environment — similar to a corporate “App Store” for autonomous digital workers.</w:t>
      </w:r>
      <w:r w:rsidRPr="006E4DC2">
        <w:rPr>
          <w:rFonts w:ascii="Segoe UI" w:eastAsia="Times New Roman" w:hAnsi="Segoe UI" w:cs="Segoe UI"/>
          <w:sz w:val="21"/>
          <w:szCs w:val="21"/>
        </w:rPr>
        <w:br/>
        <w:t xml:space="preserve">This approach is already emerging as a best practice for enterprises. </w:t>
      </w:r>
      <w:hyperlink r:id="rId5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[action.deloitte.com]</w:t>
        </w:r>
      </w:hyperlink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1. Define the Marketplace Vision &amp; Scope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Before building anything, clarify: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1.1 Purpose</w:t>
      </w:r>
    </w:p>
    <w:p w:rsidR="006E4DC2" w:rsidRPr="006E4DC2" w:rsidRDefault="006E4DC2" w:rsidP="000E266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Centralize discovery of internal and external AI agents</w:t>
      </w:r>
    </w:p>
    <w:p w:rsidR="006E4DC2" w:rsidRPr="006E4DC2" w:rsidRDefault="006E4DC2" w:rsidP="000E266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Prevent scattered or shadow AI adoption</w:t>
      </w:r>
    </w:p>
    <w:p w:rsidR="006E4DC2" w:rsidRPr="006E4DC2" w:rsidRDefault="006E4DC2" w:rsidP="000E266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Standardize governance and reuse across teams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Internal marketplaces create curated environments where agents are vetted, monitored, version-controlled, and tagged with metadata. </w:t>
      </w:r>
      <w:hyperlink r:id="rId6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[action.deloitte.com]</w:t>
        </w:r>
      </w:hyperlink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1.2 Marketplace Scope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Decide whether the marketplace will host:</w:t>
      </w:r>
    </w:p>
    <w:p w:rsidR="006E4DC2" w:rsidRPr="006E4DC2" w:rsidRDefault="006E4DC2" w:rsidP="000E266F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Internal custom-built agents</w:t>
      </w:r>
    </w:p>
    <w:p w:rsidR="006E4DC2" w:rsidRPr="006E4DC2" w:rsidRDefault="006E4DC2" w:rsidP="000E266F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Third-party marketplace agents (vetted)</w:t>
      </w:r>
    </w:p>
    <w:p w:rsidR="006E4DC2" w:rsidRPr="006E4DC2" w:rsidRDefault="006E4DC2" w:rsidP="000E266F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Use-case</w:t>
      </w:r>
      <w:r w:rsidRPr="006E4DC2">
        <w:rPr>
          <w:rFonts w:ascii="Segoe UI" w:eastAsia="Times New Roman" w:hAnsi="Segoe UI" w:cs="Segoe UI"/>
          <w:sz w:val="21"/>
          <w:szCs w:val="21"/>
        </w:rPr>
        <w:noBreakHyphen/>
        <w:t>specific agents (e.g., finance, IT, HR)</w:t>
      </w:r>
    </w:p>
    <w:p w:rsidR="006E4DC2" w:rsidRPr="006E4DC2" w:rsidRDefault="006E4DC2" w:rsidP="000E266F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General-purpose copilots and workflow agents (Microsoft/Google ecosystem)</w:t>
      </w:r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2. Build or Select Your Marketplace Platform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You have two options:</w:t>
      </w:r>
    </w:p>
    <w:p w:rsidR="006E4DC2" w:rsidRPr="006E4DC2" w:rsidRDefault="006E4DC2" w:rsidP="000E266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E4DC2">
        <w:rPr>
          <w:rFonts w:ascii="Segoe UI" w:eastAsia="Times New Roman" w:hAnsi="Segoe UI" w:cs="Segoe UI"/>
          <w:b/>
          <w:bCs/>
          <w:sz w:val="36"/>
          <w:szCs w:val="36"/>
        </w:rPr>
        <w:t>2.1 Build from Scratch (Custom Internal Marketplace)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When this makes sense</w:t>
      </w:r>
    </w:p>
    <w:p w:rsidR="006E4DC2" w:rsidRPr="006E4DC2" w:rsidRDefault="006E4DC2" w:rsidP="000E266F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Large organizations with strict security requirements</w:t>
      </w:r>
    </w:p>
    <w:p w:rsidR="006E4DC2" w:rsidRPr="006E4DC2" w:rsidRDefault="006E4DC2" w:rsidP="000E266F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Need for deep integration with internal systems</w:t>
      </w:r>
    </w:p>
    <w:p w:rsidR="006E4DC2" w:rsidRPr="006E4DC2" w:rsidRDefault="006E4DC2" w:rsidP="000E266F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Desire for full control, custom workflows, and branding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Key characteristics of internal marketplaces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Internal marketplaces are fully governed environments where teams can publish, discover, and reuse AI agents with complete lifecycle control. </w:t>
      </w:r>
      <w:hyperlink r:id="rId7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[action.deloitte.com]</w:t>
        </w:r>
      </w:hyperlink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What to include:</w:t>
      </w:r>
    </w:p>
    <w:p w:rsidR="006E4DC2" w:rsidRPr="006E4DC2" w:rsidRDefault="006E4DC2" w:rsidP="000E266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Agent publishing portal</w:t>
      </w:r>
    </w:p>
    <w:p w:rsidR="006E4DC2" w:rsidRPr="006E4DC2" w:rsidRDefault="006E4DC2" w:rsidP="000E266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lastRenderedPageBreak/>
        <w:t>Metadata and tagging system</w:t>
      </w:r>
    </w:p>
    <w:p w:rsidR="006E4DC2" w:rsidRPr="006E4DC2" w:rsidRDefault="006E4DC2" w:rsidP="000E266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Agent documentation pages</w:t>
      </w:r>
    </w:p>
    <w:p w:rsidR="006E4DC2" w:rsidRPr="006E4DC2" w:rsidRDefault="006E4DC2" w:rsidP="000E266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API integration interface</w:t>
      </w:r>
    </w:p>
    <w:p w:rsidR="006E4DC2" w:rsidRPr="006E4DC2" w:rsidRDefault="006E4DC2" w:rsidP="000E266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Orchestration integration</w:t>
      </w:r>
    </w:p>
    <w:p w:rsidR="006E4DC2" w:rsidRPr="006E4DC2" w:rsidRDefault="006E4DC2" w:rsidP="000E266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Versioning and rollback</w:t>
      </w:r>
    </w:p>
    <w:p w:rsidR="006E4DC2" w:rsidRPr="006E4DC2" w:rsidRDefault="006E4DC2" w:rsidP="000E266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Approval workflows</w:t>
      </w:r>
    </w:p>
    <w:p w:rsidR="006E4DC2" w:rsidRPr="006E4DC2" w:rsidRDefault="006E4DC2" w:rsidP="000E266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Usage analytics dashboard</w:t>
      </w:r>
    </w:p>
    <w:p w:rsidR="006E4DC2" w:rsidRPr="006E4DC2" w:rsidRDefault="006E4DC2" w:rsidP="000E266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E4DC2">
        <w:rPr>
          <w:rFonts w:ascii="Segoe UI" w:eastAsia="Times New Roman" w:hAnsi="Segoe UI" w:cs="Segoe UI"/>
          <w:b/>
          <w:bCs/>
          <w:sz w:val="36"/>
          <w:szCs w:val="36"/>
        </w:rPr>
        <w:t>2.2 Buy / Integrate an Existing Marketplace Platform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Many vendors are building enterprise agent ecosystems (Microsoft, </w:t>
      </w:r>
      <w:proofErr w:type="spellStart"/>
      <w:r w:rsidRPr="006E4DC2">
        <w:rPr>
          <w:rFonts w:ascii="Segoe UI" w:eastAsia="Times New Roman" w:hAnsi="Segoe UI" w:cs="Segoe UI"/>
          <w:sz w:val="21"/>
          <w:szCs w:val="21"/>
        </w:rPr>
        <w:t>Databricks</w:t>
      </w:r>
      <w:proofErr w:type="spellEnd"/>
      <w:r w:rsidRPr="006E4DC2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6E4DC2">
        <w:rPr>
          <w:rFonts w:ascii="Segoe UI" w:eastAsia="Times New Roman" w:hAnsi="Segoe UI" w:cs="Segoe UI"/>
          <w:sz w:val="21"/>
          <w:szCs w:val="21"/>
        </w:rPr>
        <w:t>OpenAI</w:t>
      </w:r>
      <w:proofErr w:type="spellEnd"/>
      <w:r w:rsidRPr="006E4DC2">
        <w:rPr>
          <w:rFonts w:ascii="Segoe UI" w:eastAsia="Times New Roman" w:hAnsi="Segoe UI" w:cs="Segoe UI"/>
          <w:sz w:val="21"/>
          <w:szCs w:val="21"/>
        </w:rPr>
        <w:t xml:space="preserve"> ecosystem, etc.):</w:t>
      </w:r>
    </w:p>
    <w:p w:rsidR="006E4DC2" w:rsidRPr="006E4DC2" w:rsidRDefault="006E4DC2" w:rsidP="000E266F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Microsoft provides guidance for building, governing, and operating AI agents and agent ecosystems at enterprise scale. </w:t>
      </w:r>
      <w:hyperlink r:id="rId8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[learn.microsoft.com]</w:t>
        </w:r>
      </w:hyperlink>
    </w:p>
    <w:p w:rsidR="006E4DC2" w:rsidRPr="006E4DC2" w:rsidRDefault="006E4DC2" w:rsidP="000E266F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E4DC2">
        <w:rPr>
          <w:rFonts w:ascii="Segoe UI" w:eastAsia="Times New Roman" w:hAnsi="Segoe UI" w:cs="Segoe UI"/>
          <w:sz w:val="21"/>
          <w:szCs w:val="21"/>
        </w:rPr>
        <w:t>Databricks</w:t>
      </w:r>
      <w:proofErr w:type="spellEnd"/>
      <w:r w:rsidRPr="006E4DC2">
        <w:rPr>
          <w:rFonts w:ascii="Segoe UI" w:eastAsia="Times New Roman" w:hAnsi="Segoe UI" w:cs="Segoe UI"/>
          <w:sz w:val="21"/>
          <w:szCs w:val="21"/>
        </w:rPr>
        <w:t xml:space="preserve"> provides architecture frameworks for deploying reliable agents with tool integration and orchestration. </w:t>
      </w:r>
      <w:hyperlink r:id="rId9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[community….bricks.com]</w:t>
        </w:r>
      </w:hyperlink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Vendor marketplace requirements:</w:t>
      </w:r>
    </w:p>
    <w:p w:rsidR="006E4DC2" w:rsidRPr="006E4DC2" w:rsidRDefault="006E4DC2" w:rsidP="000E266F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Enterprise </w:t>
      </w:r>
      <w:proofErr w:type="spellStart"/>
      <w:r w:rsidRPr="006E4DC2">
        <w:rPr>
          <w:rFonts w:ascii="Segoe UI" w:eastAsia="Times New Roman" w:hAnsi="Segoe UI" w:cs="Segoe UI"/>
          <w:sz w:val="21"/>
          <w:szCs w:val="21"/>
        </w:rPr>
        <w:t>auth</w:t>
      </w:r>
      <w:proofErr w:type="spellEnd"/>
      <w:r w:rsidRPr="006E4DC2">
        <w:rPr>
          <w:rFonts w:ascii="Segoe UI" w:eastAsia="Times New Roman" w:hAnsi="Segoe UI" w:cs="Segoe UI"/>
          <w:sz w:val="21"/>
          <w:szCs w:val="21"/>
        </w:rPr>
        <w:t xml:space="preserve"> (SSO/SAML)</w:t>
      </w:r>
    </w:p>
    <w:p w:rsidR="006E4DC2" w:rsidRPr="006E4DC2" w:rsidRDefault="006E4DC2" w:rsidP="000E266F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Internal data access controls</w:t>
      </w:r>
    </w:p>
    <w:p w:rsidR="006E4DC2" w:rsidRPr="006E4DC2" w:rsidRDefault="006E4DC2" w:rsidP="000E266F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Role-based permissions</w:t>
      </w:r>
    </w:p>
    <w:p w:rsidR="006E4DC2" w:rsidRPr="006E4DC2" w:rsidRDefault="006E4DC2" w:rsidP="000E266F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Logging and auditability</w:t>
      </w:r>
    </w:p>
    <w:p w:rsidR="006E4DC2" w:rsidRPr="006E4DC2" w:rsidRDefault="006E4DC2" w:rsidP="000E266F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Private deployment options</w:t>
      </w:r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3. Establish an AI Agent Governance Framework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Governance is essential to prevent shadow AI and ensure safe usage.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3.1 Mandatory Agent Vetting Criteria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Every agent published must be evaluated across:</w:t>
      </w:r>
    </w:p>
    <w:p w:rsidR="006E4DC2" w:rsidRPr="006E4DC2" w:rsidRDefault="006E4DC2" w:rsidP="000E266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Security</w:t>
      </w:r>
    </w:p>
    <w:p w:rsidR="006E4DC2" w:rsidRPr="006E4DC2" w:rsidRDefault="006E4DC2" w:rsidP="000E266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Performance and accuracy</w:t>
      </w:r>
    </w:p>
    <w:p w:rsidR="006E4DC2" w:rsidRPr="006E4DC2" w:rsidRDefault="006E4DC2" w:rsidP="000E266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Compliance</w:t>
      </w:r>
    </w:p>
    <w:p w:rsidR="006E4DC2" w:rsidRPr="006E4DC2" w:rsidRDefault="006E4DC2" w:rsidP="000E266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Data handling</w:t>
      </w:r>
    </w:p>
    <w:p w:rsidR="006E4DC2" w:rsidRPr="006E4DC2" w:rsidRDefault="006E4DC2" w:rsidP="000E266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Tool/API permissions</w:t>
      </w:r>
    </w:p>
    <w:p w:rsidR="006E4DC2" w:rsidRPr="006E4DC2" w:rsidRDefault="006E4DC2" w:rsidP="000E266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Risk scoring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Internal marketplaces help ensure agents are vetted for compliance, version-controlled, monitored, and free of duplication. </w:t>
      </w:r>
      <w:hyperlink r:id="rId10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[action.deloitte.com]</w:t>
        </w:r>
      </w:hyperlink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Integrate an Orchestration Layer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Orchestration is critical for routing agent tasks, enforcing approvals, and avoiding unintended autonomy.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Why orchestration is required</w:t>
      </w:r>
    </w:p>
    <w:p w:rsidR="006E4DC2" w:rsidRPr="006E4DC2" w:rsidRDefault="006E4DC2" w:rsidP="000E266F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Agents act across systems</w:t>
      </w:r>
    </w:p>
    <w:p w:rsidR="006E4DC2" w:rsidRPr="006E4DC2" w:rsidRDefault="006E4DC2" w:rsidP="000E266F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lastRenderedPageBreak/>
        <w:t>Workflows span procurement, legal, security, and external APIs</w:t>
      </w:r>
    </w:p>
    <w:p w:rsidR="006E4DC2" w:rsidRPr="006E4DC2" w:rsidRDefault="006E4DC2" w:rsidP="000E266F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Orchestration keeps processes seamless, governed, and auditable</w:t>
      </w:r>
      <w:r w:rsidRPr="006E4DC2">
        <w:rPr>
          <w:rFonts w:ascii="Segoe UI" w:eastAsia="Times New Roman" w:hAnsi="Segoe UI" w:cs="Segoe UI"/>
          <w:sz w:val="21"/>
          <w:szCs w:val="21"/>
        </w:rPr>
        <w:br/>
      </w:r>
      <w:hyperlink r:id="rId11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[tonkean.com]</w:t>
        </w:r>
      </w:hyperlink>
      <w:r w:rsidRPr="006E4DC2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2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[levelpath.com]</w:t>
        </w:r>
      </w:hyperlink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The orchestration layer should:</w:t>
      </w:r>
    </w:p>
    <w:p w:rsidR="006E4DC2" w:rsidRPr="006E4DC2" w:rsidRDefault="006E4DC2" w:rsidP="000E266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Control permissions</w:t>
      </w:r>
    </w:p>
    <w:p w:rsidR="006E4DC2" w:rsidRPr="006E4DC2" w:rsidRDefault="006E4DC2" w:rsidP="000E266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Validate agent actions</w:t>
      </w:r>
    </w:p>
    <w:p w:rsidR="006E4DC2" w:rsidRPr="006E4DC2" w:rsidRDefault="006E4DC2" w:rsidP="000E266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Log activities</w:t>
      </w:r>
    </w:p>
    <w:p w:rsidR="006E4DC2" w:rsidRPr="006E4DC2" w:rsidRDefault="006E4DC2" w:rsidP="000E266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Manage multi-agent interactions</w:t>
      </w:r>
    </w:p>
    <w:p w:rsidR="006E4DC2" w:rsidRPr="006E4DC2" w:rsidRDefault="006E4DC2" w:rsidP="000E266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Enforce policies dynamically</w:t>
      </w:r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5. Enable Internal Publishing &amp; Reuse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Create workflows allowing teams to publish agents: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Publishing workflow</w:t>
      </w:r>
    </w:p>
    <w:p w:rsidR="006E4DC2" w:rsidRPr="006E4DC2" w:rsidRDefault="006E4DC2" w:rsidP="000E26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Developer submits agent</w:t>
      </w:r>
    </w:p>
    <w:p w:rsidR="006E4DC2" w:rsidRPr="006E4DC2" w:rsidRDefault="006E4DC2" w:rsidP="000E26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Automated tests run</w:t>
      </w:r>
    </w:p>
    <w:p w:rsidR="006E4DC2" w:rsidRPr="006E4DC2" w:rsidRDefault="006E4DC2" w:rsidP="000E26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Governance review (security, legal, compliance)</w:t>
      </w:r>
    </w:p>
    <w:p w:rsidR="006E4DC2" w:rsidRPr="006E4DC2" w:rsidRDefault="006E4DC2" w:rsidP="000E26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Orchestrator integration test</w:t>
      </w:r>
    </w:p>
    <w:p w:rsidR="006E4DC2" w:rsidRPr="006E4DC2" w:rsidRDefault="006E4DC2" w:rsidP="000E26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Marketplace listing goes live</w:t>
      </w:r>
    </w:p>
    <w:p w:rsidR="006E4DC2" w:rsidRPr="006E4DC2" w:rsidRDefault="006E4DC2" w:rsidP="000E266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Users discover the agent via search, categories, or recommended workflows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Internal marketplaces speed up deployment and prevent unnecessary duplication. </w:t>
      </w:r>
      <w:hyperlink r:id="rId13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[action.deloitte.com]</w:t>
        </w:r>
      </w:hyperlink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Integrate External AI Agents (Securely)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Enterprises will increasingly source agents from external agent marketplaces.</w:t>
      </w:r>
      <w:r w:rsidRPr="006E4DC2">
        <w:rPr>
          <w:rFonts w:ascii="Segoe UI" w:eastAsia="Times New Roman" w:hAnsi="Segoe UI" w:cs="Segoe UI"/>
          <w:sz w:val="21"/>
          <w:szCs w:val="21"/>
        </w:rPr>
        <w:br/>
        <w:t xml:space="preserve">But they must run them </w:t>
      </w:r>
      <w:r w:rsidRPr="006E4DC2">
        <w:rPr>
          <w:rFonts w:ascii="Segoe UI" w:eastAsia="Times New Roman" w:hAnsi="Segoe UI" w:cs="Segoe UI"/>
          <w:b/>
          <w:bCs/>
          <w:sz w:val="21"/>
          <w:szCs w:val="21"/>
        </w:rPr>
        <w:t>inside a governed internal environment</w:t>
      </w:r>
      <w:r w:rsidRPr="006E4DC2">
        <w:rPr>
          <w:rFonts w:ascii="Segoe UI" w:eastAsia="Times New Roman" w:hAnsi="Segoe UI" w:cs="Segoe UI"/>
          <w:sz w:val="21"/>
          <w:szCs w:val="21"/>
        </w:rPr>
        <w:t xml:space="preserve">. </w:t>
      </w:r>
      <w:hyperlink r:id="rId14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[action.deloitte.com]</w:t>
        </w:r>
      </w:hyperlink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Requirements for external agents:</w:t>
      </w:r>
    </w:p>
    <w:p w:rsidR="006E4DC2" w:rsidRPr="006E4DC2" w:rsidRDefault="006E4DC2" w:rsidP="000E266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Must be sandboxed</w:t>
      </w:r>
    </w:p>
    <w:p w:rsidR="006E4DC2" w:rsidRPr="006E4DC2" w:rsidRDefault="006E4DC2" w:rsidP="000E266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Must pass internal security review</w:t>
      </w:r>
    </w:p>
    <w:p w:rsidR="006E4DC2" w:rsidRPr="006E4DC2" w:rsidRDefault="006E4DC2" w:rsidP="000E266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Must support enterprise agent protocols</w:t>
      </w:r>
    </w:p>
    <w:p w:rsidR="006E4DC2" w:rsidRPr="006E4DC2" w:rsidRDefault="006E4DC2" w:rsidP="000E266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Must support standardized tool usage</w:t>
      </w:r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7. Implement Spend and Usage Controls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AI agents increasingly use outcome-based or token-based billing.</w:t>
      </w:r>
      <w:r w:rsidRPr="006E4DC2">
        <w:rPr>
          <w:rFonts w:ascii="Segoe UI" w:eastAsia="Times New Roman" w:hAnsi="Segoe UI" w:cs="Segoe UI"/>
          <w:sz w:val="21"/>
          <w:szCs w:val="21"/>
        </w:rPr>
        <w:br/>
        <w:t>Prices vary per task, per outcome, or per workflow.</w:t>
      </w:r>
      <w:r w:rsidRPr="006E4DC2">
        <w:rPr>
          <w:rFonts w:ascii="Segoe UI" w:eastAsia="Times New Roman" w:hAnsi="Segoe UI" w:cs="Segoe UI"/>
          <w:sz w:val="21"/>
          <w:szCs w:val="21"/>
        </w:rPr>
        <w:br/>
        <w:t xml:space="preserve">Token-based economies are emerging. </w:t>
      </w:r>
      <w:hyperlink r:id="rId15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  <w:r w:rsidRPr="006E4DC2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6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[artofprocurement.com]</w:t>
        </w:r>
      </w:hyperlink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Controls to implement:</w:t>
      </w:r>
    </w:p>
    <w:p w:rsidR="006E4DC2" w:rsidRPr="006E4DC2" w:rsidRDefault="006E4DC2" w:rsidP="000E266F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Daily/monthly agent usage caps</w:t>
      </w:r>
    </w:p>
    <w:p w:rsidR="006E4DC2" w:rsidRPr="006E4DC2" w:rsidRDefault="006E4DC2" w:rsidP="000E266F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Budgeting per agent/per team</w:t>
      </w:r>
    </w:p>
    <w:p w:rsidR="006E4DC2" w:rsidRPr="006E4DC2" w:rsidRDefault="006E4DC2" w:rsidP="000E266F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Cost anomaly detection</w:t>
      </w:r>
    </w:p>
    <w:p w:rsidR="006E4DC2" w:rsidRPr="006E4DC2" w:rsidRDefault="006E4DC2" w:rsidP="000E266F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Automatic shutdown for overspending</w:t>
      </w:r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8. Design the Data Architecture for AI Agents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AI agents rely heavily on grounding data, memory, and tool access.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Microsoft guidance emphasizes structured, org-wide data architecture for scalable agents. </w:t>
      </w:r>
      <w:hyperlink r:id="rId17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[learn.microsoft.com]</w:t>
        </w:r>
      </w:hyperlink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Architecture should include:</w:t>
      </w:r>
    </w:p>
    <w:p w:rsidR="006E4DC2" w:rsidRPr="006E4DC2" w:rsidRDefault="006E4DC2" w:rsidP="000E266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Centralized vector storage / semantic retrieval</w:t>
      </w:r>
    </w:p>
    <w:p w:rsidR="006E4DC2" w:rsidRPr="006E4DC2" w:rsidRDefault="006E4DC2" w:rsidP="000E266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Data classification</w:t>
      </w:r>
    </w:p>
    <w:p w:rsidR="006E4DC2" w:rsidRPr="006E4DC2" w:rsidRDefault="006E4DC2" w:rsidP="000E266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Access governance</w:t>
      </w:r>
    </w:p>
    <w:p w:rsidR="006E4DC2" w:rsidRPr="006E4DC2" w:rsidRDefault="006E4DC2" w:rsidP="000E266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Agent memory controls</w:t>
      </w:r>
    </w:p>
    <w:p w:rsidR="006E4DC2" w:rsidRPr="006E4DC2" w:rsidRDefault="006E4DC2" w:rsidP="000E266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Data lineage and auditability</w:t>
      </w:r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9. Support Developer and Citizen-Developer Enablement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Provide tools and frameworks for internal agent creation: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Provide:</w:t>
      </w:r>
    </w:p>
    <w:p w:rsidR="006E4DC2" w:rsidRPr="006E4DC2" w:rsidRDefault="006E4DC2" w:rsidP="000E266F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E4DC2">
        <w:rPr>
          <w:rFonts w:ascii="Segoe UI" w:eastAsia="Times New Roman" w:hAnsi="Segoe UI" w:cs="Segoe UI"/>
          <w:sz w:val="21"/>
          <w:szCs w:val="21"/>
        </w:rPr>
        <w:t>LangChain</w:t>
      </w:r>
      <w:proofErr w:type="spellEnd"/>
      <w:r w:rsidRPr="006E4DC2">
        <w:rPr>
          <w:rFonts w:ascii="Segoe UI" w:eastAsia="Times New Roman" w:hAnsi="Segoe UI" w:cs="Segoe UI"/>
          <w:sz w:val="21"/>
          <w:szCs w:val="21"/>
        </w:rPr>
        <w:t xml:space="preserve">/LCEL, Microsoft Foundry, </w:t>
      </w:r>
      <w:proofErr w:type="spellStart"/>
      <w:r w:rsidRPr="006E4DC2">
        <w:rPr>
          <w:rFonts w:ascii="Segoe UI" w:eastAsia="Times New Roman" w:hAnsi="Segoe UI" w:cs="Segoe UI"/>
          <w:sz w:val="21"/>
          <w:szCs w:val="21"/>
        </w:rPr>
        <w:t>Databricks</w:t>
      </w:r>
      <w:proofErr w:type="spellEnd"/>
      <w:r w:rsidRPr="006E4DC2">
        <w:rPr>
          <w:rFonts w:ascii="Segoe UI" w:eastAsia="Times New Roman" w:hAnsi="Segoe UI" w:cs="Segoe UI"/>
          <w:sz w:val="21"/>
          <w:szCs w:val="21"/>
        </w:rPr>
        <w:t xml:space="preserve"> Agent Framework</w:t>
      </w:r>
    </w:p>
    <w:p w:rsidR="006E4DC2" w:rsidRPr="006E4DC2" w:rsidRDefault="006E4DC2" w:rsidP="000E266F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Reusable templates and blueprints</w:t>
      </w:r>
    </w:p>
    <w:p w:rsidR="006E4DC2" w:rsidRPr="006E4DC2" w:rsidRDefault="006E4DC2" w:rsidP="000E266F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SDKs for integration with internal systems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AI agent creation is now accessible due to modern frameworks that simplify building sophisticated agents. </w:t>
      </w:r>
      <w:hyperlink r:id="rId18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[techpilot.ai]</w:t>
        </w:r>
      </w:hyperlink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10. Launch &amp; Scale the Marketplace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Launch Plan</w:t>
      </w:r>
    </w:p>
    <w:p w:rsidR="006E4DC2" w:rsidRPr="006E4DC2" w:rsidRDefault="006E4DC2" w:rsidP="000E266F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Internal awareness campaign</w:t>
      </w:r>
    </w:p>
    <w:p w:rsidR="006E4DC2" w:rsidRPr="006E4DC2" w:rsidRDefault="006E4DC2" w:rsidP="000E266F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Training sessions for business units</w:t>
      </w:r>
    </w:p>
    <w:p w:rsidR="006E4DC2" w:rsidRPr="006E4DC2" w:rsidRDefault="006E4DC2" w:rsidP="000E266F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Publish 10–20 high-impact starter agents (IT, HR, finance, compliance)</w:t>
      </w:r>
    </w:p>
    <w:p w:rsidR="006E4DC2" w:rsidRPr="006E4DC2" w:rsidRDefault="006E4DC2" w:rsidP="000E266F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Create a “Request-an-Agent” intake workflow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Scale Plan</w:t>
      </w:r>
    </w:p>
    <w:p w:rsidR="006E4DC2" w:rsidRPr="006E4DC2" w:rsidRDefault="006E4DC2" w:rsidP="000E266F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Continuous agent performance review</w:t>
      </w:r>
    </w:p>
    <w:p w:rsidR="006E4DC2" w:rsidRPr="006E4DC2" w:rsidRDefault="006E4DC2" w:rsidP="000E266F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Quarterly governance updates</w:t>
      </w:r>
    </w:p>
    <w:p w:rsidR="006E4DC2" w:rsidRPr="006E4DC2" w:rsidRDefault="006E4DC2" w:rsidP="000E266F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Expand integrations and APIs</w:t>
      </w:r>
    </w:p>
    <w:p w:rsidR="006E4DC2" w:rsidRPr="006E4DC2" w:rsidRDefault="006E4DC2" w:rsidP="000E266F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Add domain-specific agent verticals (finance, operations, supply chain</w:t>
      </w:r>
      <w:proofErr w:type="gramStart"/>
      <w:r w:rsidRPr="006E4DC2">
        <w:rPr>
          <w:rFonts w:ascii="Segoe UI" w:eastAsia="Times New Roman" w:hAnsi="Segoe UI" w:cs="Segoe UI"/>
          <w:sz w:val="21"/>
          <w:szCs w:val="21"/>
        </w:rPr>
        <w:t>)</w:t>
      </w:r>
      <w:proofErr w:type="gramEnd"/>
      <w:r w:rsidRPr="006E4DC2">
        <w:rPr>
          <w:rFonts w:ascii="Segoe UI" w:eastAsia="Times New Roman" w:hAnsi="Segoe UI" w:cs="Segoe UI"/>
          <w:sz w:val="21"/>
          <w:szCs w:val="21"/>
        </w:rPr>
        <w:br/>
        <w:t xml:space="preserve">AI agents will increasingly collaborate across functions and run 24/7, scaling business operations. </w:t>
      </w:r>
      <w:hyperlink r:id="rId19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[kpmg.com]</w:t>
        </w:r>
      </w:hyperlink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11. Operate &amp; Monitor the Marketplace</w:t>
      </w:r>
    </w:p>
    <w:p w:rsidR="006E4DC2" w:rsidRPr="006E4DC2" w:rsidRDefault="006E4DC2" w:rsidP="000E266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E4DC2">
        <w:rPr>
          <w:rFonts w:ascii="Segoe UI" w:eastAsia="Times New Roman" w:hAnsi="Segoe UI" w:cs="Segoe UI"/>
          <w:b/>
          <w:bCs/>
          <w:sz w:val="27"/>
          <w:szCs w:val="27"/>
        </w:rPr>
        <w:t>Ongoing responsibilities:</w:t>
      </w:r>
    </w:p>
    <w:p w:rsidR="006E4DC2" w:rsidRPr="006E4DC2" w:rsidRDefault="006E4DC2" w:rsidP="000E266F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lastRenderedPageBreak/>
        <w:t>Monitor agent behavior and drift</w:t>
      </w:r>
    </w:p>
    <w:p w:rsidR="006E4DC2" w:rsidRPr="006E4DC2" w:rsidRDefault="006E4DC2" w:rsidP="000E266F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Update agent versions and retire outdated ones</w:t>
      </w:r>
    </w:p>
    <w:p w:rsidR="006E4DC2" w:rsidRPr="006E4DC2" w:rsidRDefault="006E4DC2" w:rsidP="000E266F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Track usage, adoption patterns, and ROI</w:t>
      </w:r>
    </w:p>
    <w:p w:rsidR="006E4DC2" w:rsidRPr="006E4DC2" w:rsidRDefault="006E4DC2" w:rsidP="000E266F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>Continuously secure the environment</w:t>
      </w:r>
    </w:p>
    <w:p w:rsidR="006E4DC2" w:rsidRPr="006E4DC2" w:rsidRDefault="006E4DC2" w:rsidP="000E266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E4DC2">
        <w:rPr>
          <w:rFonts w:ascii="Segoe UI" w:eastAsia="Times New Roman" w:hAnsi="Segoe UI" w:cs="Segoe UI"/>
          <w:sz w:val="21"/>
          <w:szCs w:val="21"/>
        </w:rPr>
        <w:t xml:space="preserve">AI agents require continuous monitoring and refinement to remain effective. </w:t>
      </w:r>
      <w:hyperlink r:id="rId20" w:history="1">
        <w:r w:rsidRPr="006E4DC2">
          <w:rPr>
            <w:rFonts w:ascii="Segoe UI" w:eastAsia="Times New Roman" w:hAnsi="Segoe UI" w:cs="Segoe UI"/>
            <w:color w:val="464FEB"/>
            <w:sz w:val="21"/>
            <w:szCs w:val="21"/>
          </w:rPr>
          <w:t>[techpilot.ai]</w:t>
        </w:r>
      </w:hyperlink>
    </w:p>
    <w:p w:rsidR="006E4DC2" w:rsidRPr="006E4DC2" w:rsidRDefault="006E4DC2" w:rsidP="000E266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E4DC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Final Summary: What You Need to Launch an Internal AI Marketplace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5170"/>
      </w:tblGrid>
      <w:tr w:rsidR="006E4DC2" w:rsidRPr="006E4DC2" w:rsidTr="006E4D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Actions</w:t>
            </w:r>
          </w:p>
        </w:tc>
      </w:tr>
      <w:tr w:rsidR="006E4DC2" w:rsidRPr="006E4DC2" w:rsidTr="006E4DC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sz w:val="24"/>
                <w:szCs w:val="24"/>
              </w:rPr>
              <w:t>Define goals, scope, governance, marketplace model</w:t>
            </w:r>
          </w:p>
        </w:tc>
      </w:tr>
      <w:tr w:rsidR="006E4DC2" w:rsidRPr="006E4DC2" w:rsidTr="006E4DC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sz w:val="24"/>
                <w:szCs w:val="24"/>
              </w:rPr>
              <w:t>Build or procure an internal agent marketplace</w:t>
            </w:r>
          </w:p>
        </w:tc>
      </w:tr>
      <w:tr w:rsidR="006E4DC2" w:rsidRPr="006E4DC2" w:rsidTr="006E4DC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sz w:val="24"/>
                <w:szCs w:val="24"/>
              </w:rPr>
              <w:t>Vetting, compliance, risk scoring, versioning</w:t>
            </w:r>
          </w:p>
        </w:tc>
      </w:tr>
      <w:tr w:rsidR="006E4DC2" w:rsidRPr="006E4DC2" w:rsidTr="006E4DC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plane for agent actions &amp; policies</w:t>
            </w:r>
          </w:p>
        </w:tc>
      </w:tr>
      <w:tr w:rsidR="006E4DC2" w:rsidRPr="006E4DC2" w:rsidTr="006E4DC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Publishing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sz w:val="24"/>
                <w:szCs w:val="24"/>
              </w:rPr>
              <w:t>Submit → vet → publish → monitor workflow</w:t>
            </w:r>
          </w:p>
        </w:tc>
      </w:tr>
      <w:tr w:rsidR="006E4DC2" w:rsidRPr="006E4DC2" w:rsidTr="006E4DC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sz w:val="24"/>
                <w:szCs w:val="24"/>
              </w:rPr>
              <w:t>Connect internal data, APIs, and tools</w:t>
            </w:r>
          </w:p>
        </w:tc>
      </w:tr>
      <w:tr w:rsidR="006E4DC2" w:rsidRPr="006E4DC2" w:rsidTr="006E4DC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sz w:val="24"/>
                <w:szCs w:val="24"/>
              </w:rPr>
              <w:t>Spend, security, data, access, auditing</w:t>
            </w:r>
          </w:p>
        </w:tc>
      </w:tr>
      <w:tr w:rsidR="006E4DC2" w:rsidRPr="006E4DC2" w:rsidTr="006E4DC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E4DC2" w:rsidRPr="006E4DC2" w:rsidRDefault="006E4DC2" w:rsidP="000E2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DC2">
              <w:rPr>
                <w:rFonts w:ascii="Times New Roman" w:eastAsia="Times New Roman" w:hAnsi="Times New Roman" w:cs="Times New Roman"/>
                <w:sz w:val="24"/>
                <w:szCs w:val="24"/>
              </w:rPr>
              <w:t>Monitor, iterate, scale agent ecosystem</w:t>
            </w:r>
          </w:p>
        </w:tc>
      </w:tr>
    </w:tbl>
    <w:p w:rsidR="004F2D61" w:rsidRDefault="004F2D61" w:rsidP="000E266F">
      <w:pPr>
        <w:spacing w:after="0" w:line="300" w:lineRule="atLeast"/>
      </w:pPr>
      <w:bookmarkStart w:id="0" w:name="_GoBack"/>
      <w:bookmarkEnd w:id="0"/>
    </w:p>
    <w:sectPr w:rsidR="004F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E0ABC"/>
    <w:multiLevelType w:val="multilevel"/>
    <w:tmpl w:val="EC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87FE3"/>
    <w:multiLevelType w:val="multilevel"/>
    <w:tmpl w:val="1BC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36499"/>
    <w:multiLevelType w:val="multilevel"/>
    <w:tmpl w:val="F9A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79519A"/>
    <w:multiLevelType w:val="multilevel"/>
    <w:tmpl w:val="7F6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4910EF"/>
    <w:multiLevelType w:val="multilevel"/>
    <w:tmpl w:val="C162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EA7E9A"/>
    <w:multiLevelType w:val="multilevel"/>
    <w:tmpl w:val="3A3E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C71951"/>
    <w:multiLevelType w:val="multilevel"/>
    <w:tmpl w:val="F80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8F2127"/>
    <w:multiLevelType w:val="multilevel"/>
    <w:tmpl w:val="255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6C13CC"/>
    <w:multiLevelType w:val="multilevel"/>
    <w:tmpl w:val="3A0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1837D1"/>
    <w:multiLevelType w:val="multilevel"/>
    <w:tmpl w:val="37E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A917F2"/>
    <w:multiLevelType w:val="multilevel"/>
    <w:tmpl w:val="BB7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806D4C"/>
    <w:multiLevelType w:val="multilevel"/>
    <w:tmpl w:val="9C1C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FA1CB3"/>
    <w:multiLevelType w:val="multilevel"/>
    <w:tmpl w:val="540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B34FB0"/>
    <w:multiLevelType w:val="multilevel"/>
    <w:tmpl w:val="D44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E6440D"/>
    <w:multiLevelType w:val="multilevel"/>
    <w:tmpl w:val="D2E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A57925"/>
    <w:multiLevelType w:val="multilevel"/>
    <w:tmpl w:val="B402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FC613DA"/>
    <w:multiLevelType w:val="multilevel"/>
    <w:tmpl w:val="9ED6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9"/>
  </w:num>
  <w:num w:numId="5">
    <w:abstractNumId w:val="0"/>
  </w:num>
  <w:num w:numId="6">
    <w:abstractNumId w:val="1"/>
  </w:num>
  <w:num w:numId="7">
    <w:abstractNumId w:val="6"/>
  </w:num>
  <w:num w:numId="8">
    <w:abstractNumId w:val="7"/>
  </w:num>
  <w:num w:numId="9">
    <w:abstractNumId w:val="10"/>
  </w:num>
  <w:num w:numId="10">
    <w:abstractNumId w:val="15"/>
  </w:num>
  <w:num w:numId="11">
    <w:abstractNumId w:val="8"/>
  </w:num>
  <w:num w:numId="12">
    <w:abstractNumId w:val="3"/>
  </w:num>
  <w:num w:numId="13">
    <w:abstractNumId w:val="14"/>
  </w:num>
  <w:num w:numId="14">
    <w:abstractNumId w:val="4"/>
  </w:num>
  <w:num w:numId="15">
    <w:abstractNumId w:val="2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5ED"/>
    <w:rsid w:val="000E266F"/>
    <w:rsid w:val="002225ED"/>
    <w:rsid w:val="004F2D61"/>
    <w:rsid w:val="006E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9B0270-1B03-4A6E-B17E-B0795F35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6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cloud-adoption-framework/ai-agents/" TargetMode="External"/><Relationship Id="rId13" Type="http://schemas.openxmlformats.org/officeDocument/2006/relationships/hyperlink" Target="https://action.deloitte.com/insight/4733/understanding-ai-agent-marketplaces-inside-and-out" TargetMode="External"/><Relationship Id="rId18" Type="http://schemas.openxmlformats.org/officeDocument/2006/relationships/hyperlink" Target="https://techpilot.ai/creating-ai-agent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ction.deloitte.com/insight/4733/understanding-ai-agent-marketplaces-inside-and-out" TargetMode="External"/><Relationship Id="rId12" Type="http://schemas.openxmlformats.org/officeDocument/2006/relationships/hyperlink" Target="https://www.levelpath.com/articles/gartner-innovation-insight-procurement-orchestration-platforms-2025/" TargetMode="External"/><Relationship Id="rId17" Type="http://schemas.openxmlformats.org/officeDocument/2006/relationships/hyperlink" Target="https://learn.microsoft.com/en-us/azure/cloud-adoption-framework/ai-agent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tofprocurement.com/blog/state-of-ai-in-procurement" TargetMode="External"/><Relationship Id="rId20" Type="http://schemas.openxmlformats.org/officeDocument/2006/relationships/hyperlink" Target="https://techpilot.ai/creating-ai-agent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ction.deloitte.com/insight/4733/understanding-ai-agent-marketplaces-inside-and-out" TargetMode="External"/><Relationship Id="rId11" Type="http://schemas.openxmlformats.org/officeDocument/2006/relationships/hyperlink" Target="https://www.tonkean.com/blog/the-state-of-procurement-orchestration-in-2026" TargetMode="External"/><Relationship Id="rId5" Type="http://schemas.openxmlformats.org/officeDocument/2006/relationships/hyperlink" Target="https://action.deloitte.com/insight/4733/understanding-ai-agent-marketplaces-inside-and-out" TargetMode="External"/><Relationship Id="rId15" Type="http://schemas.openxmlformats.org/officeDocument/2006/relationships/hyperlink" Target="https://www.govloop.com/community/blog/shadow-procurement-micro-purchases-and-unvetted-ai/" TargetMode="External"/><Relationship Id="rId10" Type="http://schemas.openxmlformats.org/officeDocument/2006/relationships/hyperlink" Target="https://action.deloitte.com/insight/4733/understanding-ai-agent-marketplaces-inside-and-out" TargetMode="External"/><Relationship Id="rId19" Type="http://schemas.openxmlformats.org/officeDocument/2006/relationships/hyperlink" Target="https://kpmg.com/us/en/articles/2025/deploying-ai-agen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ity.databricks.com/t5/technical-blog/building-intelligent-ai-agents-the-complete-guide-from-blueprint/ba-p/115708" TargetMode="External"/><Relationship Id="rId14" Type="http://schemas.openxmlformats.org/officeDocument/2006/relationships/hyperlink" Target="https://action.deloitte.com/insight/4733/understanding-ai-agent-marketplaces-inside-and-ou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1220</Words>
  <Characters>6959</Characters>
  <Application>Microsoft Office Word</Application>
  <DocSecurity>0</DocSecurity>
  <Lines>57</Lines>
  <Paragraphs>16</Paragraphs>
  <ScaleCrop>false</ScaleCrop>
  <Company/>
  <LinksUpToDate>false</LinksUpToDate>
  <CharactersWithSpaces>8163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2026-01-22T11:45:00Z</dcterms:created>
  <dcterms:modified xsi:type="dcterms:W3CDTF">2026-01-22T12:01:00Z</dcterms:modified>
</cp:coreProperties>
</file>