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75A" w:rsidRDefault="00CB2AE1">
      <w:r>
        <w:t xml:space="preserve">Below is a </w:t>
      </w:r>
      <w:r>
        <w:rPr>
          <w:b/>
          <w:bCs/>
        </w:rPr>
        <w:t>practical, detailed note</w:t>
      </w:r>
      <w:r>
        <w:t xml:space="preserve"> on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AI—its risks</w:t>
      </w:r>
      <w:r>
        <w:t xml:space="preserve"> and </w:t>
      </w:r>
      <w:r>
        <w:rPr>
          <w:b/>
          <w:bCs/>
        </w:rPr>
        <w:t>the tools/services/platforms to analyze and mitigate them</w:t>
      </w:r>
      <w:r>
        <w:t xml:space="preserve">, with </w:t>
      </w:r>
      <w:r>
        <w:rPr>
          <w:b/>
          <w:bCs/>
        </w:rPr>
        <w:t>external references</w:t>
      </w:r>
      <w:r>
        <w:t xml:space="preserve"> throughout. It focuses on </w:t>
      </w:r>
      <w:r>
        <w:rPr>
          <w:i/>
          <w:iCs/>
        </w:rPr>
        <w:t>software agents powered by LLMs or multi‑modal models</w:t>
      </w:r>
      <w:r>
        <w:t xml:space="preserve"> that can plan, use tools, take multi‑step actions, and operate semi‑autonomously.</w:t>
      </w:r>
    </w:p>
    <w:p w:rsidR="00DC175A" w:rsidRDefault="00DC175A">
      <w:pPr>
        <w:pBdr>
          <w:top w:val="single" w:sz="12" w:space="0" w:color="auto"/>
        </w:pBdr>
        <w:spacing w:after="0"/>
      </w:pPr>
    </w:p>
    <w:p w:rsidR="00DC175A" w:rsidRDefault="00CB2AE1">
      <w:pPr>
        <w:pStyle w:val="Heading2"/>
      </w:pPr>
      <w:r>
        <w:t>What is “</w:t>
      </w:r>
      <w:proofErr w:type="spellStart"/>
      <w:r>
        <w:t>Agentic</w:t>
      </w:r>
      <w:proofErr w:type="spellEnd"/>
      <w:r>
        <w:t xml:space="preserve"> AI”?</w:t>
      </w:r>
    </w:p>
    <w:p w:rsidR="00DC175A" w:rsidRDefault="00CB2AE1"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</w:t>
      </w:r>
      <w:r>
        <w:t xml:space="preserve"> refers to AI systems that don’t just generate text or images—they </w:t>
      </w:r>
      <w:r>
        <w:rPr>
          <w:b/>
          <w:bCs/>
        </w:rPr>
        <w:t>plan, decide, and act</w:t>
      </w:r>
      <w:r>
        <w:t xml:space="preserve"> (often via tools, APIs, browsers, code interpreters</w:t>
      </w:r>
      <w:r>
        <w:t xml:space="preserve">, databases, or RPA), sometimes coordinating with other agents, and increasingly with memory and long‑horizon objectives. As general‑purpose models advance, authoritative studies flag </w:t>
      </w:r>
      <w:proofErr w:type="spellStart"/>
      <w:r>
        <w:t>agentic</w:t>
      </w:r>
      <w:proofErr w:type="spellEnd"/>
      <w:r>
        <w:t xml:space="preserve"> capabilities as a </w:t>
      </w:r>
      <w:r>
        <w:rPr>
          <w:b/>
          <w:bCs/>
        </w:rPr>
        <w:t>distinct risk surface</w:t>
      </w:r>
      <w:r>
        <w:t xml:space="preserve"> requiring stronger evalu</w:t>
      </w:r>
      <w:r>
        <w:t xml:space="preserve">ations and scalable safeguards. The </w:t>
      </w:r>
      <w:r>
        <w:rPr>
          <w:b/>
          <w:bCs/>
        </w:rPr>
        <w:t>International AI Safety Report (2025)</w:t>
      </w:r>
      <w:r>
        <w:t xml:space="preserve"> synthesizes the scientific state of risks for general‑purpose systems, including autonomous behaviors and misuse potential. </w:t>
      </w:r>
      <w:r>
        <w:rPr>
          <w:rStyle w:val="FootnoteReference"/>
        </w:rPr>
        <w:footnoteReference w:id="1"/>
      </w:r>
      <w:r>
        <w:t xml:space="preserve">  In parallel, </w:t>
      </w:r>
      <w:r>
        <w:rPr>
          <w:b/>
          <w:bCs/>
        </w:rPr>
        <w:t>NIST</w:t>
      </w:r>
      <w:r>
        <w:t xml:space="preserve"> recommends a </w:t>
      </w:r>
      <w:r>
        <w:rPr>
          <w:i/>
          <w:iCs/>
        </w:rPr>
        <w:t>risk‑based</w:t>
      </w:r>
      <w:r>
        <w:t xml:space="preserve"> lifecycle pro</w:t>
      </w:r>
      <w:r>
        <w:t xml:space="preserve">gram (governance → mapping → measurement → mitigation → monitoring) for such systems. </w:t>
      </w:r>
      <w:r>
        <w:rPr>
          <w:rStyle w:val="FootnoteReference"/>
        </w:rPr>
        <w:footnoteReference w:id="2"/>
      </w:r>
    </w:p>
    <w:p w:rsidR="00DC175A" w:rsidRDefault="00DC175A">
      <w:pPr>
        <w:pBdr>
          <w:top w:val="single" w:sz="12" w:space="0" w:color="auto"/>
        </w:pBdr>
        <w:spacing w:after="0"/>
      </w:pPr>
    </w:p>
    <w:p w:rsidR="00DC175A" w:rsidRDefault="00CB2AE1">
      <w:pPr>
        <w:pStyle w:val="Heading2"/>
      </w:pPr>
      <w:r>
        <w:t xml:space="preserve">Core Risk Categories for </w:t>
      </w:r>
      <w:proofErr w:type="spellStart"/>
      <w:r>
        <w:t>Agentic</w:t>
      </w:r>
      <w:proofErr w:type="spellEnd"/>
      <w:r>
        <w:t xml:space="preserve"> AI (with examples &amp; references)</w:t>
      </w:r>
    </w:p>
    <w:p w:rsidR="00DC175A" w:rsidRDefault="00CB2AE1">
      <w:pPr>
        <w:pStyle w:val="ListParagraph"/>
        <w:numPr>
          <w:ilvl w:val="0"/>
          <w:numId w:val="2"/>
        </w:numPr>
      </w:pPr>
      <w:r>
        <w:rPr>
          <w:b/>
          <w:bCs/>
        </w:rPr>
        <w:t>Prompt Injection &amp; Tool/Environment Compromise</w:t>
      </w:r>
      <w:r>
        <w:br/>
        <w:t>Agents that read external content (web pages, PDFs, ema</w:t>
      </w:r>
      <w:r>
        <w:t xml:space="preserve">ils) can be </w:t>
      </w:r>
      <w:r>
        <w:rPr>
          <w:b/>
          <w:bCs/>
        </w:rPr>
        <w:t>indirectly instructed</w:t>
      </w:r>
      <w:r>
        <w:t xml:space="preserve"> to </w:t>
      </w:r>
      <w:proofErr w:type="spellStart"/>
      <w:r>
        <w:t>exfiltrate</w:t>
      </w:r>
      <w:proofErr w:type="spellEnd"/>
      <w:r>
        <w:t xml:space="preserve"> secrets, call dangerous tools, or violate policies (“indirect prompt injection”). This is a top class in the </w:t>
      </w:r>
      <w:r>
        <w:rPr>
          <w:b/>
          <w:bCs/>
        </w:rPr>
        <w:t>OWASP Top‑10 for LLM Applications</w:t>
      </w:r>
      <w:r>
        <w:t>, which also covers insecure output handling and excessive agent p</w:t>
      </w:r>
      <w:r>
        <w:t xml:space="preserve">ermissions. </w:t>
      </w:r>
      <w:r>
        <w:rPr>
          <w:rStyle w:val="FootnoteReference"/>
        </w:rPr>
        <w:footnoteReference w:id="3"/>
      </w:r>
      <w:r>
        <w:t xml:space="preserve">  NIST highlights adversarial manipulations and model‑specific attacks (e.g., data poisoning, model extraction) that can cascade when agents execute actions. </w:t>
      </w:r>
      <w:r>
        <w:rPr>
          <w:rStyle w:val="FootnoteReference"/>
        </w:rPr>
        <w:footnoteReference w:id="4"/>
      </w:r>
    </w:p>
    <w:p w:rsidR="00DC175A" w:rsidRDefault="00CB2AE1">
      <w:pPr>
        <w:pStyle w:val="ListParagraph"/>
        <w:numPr>
          <w:ilvl w:val="0"/>
          <w:numId w:val="2"/>
        </w:numPr>
      </w:pPr>
      <w:r>
        <w:rPr>
          <w:b/>
          <w:bCs/>
        </w:rPr>
        <w:t>Excessive Agency &amp; Unsafe Autonomy</w:t>
      </w:r>
      <w:r>
        <w:br/>
        <w:t>Multi‑step agents can loop, escalate privileges,</w:t>
      </w:r>
      <w:r>
        <w:t xml:space="preserve"> or operate outside intended scope (e.g., </w:t>
      </w:r>
      <w:proofErr w:type="spellStart"/>
      <w:r>
        <w:t>unsandboxed</w:t>
      </w:r>
      <w:proofErr w:type="spellEnd"/>
      <w:r>
        <w:t xml:space="preserve"> code execution, file system changes, or financial transactions) if guardrails are weak. OWASP explicitly lists </w:t>
      </w:r>
      <w:r>
        <w:rPr>
          <w:i/>
          <w:iCs/>
        </w:rPr>
        <w:t>excessive agency</w:t>
      </w:r>
      <w:r>
        <w:t xml:space="preserve"> and </w:t>
      </w:r>
      <w:r>
        <w:rPr>
          <w:i/>
          <w:iCs/>
        </w:rPr>
        <w:t xml:space="preserve">inadequate </w:t>
      </w:r>
      <w:proofErr w:type="gramStart"/>
      <w:r>
        <w:rPr>
          <w:i/>
          <w:iCs/>
        </w:rPr>
        <w:lastRenderedPageBreak/>
        <w:t>sandboxing</w:t>
      </w:r>
      <w:proofErr w:type="gramEnd"/>
      <w:r>
        <w:t xml:space="preserve"> as critical LLM risks. </w:t>
      </w:r>
      <w:r>
        <w:rPr>
          <w:rStyle w:val="FootnoteReference"/>
        </w:rPr>
        <w:footnoteReference w:id="5"/>
      </w:r>
      <w:r>
        <w:t xml:space="preserve">  The </w:t>
      </w:r>
      <w:r>
        <w:rPr>
          <w:b/>
          <w:bCs/>
        </w:rPr>
        <w:t>International AI S</w:t>
      </w:r>
      <w:r>
        <w:rPr>
          <w:b/>
          <w:bCs/>
        </w:rPr>
        <w:t>afety Report</w:t>
      </w:r>
      <w:r>
        <w:t xml:space="preserve"> warns that as capabilities scale, </w:t>
      </w:r>
      <w:proofErr w:type="spellStart"/>
      <w:r>
        <w:t>mis</w:t>
      </w:r>
      <w:proofErr w:type="spellEnd"/>
      <w:r>
        <w:t xml:space="preserve">‑specified objectives and insufficient oversight increase the likelihood of </w:t>
      </w:r>
      <w:r>
        <w:rPr>
          <w:b/>
          <w:bCs/>
        </w:rPr>
        <w:t>unintended, high‑impact behaviors</w:t>
      </w:r>
      <w:r>
        <w:t xml:space="preserve">. </w:t>
      </w:r>
      <w:r>
        <w:rPr>
          <w:rStyle w:val="FootnoteReference"/>
        </w:rPr>
        <w:footnoteReference w:id="6"/>
      </w:r>
    </w:p>
    <w:p w:rsidR="00DC175A" w:rsidRDefault="00CB2AE1">
      <w:pPr>
        <w:pStyle w:val="ListParagraph"/>
        <w:numPr>
          <w:ilvl w:val="0"/>
          <w:numId w:val="2"/>
        </w:numPr>
      </w:pPr>
      <w:r>
        <w:rPr>
          <w:b/>
          <w:bCs/>
        </w:rPr>
        <w:t>Hallucinations, Ungrounded Actions &amp; Tool Misuse</w:t>
      </w:r>
      <w:r>
        <w:br/>
        <w:t>Agents may confidently hallucinate facts, th</w:t>
      </w:r>
      <w:r>
        <w:t xml:space="preserve">en </w:t>
      </w:r>
      <w:r>
        <w:rPr>
          <w:b/>
          <w:bCs/>
        </w:rPr>
        <w:t>act</w:t>
      </w:r>
      <w:r>
        <w:t xml:space="preserve"> on false premises (booking wrong vendors, filing incorrect tickets, writing insecure code). Both </w:t>
      </w:r>
      <w:r>
        <w:rPr>
          <w:b/>
          <w:bCs/>
        </w:rPr>
        <w:t>NIST</w:t>
      </w:r>
      <w:r>
        <w:t xml:space="preserve"> and company indexes note gaps in pre‑deployment safety testing and post‑deployment monitoring; the </w:t>
      </w:r>
      <w:r>
        <w:rPr>
          <w:b/>
          <w:bCs/>
        </w:rPr>
        <w:t>FLI AI Safety Index (2025)</w:t>
      </w:r>
      <w:r>
        <w:t xml:space="preserve"> finds industry practi</w:t>
      </w:r>
      <w:r>
        <w:t xml:space="preserve">ces often lag behind capability advances. </w:t>
      </w:r>
      <w:r>
        <w:rPr>
          <w:rStyle w:val="FootnoteReference"/>
        </w:rPr>
        <w:footnoteReference w:id="7"/>
      </w:r>
      <w:r>
        <w:t xml:space="preserve"> </w:t>
      </w:r>
      <w:r>
        <w:rPr>
          <w:rStyle w:val="FootnoteReference"/>
        </w:rPr>
        <w:footnoteReference w:id="8"/>
      </w:r>
    </w:p>
    <w:p w:rsidR="00DC175A" w:rsidRDefault="00CB2AE1">
      <w:pPr>
        <w:pStyle w:val="ListParagraph"/>
        <w:numPr>
          <w:ilvl w:val="0"/>
          <w:numId w:val="2"/>
        </w:numPr>
      </w:pPr>
      <w:r>
        <w:rPr>
          <w:b/>
          <w:bCs/>
        </w:rPr>
        <w:t>Privacy, Data Leakage &amp; IP Risks</w:t>
      </w:r>
      <w:r>
        <w:br/>
        <w:t xml:space="preserve">Agents reading internal docs or emails can leak secrets via outputs or logs; connected tools (browsers, vector stores) may expose regulated data. NIST’s guidance includes </w:t>
      </w:r>
      <w:r>
        <w:rPr>
          <w:b/>
          <w:bCs/>
        </w:rPr>
        <w:t>data g</w:t>
      </w:r>
      <w:r>
        <w:rPr>
          <w:b/>
          <w:bCs/>
        </w:rPr>
        <w:t>overnance, access controls, and evaluation</w:t>
      </w:r>
      <w:r>
        <w:t xml:space="preserve"> for leakage; OWASP calls out </w:t>
      </w:r>
      <w:r>
        <w:rPr>
          <w:b/>
          <w:bCs/>
        </w:rPr>
        <w:t>data leakage</w:t>
      </w:r>
      <w:r>
        <w:t xml:space="preserve"> and </w:t>
      </w:r>
      <w:r>
        <w:rPr>
          <w:b/>
          <w:bCs/>
        </w:rPr>
        <w:t>supply‑chain</w:t>
      </w:r>
      <w:r>
        <w:t xml:space="preserve"> risks across plugins, connectors, and datasets.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</w:p>
    <w:p w:rsidR="00DC175A" w:rsidRDefault="00CB2AE1">
      <w:pPr>
        <w:pStyle w:val="ListParagraph"/>
        <w:numPr>
          <w:ilvl w:val="0"/>
          <w:numId w:val="2"/>
        </w:numPr>
      </w:pPr>
      <w:r>
        <w:rPr>
          <w:b/>
          <w:bCs/>
        </w:rPr>
        <w:t>Security Threats: Adversarial Content &amp; Jailbreaks</w:t>
      </w:r>
      <w:r>
        <w:br/>
        <w:t>Jailbreak prompts and obfuscated content (encoding,</w:t>
      </w:r>
      <w:r>
        <w:t xml:space="preserve"> invisible characters) can push agents to harmful actions or policy violations—patterns cataloged by OWASP. </w:t>
      </w:r>
      <w:r>
        <w:rPr>
          <w:rStyle w:val="FootnoteReference"/>
        </w:rPr>
        <w:footnoteReference w:id="11"/>
      </w:r>
      <w:r>
        <w:t xml:space="preserve">  For production, specialized </w:t>
      </w:r>
      <w:r>
        <w:rPr>
          <w:b/>
          <w:bCs/>
        </w:rPr>
        <w:t>safety classifiers</w:t>
      </w:r>
      <w:r>
        <w:t xml:space="preserve"> (e.g., Llama‑Guard 4) and </w:t>
      </w:r>
      <w:r>
        <w:rPr>
          <w:b/>
          <w:bCs/>
        </w:rPr>
        <w:t>moderation services</w:t>
      </w:r>
      <w:r>
        <w:t xml:space="preserve"> (e.g., Azure, Vertex) are increasingly used to </w:t>
      </w:r>
      <w:r>
        <w:rPr>
          <w:b/>
          <w:bCs/>
        </w:rPr>
        <w:t xml:space="preserve">pre‑ </w:t>
      </w:r>
      <w:r>
        <w:rPr>
          <w:b/>
          <w:bCs/>
        </w:rPr>
        <w:t>and post‑filter</w:t>
      </w:r>
      <w:r>
        <w:t xml:space="preserve"> both inputs and agent outputs. </w:t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  <w:r>
        <w:t xml:space="preserve"> </w:t>
      </w:r>
      <w:r>
        <w:rPr>
          <w:rStyle w:val="FootnoteReference"/>
        </w:rPr>
        <w:footnoteReference w:id="14"/>
      </w:r>
    </w:p>
    <w:p w:rsidR="00DC175A" w:rsidRDefault="00CB2AE1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Misinformation, </w:t>
      </w:r>
      <w:proofErr w:type="spellStart"/>
      <w:r>
        <w:rPr>
          <w:b/>
          <w:bCs/>
        </w:rPr>
        <w:t>Deepfakes</w:t>
      </w:r>
      <w:proofErr w:type="spellEnd"/>
      <w:r>
        <w:rPr>
          <w:b/>
          <w:bCs/>
        </w:rPr>
        <w:t xml:space="preserve"> &amp; External Impact</w:t>
      </w:r>
      <w:r>
        <w:br/>
      </w:r>
      <w:proofErr w:type="spellStart"/>
      <w:r>
        <w:t>Agentic</w:t>
      </w:r>
      <w:proofErr w:type="spellEnd"/>
      <w:r>
        <w:t xml:space="preserve"> systems can mass‑produce or amplify misleading content, automate dissemination, or defeat weak content controls. The </w:t>
      </w:r>
      <w:r>
        <w:rPr>
          <w:b/>
          <w:bCs/>
        </w:rPr>
        <w:t>MIT AI Risk Repository</w:t>
      </w:r>
      <w:r>
        <w:t xml:space="preserve"> lists false/misleading information as a core domain risk; provenance mechanisms such as </w:t>
      </w:r>
      <w:r>
        <w:rPr>
          <w:b/>
          <w:bCs/>
        </w:rPr>
        <w:t>C2PA</w:t>
      </w:r>
      <w:r>
        <w:t xml:space="preserve"> (Content Credentials) help verify origins/edits of AI media downstream. </w:t>
      </w:r>
      <w:r>
        <w:rPr>
          <w:rStyle w:val="FootnoteReference"/>
        </w:rPr>
        <w:footnoteReference w:id="15"/>
      </w:r>
      <w:r>
        <w:t xml:space="preserve"> </w:t>
      </w:r>
      <w:r>
        <w:rPr>
          <w:rStyle w:val="FootnoteReference"/>
        </w:rPr>
        <w:footnoteReference w:id="16"/>
      </w:r>
    </w:p>
    <w:p w:rsidR="00DC175A" w:rsidRDefault="00CB2AE1">
      <w:pPr>
        <w:pStyle w:val="ListParagraph"/>
        <w:numPr>
          <w:ilvl w:val="0"/>
          <w:numId w:val="2"/>
        </w:numPr>
      </w:pPr>
      <w:r>
        <w:rPr>
          <w:b/>
          <w:bCs/>
        </w:rPr>
        <w:t>Governance &amp; Catastrophic Risks</w:t>
      </w:r>
      <w:r>
        <w:br/>
        <w:t xml:space="preserve">For </w:t>
      </w:r>
      <w:r>
        <w:rPr>
          <w:i/>
          <w:iCs/>
        </w:rPr>
        <w:t>frontier‑scale agents</w:t>
      </w:r>
      <w:r>
        <w:t xml:space="preserve"> with tool access, </w:t>
      </w:r>
      <w:r>
        <w:rPr>
          <w:b/>
          <w:bCs/>
        </w:rPr>
        <w:t>Responsibl</w:t>
      </w:r>
      <w:r>
        <w:rPr>
          <w:b/>
          <w:bCs/>
        </w:rPr>
        <w:t>e Scaling Policies (RSP)</w:t>
      </w:r>
      <w:r>
        <w:t xml:space="preserve"> propose rule‑sets linked to </w:t>
      </w:r>
      <w:r>
        <w:rPr>
          <w:b/>
          <w:bCs/>
        </w:rPr>
        <w:t>capability thresholds</w:t>
      </w:r>
      <w:r>
        <w:t xml:space="preserve"> (e.g., for dangerous domains), requiring upgraded safeguards before training/deploying powerful systems. Use these to formalize </w:t>
      </w:r>
      <w:r>
        <w:rPr>
          <w:i/>
          <w:iCs/>
        </w:rPr>
        <w:t>go/no‑go</w:t>
      </w:r>
      <w:r>
        <w:t xml:space="preserve"> gates and escalation protocols. </w:t>
      </w:r>
      <w:r>
        <w:rPr>
          <w:rStyle w:val="FootnoteReference"/>
        </w:rPr>
        <w:footnoteReference w:id="17"/>
      </w:r>
    </w:p>
    <w:p w:rsidR="00DC175A" w:rsidRDefault="00DC175A">
      <w:pPr>
        <w:pBdr>
          <w:top w:val="single" w:sz="12" w:space="0" w:color="auto"/>
        </w:pBdr>
        <w:spacing w:after="0"/>
      </w:pPr>
    </w:p>
    <w:p w:rsidR="00DC175A" w:rsidRDefault="00CB2AE1">
      <w:pPr>
        <w:pStyle w:val="Heading2"/>
      </w:pPr>
      <w:r>
        <w:t>Tools/Ser</w:t>
      </w:r>
      <w:r>
        <w:t xml:space="preserve">vices/Platforms to Analyze &amp; Mitigate </w:t>
      </w:r>
      <w:proofErr w:type="spellStart"/>
      <w:r>
        <w:t>Agentic</w:t>
      </w:r>
      <w:proofErr w:type="spellEnd"/>
      <w:r>
        <w:t xml:space="preserve"> AI Risks</w:t>
      </w:r>
    </w:p>
    <w:p w:rsidR="00DC175A" w:rsidRDefault="00CB2AE1">
      <w:pPr>
        <w:pStyle w:val="Heading3"/>
      </w:pPr>
      <w:r>
        <w:t>A) Security &amp; Guardrails (Pre‑ and Post‑Action)</w:t>
      </w:r>
    </w:p>
    <w:p w:rsidR="00DC175A" w:rsidRDefault="00CB2AE1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NVIDIA </w:t>
      </w: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Guardrails (open‑source &amp; </w:t>
      </w:r>
      <w:proofErr w:type="spellStart"/>
      <w:r>
        <w:rPr>
          <w:b/>
          <w:bCs/>
        </w:rPr>
        <w:t>microservice</w:t>
      </w:r>
      <w:proofErr w:type="spellEnd"/>
      <w:proofErr w:type="gramStart"/>
      <w:r>
        <w:rPr>
          <w:b/>
          <w:bCs/>
        </w:rPr>
        <w:t>)</w:t>
      </w:r>
      <w:proofErr w:type="gramEnd"/>
      <w:r>
        <w:br/>
        <w:t xml:space="preserve">Orchestrates programmable </w:t>
      </w:r>
      <w:r>
        <w:rPr>
          <w:b/>
          <w:bCs/>
        </w:rPr>
        <w:t>rails</w:t>
      </w:r>
      <w:r>
        <w:t xml:space="preserve"> for input/output/tool use: jailbreak detection, topic control, PII de</w:t>
      </w:r>
      <w:r>
        <w:t xml:space="preserve">tection, fact/hallucination self‑checks, and </w:t>
      </w:r>
      <w:r>
        <w:rPr>
          <w:b/>
          <w:bCs/>
        </w:rPr>
        <w:t>RAG grounding</w:t>
      </w:r>
      <w:r>
        <w:t xml:space="preserve">. Configurable as </w:t>
      </w:r>
      <w:r>
        <w:rPr>
          <w:i/>
          <w:iCs/>
        </w:rPr>
        <w:t>input, output, retrieval, dialog, and execution rails</w:t>
      </w:r>
      <w:r>
        <w:t xml:space="preserve"> for agents; available as OSS and as an enterprise </w:t>
      </w:r>
      <w:proofErr w:type="spellStart"/>
      <w:r>
        <w:t>microservice</w:t>
      </w:r>
      <w:proofErr w:type="spellEnd"/>
      <w:r>
        <w:t xml:space="preserve"> on NVIDIA NGC.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  <w:r>
        <w:t xml:space="preserve"> </w:t>
      </w:r>
      <w:r>
        <w:rPr>
          <w:rStyle w:val="FootnoteReference"/>
        </w:rPr>
        <w:footnoteReference w:id="20"/>
      </w:r>
    </w:p>
    <w:p w:rsidR="00DC175A" w:rsidRDefault="00CB2AE1">
      <w:pPr>
        <w:pStyle w:val="ListParagraph"/>
        <w:numPr>
          <w:ilvl w:val="0"/>
          <w:numId w:val="3"/>
        </w:numPr>
      </w:pPr>
      <w:r>
        <w:rPr>
          <w:b/>
          <w:bCs/>
        </w:rPr>
        <w:t>Azure AI Content Safety</w:t>
      </w:r>
      <w:r>
        <w:br/>
        <w:t xml:space="preserve">API + </w:t>
      </w:r>
      <w:r>
        <w:rPr>
          <w:b/>
          <w:bCs/>
        </w:rPr>
        <w:t>Content Safe</w:t>
      </w:r>
      <w:r>
        <w:rPr>
          <w:b/>
          <w:bCs/>
        </w:rPr>
        <w:t>ty Studio</w:t>
      </w:r>
      <w:r>
        <w:t xml:space="preserve"> with </w:t>
      </w:r>
      <w:r>
        <w:rPr>
          <w:b/>
          <w:bCs/>
        </w:rPr>
        <w:t>Prompt Shields</w:t>
      </w:r>
      <w:r>
        <w:t xml:space="preserve"> (detect direct &amp; indirect prompt injection), </w:t>
      </w:r>
      <w:r>
        <w:rPr>
          <w:b/>
          <w:bCs/>
        </w:rPr>
        <w:t>harm classifiers</w:t>
      </w:r>
      <w:r>
        <w:t xml:space="preserve"> (text/image/multimodal), </w:t>
      </w:r>
      <w:proofErr w:type="spellStart"/>
      <w:r>
        <w:rPr>
          <w:b/>
          <w:bCs/>
        </w:rPr>
        <w:t>Groundedness</w:t>
      </w:r>
      <w:proofErr w:type="spellEnd"/>
      <w:r>
        <w:rPr>
          <w:b/>
          <w:bCs/>
        </w:rPr>
        <w:t xml:space="preserve"> detection</w:t>
      </w:r>
      <w:r>
        <w:t xml:space="preserve"> (and </w:t>
      </w:r>
      <w:r>
        <w:lastRenderedPageBreak/>
        <w:t xml:space="preserve">correction) to reduce hallucination risk, and </w:t>
      </w:r>
      <w:r>
        <w:rPr>
          <w:b/>
          <w:bCs/>
        </w:rPr>
        <w:t>Protected Material</w:t>
      </w:r>
      <w:r>
        <w:t xml:space="preserve"> detection (text/code) to avoid IP leakage. Int</w:t>
      </w:r>
      <w:r>
        <w:t xml:space="preserve">egrates readily into agent </w:t>
      </w:r>
      <w:proofErr w:type="spellStart"/>
      <w:r>
        <w:t>toolchains</w:t>
      </w:r>
      <w:proofErr w:type="spellEnd"/>
      <w:r>
        <w:t xml:space="preserve">. </w:t>
      </w:r>
      <w:r>
        <w:rPr>
          <w:rStyle w:val="FootnoteReference"/>
        </w:rPr>
        <w:footnoteReference w:id="21"/>
      </w:r>
      <w:r>
        <w:t xml:space="preserve"> </w:t>
      </w:r>
      <w:r>
        <w:rPr>
          <w:rStyle w:val="FootnoteReference"/>
        </w:rPr>
        <w:footnoteReference w:id="22"/>
      </w:r>
      <w:r>
        <w:t xml:space="preserve"> </w:t>
      </w:r>
      <w:r>
        <w:rPr>
          <w:rStyle w:val="FootnoteReference"/>
        </w:rPr>
        <w:footnoteReference w:id="23"/>
      </w:r>
    </w:p>
    <w:p w:rsidR="00DC175A" w:rsidRDefault="00CB2AE1">
      <w:pPr>
        <w:pStyle w:val="ListParagraph"/>
        <w:numPr>
          <w:ilvl w:val="0"/>
          <w:numId w:val="3"/>
        </w:numPr>
      </w:pPr>
      <w:r>
        <w:rPr>
          <w:b/>
          <w:bCs/>
        </w:rPr>
        <w:t>Google Cloud Vertex AI—Safety &amp; Gemini‑as‑Filter</w:t>
      </w:r>
      <w:r>
        <w:br/>
      </w:r>
      <w:r>
        <w:rPr>
          <w:b/>
          <w:bCs/>
        </w:rPr>
        <w:t>Configurable content filters</w:t>
      </w:r>
      <w:r>
        <w:t xml:space="preserve"> for harm categories and </w:t>
      </w:r>
      <w:r>
        <w:rPr>
          <w:b/>
          <w:bCs/>
        </w:rPr>
        <w:t>Gemini‑as‑a‑filter</w:t>
      </w:r>
      <w:r>
        <w:t xml:space="preserve"> patterns to pre/post‑moderate inputs/outputs (including brand safety and agent misalignmen</w:t>
      </w:r>
      <w:r>
        <w:t xml:space="preserve">t checks) with multimodal reasoning. </w:t>
      </w:r>
      <w:r>
        <w:rPr>
          <w:rStyle w:val="FootnoteReference"/>
        </w:rPr>
        <w:footnoteReference w:id="24"/>
      </w:r>
      <w:r>
        <w:t xml:space="preserve"> </w:t>
      </w:r>
      <w:r>
        <w:rPr>
          <w:rStyle w:val="FootnoteReference"/>
        </w:rPr>
        <w:footnoteReference w:id="25"/>
      </w:r>
    </w:p>
    <w:p w:rsidR="00DC175A" w:rsidRDefault="00CB2AE1">
      <w:pPr>
        <w:pStyle w:val="ListParagraph"/>
        <w:numPr>
          <w:ilvl w:val="0"/>
          <w:numId w:val="3"/>
        </w:numPr>
      </w:pPr>
      <w:r>
        <w:rPr>
          <w:b/>
          <w:bCs/>
        </w:rPr>
        <w:t>Meta Llama‑Guard 4 (multimodal safety classifier</w:t>
      </w:r>
      <w:proofErr w:type="gramStart"/>
      <w:r>
        <w:rPr>
          <w:b/>
          <w:bCs/>
        </w:rPr>
        <w:t>)</w:t>
      </w:r>
      <w:proofErr w:type="gramEnd"/>
      <w:r>
        <w:br/>
        <w:t xml:space="preserve">Model‑based safety gate for agent pipelines (prompt and response classification across </w:t>
      </w:r>
      <w:proofErr w:type="spellStart"/>
      <w:r>
        <w:t>MLCommons</w:t>
      </w:r>
      <w:proofErr w:type="spellEnd"/>
      <w:r>
        <w:t xml:space="preserve"> hazard taxonomy; multilingual, text‑and‑image). Useful as a lightwei</w:t>
      </w:r>
      <w:r>
        <w:t>ght, on‑</w:t>
      </w:r>
      <w:proofErr w:type="spellStart"/>
      <w:r>
        <w:t>prem</w:t>
      </w:r>
      <w:proofErr w:type="spellEnd"/>
      <w:r>
        <w:t xml:space="preserve"> inference step. </w:t>
      </w:r>
      <w:r>
        <w:rPr>
          <w:rStyle w:val="FootnoteReference"/>
        </w:rPr>
        <w:footnoteReference w:id="26"/>
      </w:r>
      <w:r>
        <w:t xml:space="preserve"> </w:t>
      </w:r>
      <w:r>
        <w:rPr>
          <w:rStyle w:val="FootnoteReference"/>
        </w:rPr>
        <w:footnoteReference w:id="27"/>
      </w:r>
    </w:p>
    <w:p w:rsidR="00DC175A" w:rsidRDefault="00CB2AE1">
      <w:pPr>
        <w:pStyle w:val="ListParagraph"/>
        <w:numPr>
          <w:ilvl w:val="0"/>
          <w:numId w:val="3"/>
        </w:numPr>
      </w:pPr>
      <w:r>
        <w:rPr>
          <w:b/>
          <w:bCs/>
        </w:rPr>
        <w:t>OWASP Top‑10 for LLM Applications</w:t>
      </w:r>
      <w:r>
        <w:t xml:space="preserve"> (Design &amp; Test Guidance)</w:t>
      </w:r>
      <w:r>
        <w:br/>
        <w:t xml:space="preserve">Use as a </w:t>
      </w:r>
      <w:r>
        <w:rPr>
          <w:i/>
          <w:iCs/>
        </w:rPr>
        <w:t>threat model</w:t>
      </w:r>
      <w:r>
        <w:t xml:space="preserve"> to derive security requirements, penetration tests, and CI/CD checks for agent tool use, sandboxing, output handling, and plugin design. </w:t>
      </w:r>
      <w:r>
        <w:rPr>
          <w:rStyle w:val="FootnoteReference"/>
        </w:rPr>
        <w:footnoteReference w:id="28"/>
      </w:r>
    </w:p>
    <w:p w:rsidR="00DC175A" w:rsidRDefault="00CB2AE1">
      <w:pPr>
        <w:pStyle w:val="Heading3"/>
      </w:pPr>
      <w:r>
        <w:t xml:space="preserve">B) </w:t>
      </w:r>
      <w:r>
        <w:t xml:space="preserve">Evaluation &amp; </w:t>
      </w:r>
      <w:proofErr w:type="spellStart"/>
      <w:r>
        <w:t>Evals</w:t>
      </w:r>
      <w:proofErr w:type="spellEnd"/>
      <w:r>
        <w:t xml:space="preserve"> (Reliability, Safety, and Task Performance)</w:t>
      </w:r>
    </w:p>
    <w:p w:rsidR="00DC175A" w:rsidRDefault="00CB2AE1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Evals</w:t>
      </w:r>
      <w:proofErr w:type="spellEnd"/>
      <w:r>
        <w:rPr>
          <w:b/>
          <w:bCs/>
        </w:rPr>
        <w:t xml:space="preserve"> (framework &amp; hosted</w:t>
      </w:r>
      <w:proofErr w:type="gramStart"/>
      <w:r>
        <w:rPr>
          <w:b/>
          <w:bCs/>
        </w:rPr>
        <w:t>)</w:t>
      </w:r>
      <w:proofErr w:type="gramEnd"/>
      <w:r>
        <w:br/>
        <w:t xml:space="preserve">Build </w:t>
      </w:r>
      <w:r>
        <w:rPr>
          <w:b/>
          <w:bCs/>
        </w:rPr>
        <w:t xml:space="preserve">contextual, workflow‑specific </w:t>
      </w:r>
      <w:proofErr w:type="spellStart"/>
      <w:r>
        <w:rPr>
          <w:b/>
          <w:bCs/>
        </w:rPr>
        <w:t>evals</w:t>
      </w:r>
      <w:proofErr w:type="spellEnd"/>
      <w:r>
        <w:t xml:space="preserve"> (factuality, instruction‑following, tool‑use correctness, policy adherence). The ecosystem includes real‑world, long‑</w:t>
      </w:r>
      <w:r>
        <w:t xml:space="preserve">horizon evaluation concepts (e.g., </w:t>
      </w:r>
      <w:proofErr w:type="spellStart"/>
      <w:r>
        <w:rPr>
          <w:b/>
          <w:bCs/>
        </w:rPr>
        <w:t>GDPval</w:t>
      </w:r>
      <w:proofErr w:type="spellEnd"/>
      <w:r>
        <w:t xml:space="preserve">) for economically valuable tasks—relevant to assessing agent capabilities. </w:t>
      </w:r>
      <w:r>
        <w:rPr>
          <w:rStyle w:val="FootnoteReference"/>
        </w:rPr>
        <w:footnoteReference w:id="29"/>
      </w:r>
      <w:r>
        <w:t xml:space="preserve"> </w:t>
      </w:r>
      <w:r>
        <w:rPr>
          <w:rStyle w:val="FootnoteReference"/>
        </w:rPr>
        <w:footnoteReference w:id="30"/>
      </w:r>
    </w:p>
    <w:p w:rsidR="00DC175A" w:rsidRDefault="00CB2AE1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NIST guidance &amp; measurement science</w:t>
      </w:r>
      <w:r>
        <w:br/>
        <w:t xml:space="preserve">Use NIST resources to standardize </w:t>
      </w:r>
      <w:r>
        <w:rPr>
          <w:b/>
          <w:bCs/>
        </w:rPr>
        <w:t>risk identification → measurement → mitigation</w:t>
      </w:r>
      <w:r>
        <w:t xml:space="preserve">, and to anchor internal </w:t>
      </w:r>
      <w:proofErr w:type="spellStart"/>
      <w:r>
        <w:t>evals</w:t>
      </w:r>
      <w:proofErr w:type="spellEnd"/>
      <w:r>
        <w:t xml:space="preserve"> (including red‑teaming) against recognized criteria. </w:t>
      </w:r>
      <w:r>
        <w:rPr>
          <w:rStyle w:val="FootnoteReference"/>
        </w:rPr>
        <w:footnoteReference w:id="31"/>
      </w:r>
    </w:p>
    <w:p w:rsidR="00DC175A" w:rsidRDefault="00CB2AE1">
      <w:pPr>
        <w:pStyle w:val="ListParagraph"/>
        <w:numPr>
          <w:ilvl w:val="0"/>
          <w:numId w:val="4"/>
        </w:numPr>
      </w:pPr>
      <w:r>
        <w:rPr>
          <w:b/>
          <w:bCs/>
        </w:rPr>
        <w:t>FLI AI Safety Index &amp; Stanford AI Index</w:t>
      </w:r>
      <w:r>
        <w:br/>
        <w:t>Benchmark your organization’s practices and capability context against independent, sector‑wide assessments to calibrate acceptabl</w:t>
      </w:r>
      <w:r>
        <w:t xml:space="preserve">e risk and identify gaps (e.g., pre‑deployment red‑team rigor, transparency, </w:t>
      </w:r>
      <w:proofErr w:type="gramStart"/>
      <w:r>
        <w:t>governance</w:t>
      </w:r>
      <w:proofErr w:type="gramEnd"/>
      <w:r>
        <w:t xml:space="preserve">). </w:t>
      </w:r>
      <w:r>
        <w:rPr>
          <w:rStyle w:val="FootnoteReference"/>
        </w:rPr>
        <w:footnoteReference w:id="32"/>
      </w:r>
      <w:r>
        <w:t xml:space="preserve"> </w:t>
      </w:r>
      <w:r>
        <w:rPr>
          <w:rStyle w:val="FootnoteReference"/>
        </w:rPr>
        <w:footnoteReference w:id="33"/>
      </w:r>
    </w:p>
    <w:p w:rsidR="00DC175A" w:rsidRDefault="00CB2AE1">
      <w:pPr>
        <w:pStyle w:val="Heading3"/>
      </w:pPr>
      <w:r>
        <w:t xml:space="preserve">C) </w:t>
      </w:r>
      <w:proofErr w:type="spellStart"/>
      <w:r>
        <w:t>Explainability</w:t>
      </w:r>
      <w:proofErr w:type="spellEnd"/>
      <w:r>
        <w:t>, Documentation &amp; Data Controls</w:t>
      </w:r>
    </w:p>
    <w:p w:rsidR="00DC175A" w:rsidRDefault="00CB2AE1">
      <w:pPr>
        <w:pStyle w:val="ListParagraph"/>
        <w:numPr>
          <w:ilvl w:val="0"/>
          <w:numId w:val="5"/>
        </w:numPr>
      </w:pPr>
      <w:r>
        <w:rPr>
          <w:b/>
          <w:bCs/>
        </w:rPr>
        <w:t>Datasheets for Datasets</w:t>
      </w:r>
      <w:r>
        <w:t xml:space="preserve"> + </w:t>
      </w:r>
      <w:r>
        <w:rPr>
          <w:b/>
          <w:bCs/>
        </w:rPr>
        <w:t>Model Cards</w:t>
      </w:r>
      <w:r>
        <w:t xml:space="preserve"> (with </w:t>
      </w:r>
      <w:r>
        <w:rPr>
          <w:b/>
          <w:bCs/>
        </w:rPr>
        <w:t>Model Card Toolkit</w:t>
      </w:r>
      <w:proofErr w:type="gramStart"/>
      <w:r>
        <w:t>)</w:t>
      </w:r>
      <w:proofErr w:type="gramEnd"/>
      <w:r>
        <w:br/>
      </w:r>
      <w:r>
        <w:t xml:space="preserve">Institutionalize dataset/model documentation; include subgroup tests, known failure modes, and </w:t>
      </w:r>
      <w:r>
        <w:rPr>
          <w:b/>
          <w:bCs/>
        </w:rPr>
        <w:t>tool‑use limitations</w:t>
      </w:r>
      <w:r>
        <w:t xml:space="preserve"> for agent policies. Automate model‑card generation in CI using MCT. </w:t>
      </w:r>
      <w:r>
        <w:rPr>
          <w:rStyle w:val="FootnoteReference"/>
        </w:rPr>
        <w:footnoteReference w:id="34"/>
      </w:r>
      <w:r>
        <w:t xml:space="preserve"> </w:t>
      </w:r>
      <w:r>
        <w:rPr>
          <w:rStyle w:val="FootnoteReference"/>
        </w:rPr>
        <w:footnoteReference w:id="35"/>
      </w:r>
    </w:p>
    <w:p w:rsidR="00DC175A" w:rsidRDefault="00CB2AE1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Explainability</w:t>
      </w:r>
      <w:proofErr w:type="spellEnd"/>
      <w:r>
        <w:rPr>
          <w:b/>
          <w:bCs/>
        </w:rPr>
        <w:t xml:space="preserve"> in the loop</w:t>
      </w:r>
      <w:r>
        <w:br/>
        <w:t xml:space="preserve">Add </w:t>
      </w:r>
      <w:r>
        <w:rPr>
          <w:b/>
          <w:bCs/>
        </w:rPr>
        <w:t>SHAP</w:t>
      </w:r>
      <w:r>
        <w:t xml:space="preserve"> and/or </w:t>
      </w:r>
      <w:r>
        <w:rPr>
          <w:b/>
          <w:bCs/>
        </w:rPr>
        <w:t>LIME</w:t>
      </w:r>
      <w:r>
        <w:t xml:space="preserve"> to diagnose why agen</w:t>
      </w:r>
      <w:r>
        <w:t xml:space="preserve">ts pick tools or make choices (particularly for decision‑support and compliance reviews). </w:t>
      </w:r>
      <w:r>
        <w:rPr>
          <w:rStyle w:val="FootnoteReference"/>
        </w:rPr>
        <w:footnoteReference w:id="36"/>
      </w:r>
      <w:r>
        <w:t xml:space="preserve"> </w:t>
      </w:r>
      <w:r>
        <w:rPr>
          <w:rStyle w:val="FootnoteReference"/>
        </w:rPr>
        <w:footnoteReference w:id="37"/>
      </w:r>
    </w:p>
    <w:p w:rsidR="00DC175A" w:rsidRDefault="00CB2AE1">
      <w:pPr>
        <w:pStyle w:val="Heading3"/>
      </w:pPr>
      <w:r>
        <w:t>D) Provenance &amp; External Trust</w:t>
      </w:r>
    </w:p>
    <w:p w:rsidR="00DC175A" w:rsidRDefault="00CB2AE1">
      <w:pPr>
        <w:pStyle w:val="ListParagraph"/>
        <w:numPr>
          <w:ilvl w:val="0"/>
          <w:numId w:val="6"/>
        </w:numPr>
      </w:pPr>
      <w:r>
        <w:rPr>
          <w:b/>
          <w:bCs/>
        </w:rPr>
        <w:t>C2PA (Content Credentials</w:t>
      </w:r>
      <w:proofErr w:type="gramStart"/>
      <w:r>
        <w:rPr>
          <w:b/>
          <w:bCs/>
        </w:rPr>
        <w:t>)</w:t>
      </w:r>
      <w:proofErr w:type="gramEnd"/>
      <w:r>
        <w:br/>
        <w:t xml:space="preserve">For agent pipelines that generate or edit media, attach cryptographically verifiable </w:t>
      </w:r>
      <w:r>
        <w:rPr>
          <w:b/>
          <w:bCs/>
        </w:rPr>
        <w:t>provenance metadata</w:t>
      </w:r>
      <w:r>
        <w:t xml:space="preserve"> so downstream viewers and platforms can validate origin and edit history—useful against </w:t>
      </w:r>
      <w:proofErr w:type="spellStart"/>
      <w:r>
        <w:t>deepfake</w:t>
      </w:r>
      <w:proofErr w:type="spellEnd"/>
      <w:r>
        <w:t xml:space="preserve"> amplification by agents. </w:t>
      </w:r>
      <w:r>
        <w:rPr>
          <w:rStyle w:val="FootnoteReference"/>
        </w:rPr>
        <w:footnoteReference w:id="38"/>
      </w:r>
      <w:r>
        <w:t xml:space="preserve"> </w:t>
      </w:r>
      <w:r>
        <w:rPr>
          <w:rStyle w:val="FootnoteReference"/>
        </w:rPr>
        <w:footnoteReference w:id="39"/>
      </w:r>
    </w:p>
    <w:p w:rsidR="00DC175A" w:rsidRDefault="00CB2AE1">
      <w:pPr>
        <w:pStyle w:val="Heading3"/>
      </w:pPr>
      <w:r>
        <w:lastRenderedPageBreak/>
        <w:t>E) Program‑Level Governance (Frontier or Sensitive Use)</w:t>
      </w:r>
    </w:p>
    <w:p w:rsidR="00DC175A" w:rsidRDefault="00CB2AE1">
      <w:pPr>
        <w:pStyle w:val="ListParagraph"/>
        <w:numPr>
          <w:ilvl w:val="0"/>
          <w:numId w:val="7"/>
        </w:numPr>
      </w:pPr>
      <w:r>
        <w:rPr>
          <w:b/>
          <w:bCs/>
        </w:rPr>
        <w:t>ISO/IEC 42001:2023 (AIMS</w:t>
      </w:r>
      <w:proofErr w:type="gramStart"/>
      <w:r>
        <w:rPr>
          <w:b/>
          <w:bCs/>
        </w:rPr>
        <w:t>)</w:t>
      </w:r>
      <w:proofErr w:type="gramEnd"/>
      <w:r>
        <w:br/>
        <w:t xml:space="preserve">Stand up an </w:t>
      </w:r>
      <w:r>
        <w:rPr>
          <w:b/>
          <w:bCs/>
        </w:rPr>
        <w:t>AI management system</w:t>
      </w:r>
      <w:r>
        <w:t>: roles, polici</w:t>
      </w:r>
      <w:r>
        <w:t xml:space="preserve">es, risk processes, third‑party supplier controls, continuous improvement; external certification available. </w:t>
      </w:r>
      <w:r>
        <w:rPr>
          <w:rStyle w:val="FootnoteReference"/>
        </w:rPr>
        <w:footnoteReference w:id="40"/>
      </w:r>
      <w:r>
        <w:t xml:space="preserve"> </w:t>
      </w:r>
      <w:r>
        <w:rPr>
          <w:rStyle w:val="FootnoteReference"/>
        </w:rPr>
        <w:footnoteReference w:id="41"/>
      </w:r>
    </w:p>
    <w:p w:rsidR="00DC175A" w:rsidRDefault="00CB2AE1">
      <w:pPr>
        <w:pStyle w:val="ListParagraph"/>
        <w:numPr>
          <w:ilvl w:val="0"/>
          <w:numId w:val="7"/>
        </w:numPr>
      </w:pPr>
      <w:r>
        <w:rPr>
          <w:b/>
          <w:bCs/>
        </w:rPr>
        <w:t>Responsible Scaling Policies (e.g., Anthropic RSP</w:t>
      </w:r>
      <w:proofErr w:type="gramStart"/>
      <w:r>
        <w:rPr>
          <w:b/>
          <w:bCs/>
        </w:rPr>
        <w:t>)</w:t>
      </w:r>
      <w:proofErr w:type="gramEnd"/>
      <w:r>
        <w:br/>
        <w:t xml:space="preserve">Define </w:t>
      </w:r>
      <w:r>
        <w:rPr>
          <w:b/>
          <w:bCs/>
        </w:rPr>
        <w:t>capability thresholds</w:t>
      </w:r>
      <w:r>
        <w:t xml:space="preserve"> and </w:t>
      </w:r>
      <w:r>
        <w:rPr>
          <w:b/>
          <w:bCs/>
        </w:rPr>
        <w:t>required safeguards</w:t>
      </w:r>
      <w:r>
        <w:t xml:space="preserve"> for higher‑risk agent behaviors (e.g., </w:t>
      </w:r>
      <w:r>
        <w:t xml:space="preserve">autonomous code execution with privileged tools, CBRN‑related knowledge). Gate deployment until safeguards are proven. </w:t>
      </w:r>
      <w:r>
        <w:rPr>
          <w:rStyle w:val="FootnoteReference"/>
        </w:rPr>
        <w:footnoteReference w:id="42"/>
      </w:r>
    </w:p>
    <w:p w:rsidR="00DC175A" w:rsidRDefault="00DC175A">
      <w:pPr>
        <w:pBdr>
          <w:top w:val="single" w:sz="12" w:space="0" w:color="auto"/>
        </w:pBdr>
        <w:spacing w:after="0"/>
      </w:pPr>
    </w:p>
    <w:p w:rsidR="00DC175A" w:rsidRDefault="00CB2AE1">
      <w:pPr>
        <w:pStyle w:val="Heading2"/>
      </w:pPr>
      <w:r>
        <w:t xml:space="preserve">Reference Playbook: Hardening an </w:t>
      </w:r>
      <w:proofErr w:type="spellStart"/>
      <w:r>
        <w:t>Agentic</w:t>
      </w:r>
      <w:proofErr w:type="spellEnd"/>
      <w:r>
        <w:t xml:space="preserve"> AI System</w:t>
      </w:r>
    </w:p>
    <w:p w:rsidR="00DC175A" w:rsidRDefault="00CB2AE1">
      <w:r>
        <w:rPr>
          <w:b/>
          <w:bCs/>
        </w:rPr>
        <w:t>1) Governance &amp; scoping</w:t>
      </w:r>
    </w:p>
    <w:p w:rsidR="00DC175A" w:rsidRDefault="00CB2AE1">
      <w:pPr>
        <w:pStyle w:val="ListParagraph"/>
        <w:numPr>
          <w:ilvl w:val="0"/>
          <w:numId w:val="8"/>
        </w:numPr>
      </w:pPr>
      <w:r>
        <w:t xml:space="preserve">Adopt </w:t>
      </w:r>
      <w:r>
        <w:rPr>
          <w:b/>
          <w:bCs/>
        </w:rPr>
        <w:t>NIST AI RMF</w:t>
      </w:r>
      <w:r>
        <w:t xml:space="preserve"> + </w:t>
      </w:r>
      <w:r>
        <w:rPr>
          <w:b/>
          <w:bCs/>
        </w:rPr>
        <w:t>ISO/IEC 42001</w:t>
      </w:r>
      <w:r>
        <w:t>; classify use cases (huma</w:t>
      </w:r>
      <w:r>
        <w:t xml:space="preserve">n‑in‑the‑loop vs. fully autonomous), define risk acceptance and escalation procedures; write a </w:t>
      </w:r>
      <w:r>
        <w:rPr>
          <w:b/>
          <w:bCs/>
        </w:rPr>
        <w:t>System Card/Model Card</w:t>
      </w:r>
      <w:r>
        <w:t xml:space="preserve"> documenting agent scope, tool permissions, and off‑limits tasks. </w:t>
      </w:r>
      <w:r>
        <w:rPr>
          <w:rStyle w:val="FootnoteReference"/>
        </w:rPr>
        <w:footnoteReference w:id="43"/>
      </w:r>
      <w:r>
        <w:t xml:space="preserve"> </w:t>
      </w:r>
      <w:r>
        <w:rPr>
          <w:rStyle w:val="FootnoteReference"/>
        </w:rPr>
        <w:footnoteReference w:id="44"/>
      </w:r>
      <w:r>
        <w:t xml:space="preserve"> </w:t>
      </w:r>
      <w:r>
        <w:rPr>
          <w:rStyle w:val="FootnoteReference"/>
        </w:rPr>
        <w:footnoteReference w:id="45"/>
      </w:r>
    </w:p>
    <w:p w:rsidR="00DC175A" w:rsidRDefault="00CB2AE1">
      <w:r>
        <w:rPr>
          <w:b/>
          <w:bCs/>
        </w:rPr>
        <w:t>2) Threat modeling &amp; sandboxing</w:t>
      </w:r>
    </w:p>
    <w:p w:rsidR="00DC175A" w:rsidRDefault="00CB2AE1">
      <w:pPr>
        <w:pStyle w:val="ListParagraph"/>
        <w:numPr>
          <w:ilvl w:val="0"/>
          <w:numId w:val="9"/>
        </w:numPr>
      </w:pPr>
      <w:r>
        <w:t xml:space="preserve">Map to </w:t>
      </w:r>
      <w:r>
        <w:rPr>
          <w:b/>
          <w:bCs/>
        </w:rPr>
        <w:t>OWASP LLM Top‑10</w:t>
      </w:r>
      <w:r>
        <w:t>. Enforce le</w:t>
      </w:r>
      <w:r>
        <w:t xml:space="preserve">ast privilege on tools/APIs; use network egress policies, VPC‑scoped secrets, </w:t>
      </w:r>
      <w:proofErr w:type="spellStart"/>
      <w:r>
        <w:t>filesystem</w:t>
      </w:r>
      <w:proofErr w:type="spellEnd"/>
      <w:r>
        <w:t xml:space="preserve"> sandboxes, and rate‑limits for high‑impact actions. Test indirect prompt injections with adversarial corpora. </w:t>
      </w:r>
      <w:r>
        <w:rPr>
          <w:rStyle w:val="FootnoteReference"/>
        </w:rPr>
        <w:footnoteReference w:id="46"/>
      </w:r>
    </w:p>
    <w:p w:rsidR="00DC175A" w:rsidRDefault="00CB2AE1">
      <w:r>
        <w:rPr>
          <w:b/>
          <w:bCs/>
        </w:rPr>
        <w:t>3) Evaluation gates (pre‑deployment)</w:t>
      </w:r>
    </w:p>
    <w:p w:rsidR="00DC175A" w:rsidRDefault="00CB2AE1">
      <w:pPr>
        <w:pStyle w:val="ListParagraph"/>
        <w:numPr>
          <w:ilvl w:val="0"/>
          <w:numId w:val="10"/>
        </w:numPr>
      </w:pPr>
      <w:r>
        <w:lastRenderedPageBreak/>
        <w:t xml:space="preserve">Build </w:t>
      </w:r>
      <w:proofErr w:type="spellStart"/>
      <w:r>
        <w:rPr>
          <w:b/>
          <w:bCs/>
        </w:rPr>
        <w:t>Evals</w:t>
      </w:r>
      <w:proofErr w:type="spellEnd"/>
      <w:r>
        <w:t xml:space="preserve"> for: t</w:t>
      </w:r>
      <w:r>
        <w:t xml:space="preserve">ool‑call correctness, policy adherence, </w:t>
      </w:r>
      <w:proofErr w:type="spellStart"/>
      <w:r>
        <w:t>groundedness</w:t>
      </w:r>
      <w:proofErr w:type="spellEnd"/>
      <w:r>
        <w:t xml:space="preserve">, data leakage resistance, and recovery from adversarial content; require pass thresholds and red‑team sign‑off before shipping. </w:t>
      </w:r>
      <w:r>
        <w:rPr>
          <w:rStyle w:val="FootnoteReference"/>
        </w:rPr>
        <w:footnoteReference w:id="47"/>
      </w:r>
    </w:p>
    <w:p w:rsidR="00DC175A" w:rsidRDefault="00CB2AE1">
      <w:r>
        <w:rPr>
          <w:b/>
          <w:bCs/>
        </w:rPr>
        <w:t>4) Run‑time guardrails &amp; monitoring</w:t>
      </w:r>
    </w:p>
    <w:p w:rsidR="00DC175A" w:rsidRDefault="00CB2AE1">
      <w:pPr>
        <w:pStyle w:val="ListParagraph"/>
        <w:numPr>
          <w:ilvl w:val="0"/>
          <w:numId w:val="11"/>
        </w:numPr>
      </w:pPr>
      <w:r>
        <w:t xml:space="preserve">Insert </w:t>
      </w: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Guardrails</w:t>
      </w:r>
      <w:r>
        <w:t xml:space="preserve"> and/or </w:t>
      </w:r>
      <w:r>
        <w:rPr>
          <w:b/>
          <w:bCs/>
        </w:rPr>
        <w:t>Azure/Vertex safety filters</w:t>
      </w:r>
      <w:r>
        <w:t xml:space="preserve"> </w:t>
      </w:r>
      <w:r>
        <w:rPr>
          <w:b/>
          <w:bCs/>
        </w:rPr>
        <w:t>before</w:t>
      </w:r>
      <w:r>
        <w:t xml:space="preserve"> tool invocation (screen instructions and retrieved documents) and </w:t>
      </w:r>
      <w:r>
        <w:rPr>
          <w:b/>
          <w:bCs/>
        </w:rPr>
        <w:t>after</w:t>
      </w:r>
      <w:r>
        <w:t xml:space="preserve"> response generation (block/repair). Track </w:t>
      </w:r>
      <w:proofErr w:type="spellStart"/>
      <w:r>
        <w:t>groundedness</w:t>
      </w:r>
      <w:proofErr w:type="spellEnd"/>
      <w:r>
        <w:t xml:space="preserve">, jailbreak attempts, and hallucination rates as KPIs. </w:t>
      </w:r>
      <w:r>
        <w:rPr>
          <w:rStyle w:val="FootnoteReference"/>
        </w:rPr>
        <w:footnoteReference w:id="48"/>
      </w:r>
      <w:r>
        <w:t xml:space="preserve"> </w:t>
      </w:r>
      <w:r>
        <w:rPr>
          <w:rStyle w:val="FootnoteReference"/>
        </w:rPr>
        <w:footnoteReference w:id="49"/>
      </w:r>
      <w:r>
        <w:t xml:space="preserve"> </w:t>
      </w:r>
      <w:r>
        <w:rPr>
          <w:rStyle w:val="FootnoteReference"/>
        </w:rPr>
        <w:footnoteReference w:id="50"/>
      </w:r>
    </w:p>
    <w:p w:rsidR="00DC175A" w:rsidRDefault="00CB2AE1">
      <w:r>
        <w:rPr>
          <w:b/>
          <w:bCs/>
        </w:rPr>
        <w:t>5) Provenance &amp; auditability</w:t>
      </w:r>
    </w:p>
    <w:p w:rsidR="00DC175A" w:rsidRDefault="00CB2AE1">
      <w:pPr>
        <w:pStyle w:val="ListParagraph"/>
        <w:numPr>
          <w:ilvl w:val="0"/>
          <w:numId w:val="12"/>
        </w:numPr>
      </w:pPr>
      <w:r>
        <w:t>For g</w:t>
      </w:r>
      <w:r>
        <w:t xml:space="preserve">enerated media, attach </w:t>
      </w:r>
      <w:r>
        <w:rPr>
          <w:b/>
          <w:bCs/>
        </w:rPr>
        <w:t>C2PA</w:t>
      </w:r>
      <w:r>
        <w:t xml:space="preserve"> Content Credentials; log all tool calls, prompts, and safety decisions for audit; publish </w:t>
      </w:r>
      <w:r>
        <w:rPr>
          <w:b/>
          <w:bCs/>
        </w:rPr>
        <w:t>Model/System Cards</w:t>
      </w:r>
      <w:r>
        <w:t xml:space="preserve"> with known limitations and intended uses. </w:t>
      </w:r>
      <w:r>
        <w:rPr>
          <w:rStyle w:val="FootnoteReference"/>
        </w:rPr>
        <w:footnoteReference w:id="51"/>
      </w:r>
      <w:r>
        <w:t xml:space="preserve"> </w:t>
      </w:r>
      <w:r>
        <w:rPr>
          <w:rStyle w:val="FootnoteReference"/>
        </w:rPr>
        <w:footnoteReference w:id="52"/>
      </w:r>
    </w:p>
    <w:p w:rsidR="00DC175A" w:rsidRDefault="00CB2AE1">
      <w:r>
        <w:rPr>
          <w:b/>
          <w:bCs/>
        </w:rPr>
        <w:t>6) Continuous improvement</w:t>
      </w:r>
    </w:p>
    <w:p w:rsidR="00DC175A" w:rsidRDefault="00CB2AE1">
      <w:pPr>
        <w:pStyle w:val="ListParagraph"/>
        <w:numPr>
          <w:ilvl w:val="0"/>
          <w:numId w:val="13"/>
        </w:numPr>
      </w:pPr>
      <w:r>
        <w:t xml:space="preserve">Re‑run </w:t>
      </w:r>
      <w:proofErr w:type="spellStart"/>
      <w:r>
        <w:t>eval</w:t>
      </w:r>
      <w:proofErr w:type="spellEnd"/>
      <w:r>
        <w:t xml:space="preserve"> batteries after prompt changes, mod</w:t>
      </w:r>
      <w:r>
        <w:t xml:space="preserve">el upgrades, or tool additions; benchmark your program maturity against </w:t>
      </w:r>
      <w:r>
        <w:rPr>
          <w:b/>
          <w:bCs/>
        </w:rPr>
        <w:t>FLI AI Safety Index</w:t>
      </w:r>
      <w:r>
        <w:t xml:space="preserve"> and capability trends from the </w:t>
      </w:r>
      <w:r>
        <w:rPr>
          <w:b/>
          <w:bCs/>
        </w:rPr>
        <w:t>Stanford AI Index</w:t>
      </w:r>
      <w:r>
        <w:t xml:space="preserve">. </w:t>
      </w:r>
      <w:r>
        <w:rPr>
          <w:rStyle w:val="FootnoteReference"/>
        </w:rPr>
        <w:footnoteReference w:id="53"/>
      </w:r>
      <w:r>
        <w:t xml:space="preserve"> </w:t>
      </w:r>
      <w:r>
        <w:rPr>
          <w:rStyle w:val="FootnoteReference"/>
        </w:rPr>
        <w:footnoteReference w:id="54"/>
      </w:r>
    </w:p>
    <w:p w:rsidR="00DC175A" w:rsidRDefault="00DC175A">
      <w:pPr>
        <w:pBdr>
          <w:top w:val="single" w:sz="12" w:space="0" w:color="auto"/>
        </w:pBdr>
        <w:spacing w:after="0"/>
      </w:pPr>
    </w:p>
    <w:p w:rsidR="00DC175A" w:rsidRDefault="00CB2AE1">
      <w:pPr>
        <w:pStyle w:val="Heading2"/>
      </w:pPr>
      <w:r>
        <w:lastRenderedPageBreak/>
        <w:t>Quick Mapping: Risks → Controls &amp; Tools</w:t>
      </w:r>
    </w:p>
    <w:p w:rsidR="00DC175A" w:rsidRDefault="00CB2AE1">
      <w:pPr>
        <w:pStyle w:val="ListParagraph"/>
        <w:numPr>
          <w:ilvl w:val="0"/>
          <w:numId w:val="14"/>
        </w:numPr>
      </w:pPr>
      <w:r>
        <w:rPr>
          <w:b/>
          <w:bCs/>
        </w:rPr>
        <w:t>Prompt injection / Jailbreaks</w:t>
      </w:r>
      <w:r>
        <w:t xml:space="preserve"> → </w:t>
      </w:r>
      <w:r>
        <w:rPr>
          <w:b/>
          <w:bCs/>
        </w:rPr>
        <w:t>OWASP threat model</w:t>
      </w:r>
      <w:r>
        <w:t xml:space="preserve"> + </w:t>
      </w: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Guardrails jailbreak rails</w:t>
      </w:r>
      <w:r>
        <w:t xml:space="preserve"> + </w:t>
      </w:r>
      <w:r>
        <w:rPr>
          <w:b/>
          <w:bCs/>
        </w:rPr>
        <w:t>Azure Prompt Shields</w:t>
      </w:r>
      <w:r>
        <w:t xml:space="preserve"> + </w:t>
      </w:r>
      <w:r>
        <w:rPr>
          <w:b/>
          <w:bCs/>
        </w:rPr>
        <w:t>Vertex filters/Gemini‑as‑filter</w:t>
      </w:r>
      <w:r>
        <w:t xml:space="preserve"> + </w:t>
      </w:r>
      <w:r>
        <w:rPr>
          <w:b/>
          <w:bCs/>
        </w:rPr>
        <w:t>Llama‑Guard 4</w:t>
      </w:r>
      <w:r>
        <w:t xml:space="preserve"> classifiers. </w:t>
      </w:r>
      <w:r>
        <w:rPr>
          <w:rStyle w:val="FootnoteReference"/>
        </w:rPr>
        <w:footnoteReference w:id="55"/>
      </w:r>
      <w:r>
        <w:t xml:space="preserve"> </w:t>
      </w:r>
      <w:r>
        <w:rPr>
          <w:rStyle w:val="FootnoteReference"/>
        </w:rPr>
        <w:footnoteReference w:id="56"/>
      </w:r>
      <w:r>
        <w:t xml:space="preserve"> </w:t>
      </w:r>
      <w:r>
        <w:rPr>
          <w:rStyle w:val="FootnoteReference"/>
        </w:rPr>
        <w:footnoteReference w:id="57"/>
      </w:r>
      <w:r>
        <w:t xml:space="preserve"> </w:t>
      </w:r>
      <w:r>
        <w:rPr>
          <w:rStyle w:val="FootnoteReference"/>
        </w:rPr>
        <w:footnoteReference w:id="58"/>
      </w:r>
      <w:r>
        <w:t xml:space="preserve"> </w:t>
      </w:r>
      <w:r>
        <w:rPr>
          <w:rStyle w:val="FootnoteReference"/>
        </w:rPr>
        <w:footnoteReference w:id="59"/>
      </w:r>
    </w:p>
    <w:p w:rsidR="00DC175A" w:rsidRDefault="00CB2AE1">
      <w:pPr>
        <w:pStyle w:val="ListParagraph"/>
        <w:numPr>
          <w:ilvl w:val="0"/>
          <w:numId w:val="14"/>
        </w:numPr>
      </w:pPr>
      <w:r>
        <w:rPr>
          <w:b/>
          <w:bCs/>
        </w:rPr>
        <w:t>Excessive agency / unsafe actions</w:t>
      </w:r>
      <w:r>
        <w:t xml:space="preserve"> → </w:t>
      </w:r>
      <w:r>
        <w:rPr>
          <w:b/>
          <w:bCs/>
        </w:rPr>
        <w:t>Least‑privilege tools</w:t>
      </w:r>
      <w:r>
        <w:t xml:space="preserve">, execution rails in </w:t>
      </w: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Guardrails</w:t>
      </w:r>
      <w:r>
        <w:t xml:space="preserve">, pre‑deployment </w:t>
      </w:r>
      <w:proofErr w:type="spellStart"/>
      <w:r>
        <w:rPr>
          <w:b/>
          <w:bCs/>
        </w:rPr>
        <w:t>Evals</w:t>
      </w:r>
      <w:proofErr w:type="spellEnd"/>
      <w:r>
        <w:t xml:space="preserve"> for tool‑use</w:t>
      </w:r>
      <w:r>
        <w:t xml:space="preserve"> correctness; governance via </w:t>
      </w:r>
      <w:r>
        <w:rPr>
          <w:b/>
          <w:bCs/>
        </w:rPr>
        <w:t>ISO/IEC 42001</w:t>
      </w:r>
      <w:r>
        <w:t xml:space="preserve"> &amp; </w:t>
      </w:r>
      <w:r>
        <w:rPr>
          <w:b/>
          <w:bCs/>
        </w:rPr>
        <w:t>RSP thresholds</w:t>
      </w:r>
      <w:r>
        <w:t xml:space="preserve">. </w:t>
      </w:r>
      <w:r>
        <w:rPr>
          <w:rStyle w:val="FootnoteReference"/>
        </w:rPr>
        <w:footnoteReference w:id="60"/>
      </w:r>
      <w:r>
        <w:t xml:space="preserve"> </w:t>
      </w:r>
      <w:r>
        <w:rPr>
          <w:rStyle w:val="FootnoteReference"/>
        </w:rPr>
        <w:footnoteReference w:id="61"/>
      </w:r>
      <w:r>
        <w:t xml:space="preserve"> </w:t>
      </w:r>
      <w:r>
        <w:rPr>
          <w:rStyle w:val="FootnoteReference"/>
        </w:rPr>
        <w:footnoteReference w:id="62"/>
      </w:r>
      <w:r>
        <w:t xml:space="preserve"> </w:t>
      </w:r>
      <w:r>
        <w:rPr>
          <w:rStyle w:val="FootnoteReference"/>
        </w:rPr>
        <w:footnoteReference w:id="63"/>
      </w:r>
    </w:p>
    <w:p w:rsidR="00DC175A" w:rsidRDefault="00CB2AE1">
      <w:pPr>
        <w:pStyle w:val="ListParagraph"/>
        <w:numPr>
          <w:ilvl w:val="0"/>
          <w:numId w:val="14"/>
        </w:numPr>
      </w:pPr>
      <w:r>
        <w:rPr>
          <w:b/>
          <w:bCs/>
        </w:rPr>
        <w:t>Hallucinations &amp; ungrounded actions</w:t>
      </w:r>
      <w:r>
        <w:t xml:space="preserve"> → </w:t>
      </w:r>
      <w:r>
        <w:rPr>
          <w:b/>
          <w:bCs/>
        </w:rPr>
        <w:t xml:space="preserve">Azure </w:t>
      </w:r>
      <w:proofErr w:type="spellStart"/>
      <w:r>
        <w:rPr>
          <w:b/>
          <w:bCs/>
        </w:rPr>
        <w:t>Groundedness</w:t>
      </w:r>
      <w:proofErr w:type="spellEnd"/>
      <w:r>
        <w:rPr>
          <w:b/>
          <w:bCs/>
        </w:rPr>
        <w:t xml:space="preserve"> detection/correction</w:t>
      </w:r>
      <w:r>
        <w:t xml:space="preserve">, </w:t>
      </w: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self‑check facts</w:t>
      </w:r>
      <w:r>
        <w:t xml:space="preserve">, </w:t>
      </w:r>
      <w:proofErr w:type="spellStart"/>
      <w:r>
        <w:rPr>
          <w:b/>
          <w:bCs/>
        </w:rPr>
        <w:t>Evals</w:t>
      </w:r>
      <w:proofErr w:type="spellEnd"/>
      <w:r>
        <w:t xml:space="preserve"> for factuality &amp; retrieval quality; </w:t>
      </w:r>
      <w:r>
        <w:rPr>
          <w:b/>
          <w:bCs/>
        </w:rPr>
        <w:t>Model Cards</w:t>
      </w:r>
      <w:r>
        <w:t xml:space="preserve"> document limitations. </w:t>
      </w:r>
      <w:r>
        <w:rPr>
          <w:rStyle w:val="FootnoteReference"/>
        </w:rPr>
        <w:footnoteReference w:id="64"/>
      </w:r>
      <w:r>
        <w:t xml:space="preserve"> </w:t>
      </w:r>
      <w:r>
        <w:rPr>
          <w:rStyle w:val="FootnoteReference"/>
        </w:rPr>
        <w:footnoteReference w:id="65"/>
      </w:r>
      <w:r>
        <w:t xml:space="preserve"> </w:t>
      </w:r>
      <w:r>
        <w:rPr>
          <w:rStyle w:val="FootnoteReference"/>
        </w:rPr>
        <w:footnoteReference w:id="66"/>
      </w:r>
      <w:r>
        <w:t xml:space="preserve"> </w:t>
      </w:r>
      <w:r>
        <w:rPr>
          <w:rStyle w:val="FootnoteReference"/>
        </w:rPr>
        <w:footnoteReference w:id="67"/>
      </w:r>
    </w:p>
    <w:p w:rsidR="00DC175A" w:rsidRDefault="00CB2AE1">
      <w:pPr>
        <w:pStyle w:val="ListParagraph"/>
        <w:numPr>
          <w:ilvl w:val="0"/>
          <w:numId w:val="14"/>
        </w:numPr>
      </w:pPr>
      <w:r>
        <w:rPr>
          <w:b/>
          <w:bCs/>
        </w:rPr>
        <w:lastRenderedPageBreak/>
        <w:t>Privacy/IP leakage</w:t>
      </w:r>
      <w:r>
        <w:t xml:space="preserve"> → </w:t>
      </w:r>
      <w:r>
        <w:rPr>
          <w:b/>
          <w:bCs/>
        </w:rPr>
        <w:t>NIST data governance</w:t>
      </w:r>
      <w:r>
        <w:t xml:space="preserve">, </w:t>
      </w:r>
      <w:r>
        <w:rPr>
          <w:b/>
          <w:bCs/>
        </w:rPr>
        <w:t>OWASP data leakage controls</w:t>
      </w:r>
      <w:r>
        <w:t xml:space="preserve">, </w:t>
      </w:r>
      <w:r>
        <w:rPr>
          <w:b/>
          <w:bCs/>
        </w:rPr>
        <w:t>Azure Protected Material (text/code)</w:t>
      </w:r>
      <w:r>
        <w:t xml:space="preserve">, </w:t>
      </w:r>
      <w:r>
        <w:rPr>
          <w:b/>
          <w:bCs/>
        </w:rPr>
        <w:t>Vertex DLP &amp; filters</w:t>
      </w:r>
      <w:r>
        <w:t xml:space="preserve">. </w:t>
      </w:r>
      <w:r>
        <w:rPr>
          <w:rStyle w:val="FootnoteReference"/>
        </w:rPr>
        <w:footnoteReference w:id="68"/>
      </w:r>
      <w:r>
        <w:t xml:space="preserve"> </w:t>
      </w:r>
      <w:r>
        <w:rPr>
          <w:rStyle w:val="FootnoteReference"/>
        </w:rPr>
        <w:footnoteReference w:id="69"/>
      </w:r>
      <w:r>
        <w:t xml:space="preserve"> </w:t>
      </w:r>
      <w:r>
        <w:rPr>
          <w:rStyle w:val="FootnoteReference"/>
        </w:rPr>
        <w:footnoteReference w:id="70"/>
      </w:r>
      <w:r>
        <w:t xml:space="preserve"> </w:t>
      </w:r>
      <w:r>
        <w:rPr>
          <w:rStyle w:val="FootnoteReference"/>
        </w:rPr>
        <w:footnoteReference w:id="71"/>
      </w:r>
    </w:p>
    <w:p w:rsidR="00DC175A" w:rsidRDefault="00CB2AE1">
      <w:pPr>
        <w:pStyle w:val="ListParagraph"/>
        <w:numPr>
          <w:ilvl w:val="0"/>
          <w:numId w:val="14"/>
        </w:numPr>
      </w:pPr>
      <w:proofErr w:type="spellStart"/>
      <w:r>
        <w:rPr>
          <w:b/>
          <w:bCs/>
        </w:rPr>
        <w:t>Mis</w:t>
      </w:r>
      <w:proofErr w:type="spellEnd"/>
      <w:r>
        <w:rPr>
          <w:b/>
          <w:bCs/>
        </w:rPr>
        <w:t>/disinformation</w:t>
      </w:r>
      <w:r>
        <w:t xml:space="preserve"> → </w:t>
      </w:r>
      <w:r>
        <w:rPr>
          <w:b/>
          <w:bCs/>
        </w:rPr>
        <w:t>C2PA</w:t>
      </w:r>
      <w:r>
        <w:t xml:space="preserve"> provenance for outputs, </w:t>
      </w:r>
      <w:r>
        <w:rPr>
          <w:b/>
          <w:bCs/>
        </w:rPr>
        <w:t>safety classifiers</w:t>
      </w:r>
      <w:r>
        <w:t xml:space="preserve"> for harmful content; organizational monitoring </w:t>
      </w:r>
      <w:r>
        <w:t xml:space="preserve">against </w:t>
      </w:r>
      <w:r>
        <w:rPr>
          <w:b/>
          <w:bCs/>
        </w:rPr>
        <w:t>FLI/Stanford indices</w:t>
      </w:r>
      <w:r>
        <w:t xml:space="preserve"> to align with best practice. </w:t>
      </w:r>
      <w:r>
        <w:rPr>
          <w:rStyle w:val="FootnoteReference"/>
        </w:rPr>
        <w:footnoteReference w:id="72"/>
      </w:r>
      <w:r>
        <w:t xml:space="preserve"> </w:t>
      </w:r>
      <w:r>
        <w:rPr>
          <w:rStyle w:val="FootnoteReference"/>
        </w:rPr>
        <w:footnoteReference w:id="73"/>
      </w:r>
      <w:r>
        <w:t xml:space="preserve"> </w:t>
      </w:r>
      <w:r>
        <w:rPr>
          <w:rStyle w:val="FootnoteReference"/>
        </w:rPr>
        <w:footnoteReference w:id="74"/>
      </w:r>
      <w:r>
        <w:t xml:space="preserve"> </w:t>
      </w:r>
      <w:r>
        <w:rPr>
          <w:rStyle w:val="FootnoteReference"/>
        </w:rPr>
        <w:footnoteReference w:id="75"/>
      </w:r>
    </w:p>
    <w:p w:rsidR="00DC175A" w:rsidRDefault="00DC175A">
      <w:pPr>
        <w:pBdr>
          <w:top w:val="single" w:sz="12" w:space="0" w:color="auto"/>
        </w:pBdr>
        <w:spacing w:after="0"/>
      </w:pPr>
    </w:p>
    <w:p w:rsidR="00DC175A" w:rsidRDefault="00CB2AE1">
      <w:pPr>
        <w:pStyle w:val="Heading2"/>
      </w:pPr>
      <w:r>
        <w:t>Key External References</w:t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t>International AI Safety Report (2025)</w:t>
      </w:r>
      <w:r>
        <w:t xml:space="preserve">—global synthesis of risks &amp; mitigations for general‑purpose AI. </w:t>
      </w:r>
      <w:r>
        <w:rPr>
          <w:rStyle w:val="FootnoteReference"/>
        </w:rPr>
        <w:footnoteReference w:id="76"/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t>NIST Artificial Intelligence</w:t>
      </w:r>
      <w:r>
        <w:t xml:space="preserve">—AI RMF, evaluations, standards, </w:t>
      </w:r>
      <w:r>
        <w:t xml:space="preserve">and guidance. </w:t>
      </w:r>
      <w:r>
        <w:rPr>
          <w:rStyle w:val="FootnoteReference"/>
        </w:rPr>
        <w:footnoteReference w:id="77"/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t>OWASP Top‑10 for LLM Applications</w:t>
      </w:r>
      <w:r>
        <w:t xml:space="preserve">—security risks and mitigations for LLM/agent apps. </w:t>
      </w:r>
      <w:r>
        <w:rPr>
          <w:rStyle w:val="FootnoteReference"/>
        </w:rPr>
        <w:footnoteReference w:id="78"/>
      </w:r>
    </w:p>
    <w:p w:rsidR="00DC175A" w:rsidRDefault="00CB2AE1">
      <w:pPr>
        <w:pStyle w:val="ListParagraph"/>
        <w:numPr>
          <w:ilvl w:val="0"/>
          <w:numId w:val="15"/>
        </w:numPr>
      </w:pP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Evals</w:t>
      </w:r>
      <w:proofErr w:type="spellEnd"/>
      <w:r>
        <w:rPr>
          <w:b/>
          <w:bCs/>
        </w:rPr>
        <w:t xml:space="preserve"> (framework &amp; hosted)</w:t>
      </w:r>
      <w:r>
        <w:t xml:space="preserve">—contextual, workflow‑specific </w:t>
      </w:r>
      <w:proofErr w:type="spellStart"/>
      <w:r>
        <w:t>evals</w:t>
      </w:r>
      <w:proofErr w:type="spellEnd"/>
      <w:r>
        <w:t xml:space="preserve"> and real‑world task suites. </w:t>
      </w:r>
      <w:r>
        <w:rPr>
          <w:rStyle w:val="FootnoteReference"/>
        </w:rPr>
        <w:footnoteReference w:id="79"/>
      </w:r>
      <w:r>
        <w:t xml:space="preserve"> </w:t>
      </w:r>
      <w:r>
        <w:rPr>
          <w:rStyle w:val="FootnoteReference"/>
        </w:rPr>
        <w:footnoteReference w:id="80"/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lastRenderedPageBreak/>
        <w:t xml:space="preserve">NVIDIA </w:t>
      </w: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Guardrails</w:t>
      </w:r>
      <w:r>
        <w:t>—policy orchestration for jai</w:t>
      </w:r>
      <w:r>
        <w:t xml:space="preserve">lbreak/PII/topic control/hallucination checks; </w:t>
      </w:r>
      <w:proofErr w:type="spellStart"/>
      <w:r>
        <w:t>microservice</w:t>
      </w:r>
      <w:proofErr w:type="spellEnd"/>
      <w:r>
        <w:t xml:space="preserve"> on NGC. </w:t>
      </w:r>
      <w:r>
        <w:rPr>
          <w:rStyle w:val="FootnoteReference"/>
        </w:rPr>
        <w:footnoteReference w:id="81"/>
      </w:r>
      <w:r>
        <w:t xml:space="preserve"> </w:t>
      </w:r>
      <w:r>
        <w:rPr>
          <w:rStyle w:val="FootnoteReference"/>
        </w:rPr>
        <w:footnoteReference w:id="82"/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t>Azure AI Content Safety</w:t>
      </w:r>
      <w:r>
        <w:t xml:space="preserve">—Prompt Shields, harm classification, </w:t>
      </w:r>
      <w:proofErr w:type="spellStart"/>
      <w:r>
        <w:t>groundedness</w:t>
      </w:r>
      <w:proofErr w:type="spellEnd"/>
      <w:r>
        <w:t xml:space="preserve">, protected material (text/code), Studio. </w:t>
      </w:r>
      <w:r>
        <w:rPr>
          <w:rStyle w:val="FootnoteReference"/>
        </w:rPr>
        <w:footnoteReference w:id="83"/>
      </w:r>
      <w:r>
        <w:t xml:space="preserve"> </w:t>
      </w:r>
      <w:r>
        <w:rPr>
          <w:rStyle w:val="FootnoteReference"/>
        </w:rPr>
        <w:footnoteReference w:id="84"/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t>Vertex AI Safety &amp; Gemini‑as‑filter</w:t>
      </w:r>
      <w:r>
        <w:t>—configurable filters and mode</w:t>
      </w:r>
      <w:r>
        <w:t xml:space="preserve">ration patterns. </w:t>
      </w:r>
      <w:r>
        <w:rPr>
          <w:rStyle w:val="FootnoteReference"/>
        </w:rPr>
        <w:footnoteReference w:id="85"/>
      </w:r>
      <w:r>
        <w:t xml:space="preserve"> </w:t>
      </w:r>
      <w:r>
        <w:rPr>
          <w:rStyle w:val="FootnoteReference"/>
        </w:rPr>
        <w:footnoteReference w:id="86"/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t>Meta Llama‑Guard 4</w:t>
      </w:r>
      <w:r>
        <w:t xml:space="preserve">—multimodal safety classifier for prompts/responses. </w:t>
      </w:r>
      <w:r>
        <w:rPr>
          <w:rStyle w:val="FootnoteReference"/>
        </w:rPr>
        <w:footnoteReference w:id="87"/>
      </w:r>
      <w:r>
        <w:t xml:space="preserve"> </w:t>
      </w:r>
      <w:r>
        <w:rPr>
          <w:rStyle w:val="FootnoteReference"/>
        </w:rPr>
        <w:footnoteReference w:id="88"/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t>C2PA (Content Credentials)</w:t>
      </w:r>
      <w:r>
        <w:t xml:space="preserve">—provenance standard to verify AI media origin/edit history. </w:t>
      </w:r>
      <w:r>
        <w:rPr>
          <w:rStyle w:val="FootnoteReference"/>
        </w:rPr>
        <w:footnoteReference w:id="89"/>
      </w:r>
      <w:r>
        <w:t xml:space="preserve"> </w:t>
      </w:r>
      <w:r>
        <w:rPr>
          <w:rStyle w:val="FootnoteReference"/>
        </w:rPr>
        <w:footnoteReference w:id="90"/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t>ISO/IEC 42001:2023</w:t>
      </w:r>
      <w:r>
        <w:t xml:space="preserve">—AI management system standard (AIMS). </w:t>
      </w:r>
      <w:r>
        <w:rPr>
          <w:rStyle w:val="FootnoteReference"/>
        </w:rPr>
        <w:footnoteReference w:id="91"/>
      </w:r>
      <w:r>
        <w:t xml:space="preserve"> </w:t>
      </w:r>
      <w:r>
        <w:rPr>
          <w:rStyle w:val="FootnoteReference"/>
        </w:rPr>
        <w:footnoteReference w:id="92"/>
      </w:r>
    </w:p>
    <w:p w:rsidR="00DC175A" w:rsidRDefault="00CB2AE1">
      <w:pPr>
        <w:pStyle w:val="ListParagraph"/>
        <w:numPr>
          <w:ilvl w:val="0"/>
          <w:numId w:val="15"/>
        </w:numPr>
      </w:pPr>
      <w:r>
        <w:rPr>
          <w:b/>
          <w:bCs/>
        </w:rPr>
        <w:t>FLI AI S</w:t>
      </w:r>
      <w:r>
        <w:rPr>
          <w:b/>
          <w:bCs/>
        </w:rPr>
        <w:t>afety Index (2025)</w:t>
      </w:r>
      <w:r>
        <w:t xml:space="preserve"> &amp; </w:t>
      </w:r>
      <w:r>
        <w:rPr>
          <w:b/>
          <w:bCs/>
        </w:rPr>
        <w:t>Stanford AI Index (2025)</w:t>
      </w:r>
      <w:r>
        <w:t xml:space="preserve">—industry‑level safety maturity &amp; capability trends. </w:t>
      </w:r>
      <w:r>
        <w:rPr>
          <w:rStyle w:val="FootnoteReference"/>
        </w:rPr>
        <w:footnoteReference w:id="93"/>
      </w:r>
      <w:r>
        <w:t xml:space="preserve"> </w:t>
      </w:r>
      <w:r>
        <w:rPr>
          <w:rStyle w:val="FootnoteReference"/>
        </w:rPr>
        <w:footnoteReference w:id="94"/>
      </w:r>
    </w:p>
    <w:p w:rsidR="00DC175A" w:rsidRDefault="00DC175A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DC17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AE1" w:rsidRDefault="00CB2AE1">
      <w:pPr>
        <w:spacing w:after="0" w:line="240" w:lineRule="auto"/>
      </w:pPr>
      <w:r>
        <w:separator/>
      </w:r>
    </w:p>
  </w:endnote>
  <w:endnote w:type="continuationSeparator" w:id="0">
    <w:p w:rsidR="00CB2AE1" w:rsidRDefault="00CB2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AE1" w:rsidRDefault="00CB2AE1">
      <w:pPr>
        <w:spacing w:after="0" w:line="240" w:lineRule="auto"/>
      </w:pPr>
      <w:r>
        <w:separator/>
      </w:r>
    </w:p>
  </w:footnote>
  <w:footnote w:type="continuationSeparator" w:id="0">
    <w:p w:rsidR="00CB2AE1" w:rsidRDefault="00CB2AE1">
      <w:pPr>
        <w:spacing w:after="0" w:line="240" w:lineRule="auto"/>
      </w:pPr>
      <w:r>
        <w:continuationSeparator/>
      </w:r>
    </w:p>
  </w:footnote>
  <w:footnote w:id="1">
    <w:p w:rsidR="00DC175A" w:rsidRDefault="00CB2AE1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https://arxiv.org/abs/1705.07874</w:t>
        </w:r>
      </w:hyperlink>
    </w:p>
  </w:footnote>
  <w:footnote w:id="2">
    <w:p w:rsidR="00DC175A" w:rsidRDefault="00CB2AE1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https://proceedings.neurips.cc/paper/2017/ha</w:t>
        </w:r>
        <w:r>
          <w:rPr>
            <w:rStyle w:val="Hyperlink"/>
          </w:rPr>
          <w:t>sh/8a20a8621978632d76c43dfd28b67767-Abstract.html</w:t>
        </w:r>
      </w:hyperlink>
    </w:p>
  </w:footnote>
  <w:footnote w:id="3">
    <w:p w:rsidR="00DC175A" w:rsidRDefault="00CB2AE1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4">
    <w:p w:rsidR="00DC175A" w:rsidRDefault="00CB2AE1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https://proceedings.neurips.cc/paper/2017/hash/8a20a8621978632d76c43dfd28b67767-Abstract.html</w:t>
        </w:r>
      </w:hyperlink>
    </w:p>
  </w:footnote>
  <w:footnote w:id="5">
    <w:p w:rsidR="00DC175A" w:rsidRDefault="00CB2AE1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6">
    <w:p w:rsidR="00DC175A" w:rsidRDefault="00CB2AE1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https://arxiv.org/abs/1705.07874</w:t>
        </w:r>
      </w:hyperlink>
    </w:p>
  </w:footnote>
  <w:footnote w:id="7">
    <w:p w:rsidR="00DC175A" w:rsidRDefault="00CB2AE1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https://proceedings.neurips.cc/paper/2017/hash/8a20a8621978632d76c43dfd28b67767-Abstract.html</w:t>
        </w:r>
      </w:hyperlink>
    </w:p>
  </w:footnote>
  <w:footnote w:id="8">
    <w:p w:rsidR="00DC175A" w:rsidRDefault="00CB2AE1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https://www.scirp.org/reference/referencespapers?referenc</w:t>
        </w:r>
        <w:r>
          <w:rPr>
            <w:rStyle w:val="Hyperlink"/>
          </w:rPr>
          <w:t>eid=3862505</w:t>
        </w:r>
      </w:hyperlink>
    </w:p>
  </w:footnote>
  <w:footnote w:id="9">
    <w:p w:rsidR="00DC175A" w:rsidRDefault="00CB2AE1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https://proceedings.neurips.cc/paper/2017/hash/8a20a8621978632d76c43dfd28b67767-Abstract.html</w:t>
        </w:r>
      </w:hyperlink>
    </w:p>
  </w:footnote>
  <w:footnote w:id="10">
    <w:p w:rsidR="00DC175A" w:rsidRDefault="00CB2AE1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11">
    <w:p w:rsidR="00DC175A" w:rsidRDefault="00CB2AE1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12">
    <w:p w:rsidR="00DC175A" w:rsidRDefault="00CB2AE1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https://github.com/meta-llama/PurpleLlama/blob/main/Llama-Guard4/12B/MODEL_CARD.</w:t>
        </w:r>
        <w:r>
          <w:rPr>
            <w:rStyle w:val="Hyperlink"/>
          </w:rPr>
          <w:t>md</w:t>
        </w:r>
      </w:hyperlink>
    </w:p>
  </w:footnote>
  <w:footnote w:id="13">
    <w:p w:rsidR="00DC175A" w:rsidRDefault="00CB2AE1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https://learn.microsoft.com/en-us/azure/ai-services/content-safety/overview</w:t>
        </w:r>
      </w:hyperlink>
    </w:p>
  </w:footnote>
  <w:footnote w:id="14">
    <w:p w:rsidR="00DC175A" w:rsidRDefault="00CB2AE1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https://docs.cloud.google.com/vertex-ai/generative-ai/docs/learn/safety-overview</w:t>
        </w:r>
      </w:hyperlink>
    </w:p>
  </w:footnote>
  <w:footnote w:id="15">
    <w:p w:rsidR="00DC175A" w:rsidRDefault="00CB2AE1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https://scottlundberg.com/publication/shap_nips/</w:t>
        </w:r>
      </w:hyperlink>
    </w:p>
  </w:footnote>
  <w:footnote w:id="16">
    <w:p w:rsidR="00DC175A" w:rsidRDefault="00CB2AE1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https://c2p</w:t>
        </w:r>
        <w:r>
          <w:rPr>
            <w:rStyle w:val="Hyperlink"/>
          </w:rPr>
          <w:t>a.org/</w:t>
        </w:r>
      </w:hyperlink>
    </w:p>
  </w:footnote>
  <w:footnote w:id="17">
    <w:p w:rsidR="00DC175A" w:rsidRDefault="00CB2AE1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https://www.anthropic.com/responsible-scaling-policy</w:t>
        </w:r>
      </w:hyperlink>
    </w:p>
  </w:footnote>
  <w:footnote w:id="18">
    <w:p w:rsidR="00DC175A" w:rsidRDefault="00CB2AE1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https://docs.nvidia.com/nemo-guardrails/index.html</w:t>
        </w:r>
      </w:hyperlink>
    </w:p>
  </w:footnote>
  <w:footnote w:id="19">
    <w:p w:rsidR="00DC175A" w:rsidRDefault="00CB2AE1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https://docs.nvidia.com/nemo/guardrails/latest/user-guides/configuration-guide/guardrails-configuration.html</w:t>
        </w:r>
      </w:hyperlink>
    </w:p>
  </w:footnote>
  <w:footnote w:id="20">
    <w:p w:rsidR="00DC175A" w:rsidRDefault="00CB2AE1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https://catalog.ngc.nvidia.com/orgs/nvidia/teams/nemo-microservices/containers/guardrails?version=25.09</w:t>
        </w:r>
      </w:hyperlink>
    </w:p>
  </w:footnote>
  <w:footnote w:id="21">
    <w:p w:rsidR="00DC175A" w:rsidRDefault="00CB2AE1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https://learn.microsoft.com/en-us/azure/ai-services/content-safety/overview</w:t>
        </w:r>
      </w:hyperlink>
    </w:p>
  </w:footnote>
  <w:footnote w:id="22">
    <w:p w:rsidR="00DC175A" w:rsidRDefault="00CB2AE1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https://learn.microsoft.com/en-us/azure/ai-services/content-s</w:t>
        </w:r>
        <w:r>
          <w:rPr>
            <w:rStyle w:val="Hyperlink"/>
          </w:rPr>
          <w:t>afety/</w:t>
        </w:r>
      </w:hyperlink>
    </w:p>
  </w:footnote>
  <w:footnote w:id="23">
    <w:p w:rsidR="00DC175A" w:rsidRDefault="00CB2AE1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https://learn.microsoft.com/en-us/azure/ai-services/content-safety/whats-new</w:t>
        </w:r>
      </w:hyperlink>
    </w:p>
  </w:footnote>
  <w:footnote w:id="24">
    <w:p w:rsidR="00DC175A" w:rsidRDefault="00CB2AE1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https://docs.cloud.google.com/vertex-ai/generative-ai/docs/multimodal/configure-safety-filters</w:t>
        </w:r>
      </w:hyperlink>
    </w:p>
  </w:footnote>
  <w:footnote w:id="25">
    <w:p w:rsidR="00DC175A" w:rsidRDefault="00CB2AE1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</w:t>
        </w:r>
        <w:r>
          <w:rPr>
            <w:rStyle w:val="Hyperlink"/>
          </w:rPr>
          <w:t>s://docs.cloud.google.com/vertex-ai/generative-ai/docs/multimodal/gemini-for-filtering-and-moderation</w:t>
        </w:r>
      </w:hyperlink>
    </w:p>
  </w:footnote>
  <w:footnote w:id="26">
    <w:p w:rsidR="00DC175A" w:rsidRDefault="00CB2AE1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https://github.com/meta-llama/PurpleLlama/blob/main/Llama-Guard4/12B/MODEL_CARD.md</w:t>
        </w:r>
      </w:hyperlink>
    </w:p>
  </w:footnote>
  <w:footnote w:id="27">
    <w:p w:rsidR="00DC175A" w:rsidRDefault="00CB2AE1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https://huggingface.co/meta-llama/Llama-Guard-4-12B</w:t>
        </w:r>
      </w:hyperlink>
    </w:p>
  </w:footnote>
  <w:footnote w:id="28">
    <w:p w:rsidR="00DC175A" w:rsidRDefault="00CB2AE1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29">
    <w:p w:rsidR="00DC175A" w:rsidRDefault="00CB2AE1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https://github.com/openai/evals</w:t>
        </w:r>
      </w:hyperlink>
    </w:p>
  </w:footnote>
  <w:footnote w:id="30">
    <w:p w:rsidR="00DC175A" w:rsidRDefault="00CB2AE1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https://evals.openai.com/</w:t>
        </w:r>
      </w:hyperlink>
    </w:p>
  </w:footnote>
  <w:footnote w:id="31">
    <w:p w:rsidR="00DC175A" w:rsidRDefault="00CB2AE1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https://proceedings.neurips.cc/paper/2017/hash/8a20a8621978632d76c43dfd28b67767-Abstract.html</w:t>
        </w:r>
      </w:hyperlink>
    </w:p>
  </w:footnote>
  <w:footnote w:id="32">
    <w:p w:rsidR="00DC175A" w:rsidRDefault="00CB2AE1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https://www.scirp.org/reference/referencespapers?referenceid=3862505</w:t>
        </w:r>
      </w:hyperlink>
    </w:p>
  </w:footnote>
  <w:footnote w:id="33">
    <w:p w:rsidR="00DC175A" w:rsidRDefault="00CB2AE1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https://www.scilit.com/publications/a512</w:t>
        </w:r>
        <w:r>
          <w:rPr>
            <w:rStyle w:val="Hyperlink"/>
          </w:rPr>
          <w:t>136672deabec8f1ab8916c7b5955</w:t>
        </w:r>
      </w:hyperlink>
    </w:p>
  </w:footnote>
  <w:footnote w:id="34">
    <w:p w:rsidR="00DC175A" w:rsidRDefault="00CB2AE1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https://arxiv.org/abs/1803.09010</w:t>
        </w:r>
      </w:hyperlink>
    </w:p>
  </w:footnote>
  <w:footnote w:id="35">
    <w:p w:rsidR="00DC175A" w:rsidRDefault="00CB2AE1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https://www.tensorflow.org/responsible_ai/model_card_toolkit</w:t>
        </w:r>
        <w:r>
          <w:rPr>
            <w:rStyle w:val="Hyperlink"/>
          </w:rPr>
          <w:t>/guide</w:t>
        </w:r>
      </w:hyperlink>
    </w:p>
  </w:footnote>
  <w:footnote w:id="36">
    <w:p w:rsidR="00DC175A" w:rsidRDefault="00CB2AE1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https://arxiv.org/abs/1705.07874</w:t>
        </w:r>
      </w:hyperlink>
    </w:p>
  </w:footnote>
  <w:footnote w:id="37">
    <w:p w:rsidR="00DC175A" w:rsidRDefault="00CB2AE1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https://arxiv.org/abs/1602.04938</w:t>
        </w:r>
      </w:hyperlink>
    </w:p>
  </w:footnote>
  <w:footnote w:id="38">
    <w:p w:rsidR="00DC175A" w:rsidRDefault="00CB2AE1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https://c2pa.org/</w:t>
        </w:r>
      </w:hyperlink>
    </w:p>
  </w:footnote>
  <w:footnote w:id="39">
    <w:p w:rsidR="00DC175A" w:rsidRDefault="00CB2AE1">
      <w:r>
        <w:rPr>
          <w:rStyle w:val="FootnoteReference"/>
        </w:rPr>
        <w:footnoteRef/>
      </w:r>
      <w:hyperlink r:id="rId39" w:history="1">
        <w:r>
          <w:rPr>
            <w:rStyle w:val="Hyperlink"/>
          </w:rPr>
          <w:t>https://spec.c2pa.org/specifications/specifications/2.2/index.html</w:t>
        </w:r>
      </w:hyperlink>
    </w:p>
  </w:footnote>
  <w:footnote w:id="40">
    <w:p w:rsidR="00DC175A" w:rsidRDefault="00CB2AE1">
      <w:r>
        <w:rPr>
          <w:rStyle w:val="FootnoteReference"/>
        </w:rPr>
        <w:footnoteRef/>
      </w:r>
      <w:hyperlink r:id="rId40" w:history="1">
        <w:r>
          <w:rPr>
            <w:rStyle w:val="Hyperlink"/>
          </w:rPr>
          <w:t>https://www.iso.org/standard/42001</w:t>
        </w:r>
      </w:hyperlink>
    </w:p>
  </w:footnote>
  <w:footnote w:id="41">
    <w:p w:rsidR="00DC175A" w:rsidRDefault="00CB2AE1">
      <w:r>
        <w:rPr>
          <w:rStyle w:val="FootnoteReference"/>
        </w:rPr>
        <w:footnoteRef/>
      </w:r>
      <w:hyperlink r:id="rId41" w:history="1">
        <w:r>
          <w:rPr>
            <w:rStyle w:val="Hyperlink"/>
          </w:rPr>
          <w:t>https://certification.bureauveritas.com/iso-420012023-artificial-intelligence-management-system-aims</w:t>
        </w:r>
      </w:hyperlink>
    </w:p>
  </w:footnote>
  <w:footnote w:id="42">
    <w:p w:rsidR="00DC175A" w:rsidRDefault="00CB2AE1">
      <w:r>
        <w:rPr>
          <w:rStyle w:val="FootnoteReference"/>
        </w:rPr>
        <w:footnoteRef/>
      </w:r>
      <w:hyperlink r:id="rId42" w:history="1">
        <w:r>
          <w:rPr>
            <w:rStyle w:val="Hyperlink"/>
          </w:rPr>
          <w:t>https://www.anthropic.com/responsible-scaling-policy</w:t>
        </w:r>
      </w:hyperlink>
    </w:p>
  </w:footnote>
  <w:footnote w:id="43">
    <w:p w:rsidR="00DC175A" w:rsidRDefault="00CB2AE1">
      <w:r>
        <w:rPr>
          <w:rStyle w:val="FootnoteReference"/>
        </w:rPr>
        <w:footnoteRef/>
      </w:r>
      <w:hyperlink r:id="rId43" w:history="1">
        <w:r>
          <w:rPr>
            <w:rStyle w:val="Hyperlink"/>
          </w:rPr>
          <w:t>https://proceedings.neurips.cc/paper/2017/hash/8a20a8621978632d76c43dfd28b67767-Abstract.htm</w:t>
        </w:r>
        <w:r>
          <w:rPr>
            <w:rStyle w:val="Hyperlink"/>
          </w:rPr>
          <w:t>l</w:t>
        </w:r>
      </w:hyperlink>
    </w:p>
  </w:footnote>
  <w:footnote w:id="44">
    <w:p w:rsidR="00DC175A" w:rsidRDefault="00CB2AE1">
      <w:r>
        <w:rPr>
          <w:rStyle w:val="FootnoteReference"/>
        </w:rPr>
        <w:footnoteRef/>
      </w:r>
      <w:hyperlink r:id="rId44" w:history="1">
        <w:r>
          <w:rPr>
            <w:rStyle w:val="Hyperlink"/>
          </w:rPr>
          <w:t>https://www.iso.org/standard/42001</w:t>
        </w:r>
      </w:hyperlink>
    </w:p>
  </w:footnote>
  <w:footnote w:id="45">
    <w:p w:rsidR="00DC175A" w:rsidRDefault="00CB2AE1">
      <w:r>
        <w:rPr>
          <w:rStyle w:val="FootnoteReference"/>
        </w:rPr>
        <w:footnoteRef/>
      </w:r>
      <w:hyperlink r:id="rId45" w:history="1">
        <w:r>
          <w:rPr>
            <w:rStyle w:val="Hyperlink"/>
          </w:rPr>
          <w:t>https://www.tensorflow.org/responsible_ai/model_card_toolkit/guide</w:t>
        </w:r>
      </w:hyperlink>
    </w:p>
  </w:footnote>
  <w:footnote w:id="46">
    <w:p w:rsidR="00DC175A" w:rsidRDefault="00CB2AE1">
      <w:r>
        <w:rPr>
          <w:rStyle w:val="FootnoteReference"/>
        </w:rPr>
        <w:footnoteRef/>
      </w:r>
      <w:hyperlink r:id="rId46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47">
    <w:p w:rsidR="00DC175A" w:rsidRDefault="00CB2AE1">
      <w:r>
        <w:rPr>
          <w:rStyle w:val="FootnoteReference"/>
        </w:rPr>
        <w:footnoteRef/>
      </w:r>
      <w:hyperlink r:id="rId47" w:history="1">
        <w:r>
          <w:rPr>
            <w:rStyle w:val="Hyperlink"/>
          </w:rPr>
          <w:t>https://github.com/openai/evals</w:t>
        </w:r>
      </w:hyperlink>
    </w:p>
  </w:footnote>
  <w:footnote w:id="48">
    <w:p w:rsidR="00DC175A" w:rsidRDefault="00CB2AE1">
      <w:r>
        <w:rPr>
          <w:rStyle w:val="FootnoteReference"/>
        </w:rPr>
        <w:footnoteRef/>
      </w:r>
      <w:hyperlink r:id="rId48" w:history="1">
        <w:r>
          <w:rPr>
            <w:rStyle w:val="Hyperlink"/>
          </w:rPr>
          <w:t>https://docs.nvidia.com/nemo-guardrails/index.html</w:t>
        </w:r>
      </w:hyperlink>
    </w:p>
  </w:footnote>
  <w:footnote w:id="49">
    <w:p w:rsidR="00DC175A" w:rsidRDefault="00CB2AE1">
      <w:r>
        <w:rPr>
          <w:rStyle w:val="FootnoteReference"/>
        </w:rPr>
        <w:footnoteRef/>
      </w:r>
      <w:hyperlink r:id="rId49" w:history="1">
        <w:r>
          <w:rPr>
            <w:rStyle w:val="Hyperlink"/>
          </w:rPr>
          <w:t>https://learn.microsoft.com/en-us/azure/ai-services/content-safety</w:t>
        </w:r>
        <w:r>
          <w:rPr>
            <w:rStyle w:val="Hyperlink"/>
          </w:rPr>
          <w:t>/overview</w:t>
        </w:r>
      </w:hyperlink>
    </w:p>
  </w:footnote>
  <w:footnote w:id="50">
    <w:p w:rsidR="00DC175A" w:rsidRDefault="00CB2AE1">
      <w:r>
        <w:rPr>
          <w:rStyle w:val="FootnoteReference"/>
        </w:rPr>
        <w:footnoteRef/>
      </w:r>
      <w:hyperlink r:id="rId50" w:history="1">
        <w:r>
          <w:rPr>
            <w:rStyle w:val="Hyperlink"/>
          </w:rPr>
          <w:t>https://docs.cloud.google.com/vertex-ai/generative-ai/docs/multimodal/configure-safety-filters</w:t>
        </w:r>
      </w:hyperlink>
    </w:p>
  </w:footnote>
  <w:footnote w:id="51">
    <w:p w:rsidR="00DC175A" w:rsidRDefault="00CB2AE1">
      <w:r>
        <w:rPr>
          <w:rStyle w:val="FootnoteReference"/>
        </w:rPr>
        <w:footnoteRef/>
      </w:r>
      <w:hyperlink r:id="rId51" w:history="1">
        <w:r>
          <w:rPr>
            <w:rStyle w:val="Hyperlink"/>
          </w:rPr>
          <w:t>http</w:t>
        </w:r>
        <w:r>
          <w:rPr>
            <w:rStyle w:val="Hyperlink"/>
          </w:rPr>
          <w:t>s://c2pa.org/</w:t>
        </w:r>
      </w:hyperlink>
    </w:p>
  </w:footnote>
  <w:footnote w:id="52">
    <w:p w:rsidR="00DC175A" w:rsidRDefault="00CB2AE1">
      <w:r>
        <w:rPr>
          <w:rStyle w:val="FootnoteReference"/>
        </w:rPr>
        <w:footnoteRef/>
      </w:r>
      <w:hyperlink r:id="rId52" w:history="1">
        <w:r>
          <w:rPr>
            <w:rStyle w:val="Hyperlink"/>
          </w:rPr>
          <w:t>https://www.tensorflow.org/responsible_ai/model_card_toolkit/guide</w:t>
        </w:r>
      </w:hyperlink>
    </w:p>
  </w:footnote>
  <w:footnote w:id="53">
    <w:p w:rsidR="00DC175A" w:rsidRDefault="00CB2AE1">
      <w:r>
        <w:rPr>
          <w:rStyle w:val="FootnoteReference"/>
        </w:rPr>
        <w:footnoteRef/>
      </w:r>
      <w:hyperlink r:id="rId53" w:history="1">
        <w:r>
          <w:rPr>
            <w:rStyle w:val="Hyperlink"/>
          </w:rPr>
          <w:t>https</w:t>
        </w:r>
        <w:r>
          <w:rPr>
            <w:rStyle w:val="Hyperlink"/>
          </w:rPr>
          <w:t>://www.scirp.org/reference/referencespapers?referenceid=3862505</w:t>
        </w:r>
      </w:hyperlink>
    </w:p>
  </w:footnote>
  <w:footnote w:id="54">
    <w:p w:rsidR="00DC175A" w:rsidRDefault="00CB2AE1">
      <w:r>
        <w:rPr>
          <w:rStyle w:val="FootnoteReference"/>
        </w:rPr>
        <w:footnoteRef/>
      </w:r>
      <w:hyperlink r:id="rId54" w:history="1">
        <w:r>
          <w:rPr>
            <w:rStyle w:val="Hyperlink"/>
          </w:rPr>
          <w:t>https://www.scilit.com/publications/a512136672deabec8f1ab8916c7b5955</w:t>
        </w:r>
      </w:hyperlink>
    </w:p>
  </w:footnote>
  <w:footnote w:id="55">
    <w:p w:rsidR="00DC175A" w:rsidRDefault="00CB2AE1">
      <w:r>
        <w:rPr>
          <w:rStyle w:val="FootnoteReference"/>
        </w:rPr>
        <w:footnoteRef/>
      </w:r>
      <w:hyperlink r:id="rId55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56">
    <w:p w:rsidR="00DC175A" w:rsidRDefault="00CB2AE1">
      <w:r>
        <w:rPr>
          <w:rStyle w:val="FootnoteReference"/>
        </w:rPr>
        <w:footnoteRef/>
      </w:r>
      <w:hyperlink r:id="rId56" w:history="1">
        <w:r>
          <w:rPr>
            <w:rStyle w:val="Hyperlink"/>
          </w:rPr>
          <w:t>https://docs.nvidia.com/nemo-guardrails/index.html</w:t>
        </w:r>
      </w:hyperlink>
    </w:p>
  </w:footnote>
  <w:footnote w:id="57">
    <w:p w:rsidR="00DC175A" w:rsidRDefault="00CB2AE1">
      <w:r>
        <w:rPr>
          <w:rStyle w:val="FootnoteReference"/>
        </w:rPr>
        <w:footnoteRef/>
      </w:r>
      <w:hyperlink r:id="rId57" w:history="1">
        <w:r>
          <w:rPr>
            <w:rStyle w:val="Hyperlink"/>
          </w:rPr>
          <w:t>https://learn.microsoft.com/en-us/azure/ai-services/content-safety/overview</w:t>
        </w:r>
      </w:hyperlink>
    </w:p>
  </w:footnote>
  <w:footnote w:id="58">
    <w:p w:rsidR="00DC175A" w:rsidRDefault="00CB2AE1">
      <w:r>
        <w:rPr>
          <w:rStyle w:val="FootnoteReference"/>
        </w:rPr>
        <w:footnoteRef/>
      </w:r>
      <w:hyperlink r:id="rId58" w:history="1">
        <w:r>
          <w:rPr>
            <w:rStyle w:val="Hyperlink"/>
          </w:rPr>
          <w:t>https://docs.cloud.google.com/vertex-ai/generative-ai/docs/multimodal/configure-safety-filters</w:t>
        </w:r>
      </w:hyperlink>
    </w:p>
  </w:footnote>
  <w:footnote w:id="59">
    <w:p w:rsidR="00DC175A" w:rsidRDefault="00CB2AE1">
      <w:r>
        <w:rPr>
          <w:rStyle w:val="FootnoteReference"/>
        </w:rPr>
        <w:footnoteRef/>
      </w:r>
      <w:hyperlink r:id="rId59" w:history="1">
        <w:r>
          <w:rPr>
            <w:rStyle w:val="Hyperlink"/>
          </w:rPr>
          <w:t>https://github.com/meta-llama/PurpleLlama/blob/main/Llama-Guard4/12B/MODEL_CARD.md</w:t>
        </w:r>
      </w:hyperlink>
    </w:p>
  </w:footnote>
  <w:footnote w:id="60">
    <w:p w:rsidR="00DC175A" w:rsidRDefault="00CB2AE1">
      <w:r>
        <w:rPr>
          <w:rStyle w:val="FootnoteReference"/>
        </w:rPr>
        <w:footnoteRef/>
      </w:r>
      <w:hyperlink r:id="rId60" w:history="1">
        <w:r>
          <w:rPr>
            <w:rStyle w:val="Hyperlink"/>
          </w:rPr>
          <w:t>https://docs.nvidia.com/nemo/guardrails/latest/user-guides/configuration-guide/guardrails-configuration.html</w:t>
        </w:r>
      </w:hyperlink>
    </w:p>
  </w:footnote>
  <w:footnote w:id="61">
    <w:p w:rsidR="00DC175A" w:rsidRDefault="00CB2AE1">
      <w:r>
        <w:rPr>
          <w:rStyle w:val="FootnoteReference"/>
        </w:rPr>
        <w:footnoteRef/>
      </w:r>
      <w:hyperlink r:id="rId61" w:history="1">
        <w:r>
          <w:rPr>
            <w:rStyle w:val="Hyperlink"/>
          </w:rPr>
          <w:t>https://github.com/openai/evals</w:t>
        </w:r>
      </w:hyperlink>
    </w:p>
  </w:footnote>
  <w:footnote w:id="62">
    <w:p w:rsidR="00DC175A" w:rsidRDefault="00CB2AE1">
      <w:r>
        <w:rPr>
          <w:rStyle w:val="FootnoteReference"/>
        </w:rPr>
        <w:footnoteRef/>
      </w:r>
      <w:hyperlink r:id="rId62" w:history="1">
        <w:r>
          <w:rPr>
            <w:rStyle w:val="Hyperlink"/>
          </w:rPr>
          <w:t>https://www.i</w:t>
        </w:r>
        <w:r>
          <w:rPr>
            <w:rStyle w:val="Hyperlink"/>
          </w:rPr>
          <w:t>so.org/standard/42001</w:t>
        </w:r>
      </w:hyperlink>
    </w:p>
  </w:footnote>
  <w:footnote w:id="63">
    <w:p w:rsidR="00DC175A" w:rsidRDefault="00CB2AE1">
      <w:r>
        <w:rPr>
          <w:rStyle w:val="FootnoteReference"/>
        </w:rPr>
        <w:footnoteRef/>
      </w:r>
      <w:hyperlink r:id="rId63" w:history="1">
        <w:r>
          <w:rPr>
            <w:rStyle w:val="Hyperlink"/>
          </w:rPr>
          <w:t>https://www.anthropic.com/responsible-scaling-policy</w:t>
        </w:r>
      </w:hyperlink>
    </w:p>
  </w:footnote>
  <w:footnote w:id="64">
    <w:p w:rsidR="00DC175A" w:rsidRDefault="00CB2AE1">
      <w:r>
        <w:rPr>
          <w:rStyle w:val="FootnoteReference"/>
        </w:rPr>
        <w:footnoteRef/>
      </w:r>
      <w:hyperlink r:id="rId64" w:history="1">
        <w:r>
          <w:rPr>
            <w:rStyle w:val="Hyperlink"/>
          </w:rPr>
          <w:t>https://learn.micr</w:t>
        </w:r>
        <w:r>
          <w:rPr>
            <w:rStyle w:val="Hyperlink"/>
          </w:rPr>
          <w:t>osoft.com/en-us/azure/ai-services/content-safety/overview</w:t>
        </w:r>
      </w:hyperlink>
    </w:p>
  </w:footnote>
  <w:footnote w:id="65">
    <w:p w:rsidR="00DC175A" w:rsidRDefault="00CB2AE1">
      <w:r>
        <w:rPr>
          <w:rStyle w:val="FootnoteReference"/>
        </w:rPr>
        <w:footnoteRef/>
      </w:r>
      <w:hyperlink r:id="rId65" w:history="1">
        <w:r>
          <w:rPr>
            <w:rStyle w:val="Hyperlink"/>
          </w:rPr>
          <w:t>https://docs.nvidia.com/nemo/guardrails/latest/user-guides/configuration</w:t>
        </w:r>
        <w:r>
          <w:rPr>
            <w:rStyle w:val="Hyperlink"/>
          </w:rPr>
          <w:t>-guide/guardrails-configuration.html</w:t>
        </w:r>
      </w:hyperlink>
    </w:p>
  </w:footnote>
  <w:footnote w:id="66">
    <w:p w:rsidR="00DC175A" w:rsidRDefault="00CB2AE1">
      <w:r>
        <w:rPr>
          <w:rStyle w:val="FootnoteReference"/>
        </w:rPr>
        <w:footnoteRef/>
      </w:r>
      <w:hyperlink r:id="rId66" w:history="1">
        <w:r>
          <w:rPr>
            <w:rStyle w:val="Hyperlink"/>
          </w:rPr>
          <w:t>https://github.com/openai/evals</w:t>
        </w:r>
      </w:hyperlink>
    </w:p>
  </w:footnote>
  <w:footnote w:id="67">
    <w:p w:rsidR="00DC175A" w:rsidRDefault="00CB2AE1">
      <w:r>
        <w:rPr>
          <w:rStyle w:val="FootnoteReference"/>
        </w:rPr>
        <w:footnoteRef/>
      </w:r>
      <w:hyperlink r:id="rId67" w:history="1">
        <w:r>
          <w:rPr>
            <w:rStyle w:val="Hyperlink"/>
          </w:rPr>
          <w:t>https://www.tensorflow.org/responsible_ai/model_card_t</w:t>
        </w:r>
        <w:r>
          <w:rPr>
            <w:rStyle w:val="Hyperlink"/>
          </w:rPr>
          <w:t>oolkit/guide</w:t>
        </w:r>
      </w:hyperlink>
    </w:p>
  </w:footnote>
  <w:footnote w:id="68">
    <w:p w:rsidR="00DC175A" w:rsidRDefault="00CB2AE1">
      <w:r>
        <w:rPr>
          <w:rStyle w:val="FootnoteReference"/>
        </w:rPr>
        <w:footnoteRef/>
      </w:r>
      <w:hyperlink r:id="rId68" w:history="1">
        <w:r>
          <w:rPr>
            <w:rStyle w:val="Hyperlink"/>
          </w:rPr>
          <w:t>https://proceedings.neurips.cc/paper/2017/hash/8a20a8621978632d76c43dfd28b67767-Abstract.html</w:t>
        </w:r>
      </w:hyperlink>
    </w:p>
  </w:footnote>
  <w:footnote w:id="69">
    <w:p w:rsidR="00DC175A" w:rsidRDefault="00CB2AE1">
      <w:r>
        <w:rPr>
          <w:rStyle w:val="FootnoteReference"/>
        </w:rPr>
        <w:footnoteRef/>
      </w:r>
      <w:hyperlink r:id="rId69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70">
    <w:p w:rsidR="00DC175A" w:rsidRDefault="00CB2AE1">
      <w:r>
        <w:rPr>
          <w:rStyle w:val="FootnoteReference"/>
        </w:rPr>
        <w:footnoteRef/>
      </w:r>
      <w:hyperlink r:id="rId70" w:history="1">
        <w:r>
          <w:rPr>
            <w:rStyle w:val="Hyperlink"/>
          </w:rPr>
          <w:t>https://learn.microsoft.com/en-u</w:t>
        </w:r>
        <w:r>
          <w:rPr>
            <w:rStyle w:val="Hyperlink"/>
          </w:rPr>
          <w:t>s/azure/ai-services/content-safety/overview</w:t>
        </w:r>
      </w:hyperlink>
    </w:p>
  </w:footnote>
  <w:footnote w:id="71">
    <w:p w:rsidR="00DC175A" w:rsidRDefault="00CB2AE1">
      <w:r>
        <w:rPr>
          <w:rStyle w:val="FootnoteReference"/>
        </w:rPr>
        <w:footnoteRef/>
      </w:r>
      <w:hyperlink r:id="rId71" w:history="1">
        <w:r>
          <w:rPr>
            <w:rStyle w:val="Hyperlink"/>
          </w:rPr>
          <w:t>https://docs.cloud.google.com/vertex-ai/generative-ai/docs/learn/safety-overview</w:t>
        </w:r>
      </w:hyperlink>
    </w:p>
  </w:footnote>
  <w:footnote w:id="72">
    <w:p w:rsidR="00DC175A" w:rsidRDefault="00CB2AE1">
      <w:r>
        <w:rPr>
          <w:rStyle w:val="FootnoteReference"/>
        </w:rPr>
        <w:footnoteRef/>
      </w:r>
      <w:hyperlink r:id="rId72" w:history="1">
        <w:r>
          <w:rPr>
            <w:rStyle w:val="Hyperlink"/>
          </w:rPr>
          <w:t>https://c2pa.org/</w:t>
        </w:r>
      </w:hyperlink>
    </w:p>
  </w:footnote>
  <w:footnote w:id="73">
    <w:p w:rsidR="00DC175A" w:rsidRDefault="00CB2AE1">
      <w:r>
        <w:rPr>
          <w:rStyle w:val="FootnoteReference"/>
        </w:rPr>
        <w:footnoteRef/>
      </w:r>
      <w:hyperlink r:id="rId73" w:history="1">
        <w:r>
          <w:rPr>
            <w:rStyle w:val="Hyperlink"/>
          </w:rPr>
          <w:t>https://github.com/meta-llama/PurpleLlama/blob/main/Llama-Guard4/12B/MODEL_CARD.md</w:t>
        </w:r>
      </w:hyperlink>
    </w:p>
  </w:footnote>
  <w:footnote w:id="74">
    <w:p w:rsidR="00DC175A" w:rsidRDefault="00CB2AE1">
      <w:r>
        <w:rPr>
          <w:rStyle w:val="FootnoteReference"/>
        </w:rPr>
        <w:footnoteRef/>
      </w:r>
      <w:hyperlink r:id="rId74" w:history="1">
        <w:r>
          <w:rPr>
            <w:rStyle w:val="Hyperlink"/>
          </w:rPr>
          <w:t>https://www.scirp.org/reference/referencespapers?referenceid=3862505</w:t>
        </w:r>
      </w:hyperlink>
    </w:p>
  </w:footnote>
  <w:footnote w:id="75">
    <w:p w:rsidR="00DC175A" w:rsidRDefault="00CB2AE1">
      <w:r>
        <w:rPr>
          <w:rStyle w:val="FootnoteReference"/>
        </w:rPr>
        <w:footnoteRef/>
      </w:r>
      <w:hyperlink r:id="rId75" w:history="1">
        <w:r>
          <w:rPr>
            <w:rStyle w:val="Hyperlink"/>
          </w:rPr>
          <w:t>https://www.scilit</w:t>
        </w:r>
        <w:r>
          <w:rPr>
            <w:rStyle w:val="Hyperlink"/>
          </w:rPr>
          <w:t>.com/publications/a512136672deabec8f1ab8916c7b5955</w:t>
        </w:r>
      </w:hyperlink>
    </w:p>
  </w:footnote>
  <w:footnote w:id="76">
    <w:p w:rsidR="00DC175A" w:rsidRDefault="00CB2AE1">
      <w:r>
        <w:rPr>
          <w:rStyle w:val="FootnoteReference"/>
        </w:rPr>
        <w:footnoteRef/>
      </w:r>
      <w:hyperlink r:id="rId76" w:history="1">
        <w:r>
          <w:rPr>
            <w:rStyle w:val="Hyperlink"/>
          </w:rPr>
          <w:t>https://arxiv.org/abs/1705.07874</w:t>
        </w:r>
      </w:hyperlink>
    </w:p>
  </w:footnote>
  <w:footnote w:id="77">
    <w:p w:rsidR="00DC175A" w:rsidRDefault="00CB2AE1">
      <w:r>
        <w:rPr>
          <w:rStyle w:val="FootnoteReference"/>
        </w:rPr>
        <w:footnoteRef/>
      </w:r>
      <w:hyperlink r:id="rId77" w:history="1">
        <w:r>
          <w:rPr>
            <w:rStyle w:val="Hyperlink"/>
          </w:rPr>
          <w:t>https://pro</w:t>
        </w:r>
        <w:r>
          <w:rPr>
            <w:rStyle w:val="Hyperlink"/>
          </w:rPr>
          <w:t>ceedings.neurips.cc/paper/2017/hash/8a20a8621978632d76c43dfd28b67767-Abstract.html</w:t>
        </w:r>
      </w:hyperlink>
    </w:p>
  </w:footnote>
  <w:footnote w:id="78">
    <w:p w:rsidR="00DC175A" w:rsidRDefault="00CB2AE1">
      <w:r>
        <w:rPr>
          <w:rStyle w:val="FootnoteReference"/>
        </w:rPr>
        <w:footnoteRef/>
      </w:r>
      <w:hyperlink r:id="rId78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79">
    <w:p w:rsidR="00DC175A" w:rsidRDefault="00CB2AE1">
      <w:r>
        <w:rPr>
          <w:rStyle w:val="FootnoteReference"/>
        </w:rPr>
        <w:footnoteRef/>
      </w:r>
      <w:hyperlink r:id="rId79" w:history="1">
        <w:r>
          <w:rPr>
            <w:rStyle w:val="Hyperlink"/>
          </w:rPr>
          <w:t>https://github.com/openai/evals</w:t>
        </w:r>
      </w:hyperlink>
    </w:p>
  </w:footnote>
  <w:footnote w:id="80">
    <w:p w:rsidR="00DC175A" w:rsidRDefault="00CB2AE1">
      <w:r>
        <w:rPr>
          <w:rStyle w:val="FootnoteReference"/>
        </w:rPr>
        <w:footnoteRef/>
      </w:r>
      <w:hyperlink r:id="rId80" w:history="1">
        <w:r>
          <w:rPr>
            <w:rStyle w:val="Hyperlink"/>
          </w:rPr>
          <w:t>https://evals.openai.com/</w:t>
        </w:r>
      </w:hyperlink>
    </w:p>
  </w:footnote>
  <w:footnote w:id="81">
    <w:p w:rsidR="00DC175A" w:rsidRDefault="00CB2AE1">
      <w:r>
        <w:rPr>
          <w:rStyle w:val="FootnoteReference"/>
        </w:rPr>
        <w:footnoteRef/>
      </w:r>
      <w:hyperlink r:id="rId81" w:history="1">
        <w:r>
          <w:rPr>
            <w:rStyle w:val="Hyperlink"/>
          </w:rPr>
          <w:t>https://docs.nvidia.com/nemo-guardrails/in</w:t>
        </w:r>
        <w:r>
          <w:rPr>
            <w:rStyle w:val="Hyperlink"/>
          </w:rPr>
          <w:t>dex.html</w:t>
        </w:r>
      </w:hyperlink>
    </w:p>
  </w:footnote>
  <w:footnote w:id="82">
    <w:p w:rsidR="00DC175A" w:rsidRDefault="00CB2AE1">
      <w:r>
        <w:rPr>
          <w:rStyle w:val="FootnoteReference"/>
        </w:rPr>
        <w:footnoteRef/>
      </w:r>
      <w:hyperlink r:id="rId82" w:history="1">
        <w:r>
          <w:rPr>
            <w:rStyle w:val="Hyperlink"/>
          </w:rPr>
          <w:t>https://catalog.ngc.nvidia.com/orgs/nvidia/teams/nemo-microservices/containers/guardrails?version=25.09</w:t>
        </w:r>
      </w:hyperlink>
    </w:p>
  </w:footnote>
  <w:footnote w:id="83">
    <w:p w:rsidR="00DC175A" w:rsidRDefault="00CB2AE1">
      <w:r>
        <w:rPr>
          <w:rStyle w:val="FootnoteReference"/>
        </w:rPr>
        <w:footnoteRef/>
      </w:r>
      <w:hyperlink r:id="rId83" w:history="1">
        <w:r>
          <w:rPr>
            <w:rStyle w:val="Hyperlink"/>
          </w:rPr>
          <w:t>https://learn.microsoft.com/en-us/azure/ai-services/content-safety/overview</w:t>
        </w:r>
      </w:hyperlink>
    </w:p>
  </w:footnote>
  <w:footnote w:id="84">
    <w:p w:rsidR="00DC175A" w:rsidRDefault="00CB2AE1">
      <w:r>
        <w:rPr>
          <w:rStyle w:val="FootnoteReference"/>
        </w:rPr>
        <w:footnoteRef/>
      </w:r>
      <w:hyperlink r:id="rId84" w:history="1">
        <w:r>
          <w:rPr>
            <w:rStyle w:val="Hyperlink"/>
          </w:rPr>
          <w:t>https://learn.microsoft.</w:t>
        </w:r>
        <w:r>
          <w:rPr>
            <w:rStyle w:val="Hyperlink"/>
          </w:rPr>
          <w:t>com/en-us/azure/ai-services/content-safety/</w:t>
        </w:r>
      </w:hyperlink>
    </w:p>
  </w:footnote>
  <w:footnote w:id="85">
    <w:p w:rsidR="00DC175A" w:rsidRDefault="00CB2AE1">
      <w:r>
        <w:rPr>
          <w:rStyle w:val="FootnoteReference"/>
        </w:rPr>
        <w:footnoteRef/>
      </w:r>
      <w:hyperlink r:id="rId85" w:history="1">
        <w:r>
          <w:rPr>
            <w:rStyle w:val="Hyperlink"/>
          </w:rPr>
          <w:t>https://docs.cloud.google.com/vertex-ai/generative-ai/docs/multimodal/configure-safety-filters</w:t>
        </w:r>
      </w:hyperlink>
    </w:p>
  </w:footnote>
  <w:footnote w:id="86">
    <w:p w:rsidR="00DC175A" w:rsidRDefault="00CB2AE1">
      <w:r>
        <w:rPr>
          <w:rStyle w:val="FootnoteReference"/>
        </w:rPr>
        <w:footnoteRef/>
      </w:r>
      <w:hyperlink r:id="rId86" w:history="1">
        <w:r>
          <w:rPr>
            <w:rStyle w:val="Hyperlink"/>
          </w:rPr>
          <w:t>https://docs.cloud.google.com/vertex-ai/generative-ai/docs/multimodal/gemini-for-filtering-and-moderation</w:t>
        </w:r>
      </w:hyperlink>
    </w:p>
  </w:footnote>
  <w:footnote w:id="87">
    <w:p w:rsidR="00DC175A" w:rsidRDefault="00CB2AE1">
      <w:r>
        <w:rPr>
          <w:rStyle w:val="FootnoteReference"/>
        </w:rPr>
        <w:footnoteRef/>
      </w:r>
      <w:hyperlink r:id="rId87" w:history="1">
        <w:r>
          <w:rPr>
            <w:rStyle w:val="Hyperlink"/>
          </w:rPr>
          <w:t>https://github.com/meta-llama/PurpleLlama/blob/main/Llama-Guard4/12B/MODEL_CARD.md</w:t>
        </w:r>
      </w:hyperlink>
    </w:p>
  </w:footnote>
  <w:footnote w:id="88">
    <w:p w:rsidR="00DC175A" w:rsidRDefault="00CB2AE1">
      <w:r>
        <w:rPr>
          <w:rStyle w:val="FootnoteReference"/>
        </w:rPr>
        <w:footnoteRef/>
      </w:r>
      <w:hyperlink r:id="rId88" w:history="1">
        <w:r>
          <w:rPr>
            <w:rStyle w:val="Hyperlink"/>
          </w:rPr>
          <w:t>https:/</w:t>
        </w:r>
        <w:r>
          <w:rPr>
            <w:rStyle w:val="Hyperlink"/>
          </w:rPr>
          <w:t>/huggingface.co/meta-llama/Llama-Guard-4-12B</w:t>
        </w:r>
      </w:hyperlink>
    </w:p>
  </w:footnote>
  <w:footnote w:id="89">
    <w:p w:rsidR="00DC175A" w:rsidRDefault="00CB2AE1">
      <w:r>
        <w:rPr>
          <w:rStyle w:val="FootnoteReference"/>
        </w:rPr>
        <w:footnoteRef/>
      </w:r>
      <w:hyperlink r:id="rId89" w:history="1">
        <w:r>
          <w:rPr>
            <w:rStyle w:val="Hyperlink"/>
          </w:rPr>
          <w:t>https://c2pa.org/</w:t>
        </w:r>
      </w:hyperlink>
    </w:p>
  </w:footnote>
  <w:footnote w:id="90">
    <w:p w:rsidR="00DC175A" w:rsidRDefault="00CB2AE1">
      <w:r>
        <w:rPr>
          <w:rStyle w:val="FootnoteReference"/>
        </w:rPr>
        <w:footnoteRef/>
      </w:r>
      <w:hyperlink r:id="rId90" w:history="1">
        <w:r>
          <w:rPr>
            <w:rStyle w:val="Hyperlink"/>
          </w:rPr>
          <w:t>https://spec.c2pa.org/specifications/specifications/2.2/index.html</w:t>
        </w:r>
      </w:hyperlink>
    </w:p>
  </w:footnote>
  <w:footnote w:id="91">
    <w:p w:rsidR="00DC175A" w:rsidRDefault="00CB2AE1">
      <w:r>
        <w:rPr>
          <w:rStyle w:val="FootnoteReference"/>
        </w:rPr>
        <w:footnoteRef/>
      </w:r>
      <w:hyperlink r:id="rId91" w:history="1">
        <w:r>
          <w:rPr>
            <w:rStyle w:val="Hyperlink"/>
          </w:rPr>
          <w:t>https://www.iso.org/standard/42001</w:t>
        </w:r>
      </w:hyperlink>
    </w:p>
  </w:footnote>
  <w:footnote w:id="92">
    <w:p w:rsidR="00DC175A" w:rsidRDefault="00CB2AE1">
      <w:r>
        <w:rPr>
          <w:rStyle w:val="FootnoteReference"/>
        </w:rPr>
        <w:footnoteRef/>
      </w:r>
      <w:hyperlink r:id="rId92" w:history="1">
        <w:r>
          <w:rPr>
            <w:rStyle w:val="Hyperlink"/>
          </w:rPr>
          <w:t>https://certification.bureauveritas.com/iso-420012023-</w:t>
        </w:r>
        <w:r>
          <w:rPr>
            <w:rStyle w:val="Hyperlink"/>
          </w:rPr>
          <w:t>artificial-intelligence-management-system-aims</w:t>
        </w:r>
      </w:hyperlink>
    </w:p>
  </w:footnote>
  <w:footnote w:id="93">
    <w:p w:rsidR="00DC175A" w:rsidRDefault="00CB2AE1">
      <w:r>
        <w:rPr>
          <w:rStyle w:val="FootnoteReference"/>
        </w:rPr>
        <w:footnoteRef/>
      </w:r>
      <w:hyperlink r:id="rId93" w:history="1">
        <w:r>
          <w:rPr>
            <w:rStyle w:val="Hyperlink"/>
          </w:rPr>
          <w:t>https://www.scirp.org/reference/referencespapers?referenceid=3862505</w:t>
        </w:r>
      </w:hyperlink>
    </w:p>
  </w:footnote>
  <w:footnote w:id="94">
    <w:p w:rsidR="00DC175A" w:rsidRDefault="00CB2AE1">
      <w:r>
        <w:rPr>
          <w:rStyle w:val="FootnoteReference"/>
        </w:rPr>
        <w:footnoteRef/>
      </w:r>
      <w:hyperlink r:id="rId94" w:history="1">
        <w:r>
          <w:rPr>
            <w:rStyle w:val="Hyperlink"/>
          </w:rPr>
          <w:t>https://www.scilit.com/publications/a512136672deabec8f1ab8916c7b5955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06DA2"/>
    <w:multiLevelType w:val="hybridMultilevel"/>
    <w:tmpl w:val="7DA6D916"/>
    <w:lvl w:ilvl="0" w:tplc="BD061B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425D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8EBA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1E47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B4CAE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E3EF4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985D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32E2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D66C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0FC4E0A"/>
    <w:multiLevelType w:val="hybridMultilevel"/>
    <w:tmpl w:val="53E25800"/>
    <w:lvl w:ilvl="0" w:tplc="93CC76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40D4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D874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19010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2472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F6CD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3E9C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70C4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37ECA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DB14528"/>
    <w:multiLevelType w:val="hybridMultilevel"/>
    <w:tmpl w:val="A88A48DC"/>
    <w:lvl w:ilvl="0" w:tplc="82AEDF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22DF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69867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C28C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ECD0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B9A6A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D6E52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24FF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3C1D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FA1203D"/>
    <w:multiLevelType w:val="hybridMultilevel"/>
    <w:tmpl w:val="F976C34E"/>
    <w:lvl w:ilvl="0" w:tplc="F8A0C9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A624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ECCF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1E24D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1F898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0CFF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CC98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80C1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5C3F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1B967E1"/>
    <w:multiLevelType w:val="hybridMultilevel"/>
    <w:tmpl w:val="F8D0D450"/>
    <w:lvl w:ilvl="0" w:tplc="B35691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63850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B2C0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E6FA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B3483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48C7A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966CF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FA57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C2C55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7C8552B"/>
    <w:multiLevelType w:val="hybridMultilevel"/>
    <w:tmpl w:val="394A4722"/>
    <w:lvl w:ilvl="0" w:tplc="6360CC9A">
      <w:start w:val="1"/>
      <w:numFmt w:val="bullet"/>
      <w:lvlText w:val="●"/>
      <w:lvlJc w:val="left"/>
      <w:pPr>
        <w:ind w:left="720" w:hanging="360"/>
      </w:pPr>
    </w:lvl>
    <w:lvl w:ilvl="1" w:tplc="E3304DB4">
      <w:start w:val="1"/>
      <w:numFmt w:val="bullet"/>
      <w:lvlText w:val="○"/>
      <w:lvlJc w:val="left"/>
      <w:pPr>
        <w:ind w:left="1440" w:hanging="360"/>
      </w:pPr>
    </w:lvl>
    <w:lvl w:ilvl="2" w:tplc="57FE0664">
      <w:start w:val="1"/>
      <w:numFmt w:val="bullet"/>
      <w:lvlText w:val="■"/>
      <w:lvlJc w:val="left"/>
      <w:pPr>
        <w:ind w:left="2160" w:hanging="360"/>
      </w:pPr>
    </w:lvl>
    <w:lvl w:ilvl="3" w:tplc="98521514">
      <w:start w:val="1"/>
      <w:numFmt w:val="bullet"/>
      <w:lvlText w:val="●"/>
      <w:lvlJc w:val="left"/>
      <w:pPr>
        <w:ind w:left="2880" w:hanging="360"/>
      </w:pPr>
    </w:lvl>
    <w:lvl w:ilvl="4" w:tplc="FC6A1B7E">
      <w:start w:val="1"/>
      <w:numFmt w:val="bullet"/>
      <w:lvlText w:val="○"/>
      <w:lvlJc w:val="left"/>
      <w:pPr>
        <w:ind w:left="3600" w:hanging="360"/>
      </w:pPr>
    </w:lvl>
    <w:lvl w:ilvl="5" w:tplc="0AA6E57C">
      <w:start w:val="1"/>
      <w:numFmt w:val="bullet"/>
      <w:lvlText w:val="■"/>
      <w:lvlJc w:val="left"/>
      <w:pPr>
        <w:ind w:left="4320" w:hanging="360"/>
      </w:pPr>
    </w:lvl>
    <w:lvl w:ilvl="6" w:tplc="4A1A5CC4">
      <w:start w:val="1"/>
      <w:numFmt w:val="bullet"/>
      <w:lvlText w:val="●"/>
      <w:lvlJc w:val="left"/>
      <w:pPr>
        <w:ind w:left="5040" w:hanging="360"/>
      </w:pPr>
    </w:lvl>
    <w:lvl w:ilvl="7" w:tplc="4D3E9DF6">
      <w:start w:val="1"/>
      <w:numFmt w:val="bullet"/>
      <w:lvlText w:val="●"/>
      <w:lvlJc w:val="left"/>
      <w:pPr>
        <w:ind w:left="5760" w:hanging="360"/>
      </w:pPr>
    </w:lvl>
    <w:lvl w:ilvl="8" w:tplc="55B2E7EA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2E373760"/>
    <w:multiLevelType w:val="hybridMultilevel"/>
    <w:tmpl w:val="219E2074"/>
    <w:lvl w:ilvl="0" w:tplc="8042F0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E892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220DE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3AAD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02A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90C8C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60FE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4F845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303C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3A632AD"/>
    <w:multiLevelType w:val="hybridMultilevel"/>
    <w:tmpl w:val="B7BE701E"/>
    <w:lvl w:ilvl="0" w:tplc="928A33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90AD9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34A5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923D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56DD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7CF3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D1095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84EB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107D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36145409"/>
    <w:multiLevelType w:val="hybridMultilevel"/>
    <w:tmpl w:val="6BC25BC8"/>
    <w:lvl w:ilvl="0" w:tplc="6C0A29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C663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7078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656D8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B22A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A8B9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40DF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9C0C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D82D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39A5299B"/>
    <w:multiLevelType w:val="hybridMultilevel"/>
    <w:tmpl w:val="A6908C5C"/>
    <w:lvl w:ilvl="0" w:tplc="3DAC7E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5860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F4EF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3C04F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2EE8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E02E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18C6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C8B6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CA23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49586D2A"/>
    <w:multiLevelType w:val="hybridMultilevel"/>
    <w:tmpl w:val="7EF62BE8"/>
    <w:lvl w:ilvl="0" w:tplc="D19A8EEC">
      <w:start w:val="1"/>
      <w:numFmt w:val="decimal"/>
      <w:lvlText w:val="%1."/>
      <w:lvlJc w:val="left"/>
      <w:pPr>
        <w:ind w:left="720" w:hanging="360"/>
      </w:pPr>
    </w:lvl>
    <w:lvl w:ilvl="1" w:tplc="9CCE233A">
      <w:start w:val="1"/>
      <w:numFmt w:val="lowerLetter"/>
      <w:lvlText w:val="%2."/>
      <w:lvlJc w:val="left"/>
      <w:pPr>
        <w:ind w:left="1440" w:hanging="360"/>
      </w:pPr>
    </w:lvl>
    <w:lvl w:ilvl="2" w:tplc="C6CE4BF2">
      <w:start w:val="1"/>
      <w:numFmt w:val="lowerRoman"/>
      <w:lvlText w:val="%3."/>
      <w:lvlJc w:val="right"/>
      <w:pPr>
        <w:ind w:left="2160" w:hanging="180"/>
      </w:pPr>
    </w:lvl>
    <w:lvl w:ilvl="3" w:tplc="EE3C2F56">
      <w:start w:val="1"/>
      <w:numFmt w:val="decimal"/>
      <w:lvlText w:val="%4."/>
      <w:lvlJc w:val="left"/>
      <w:pPr>
        <w:ind w:left="2880" w:hanging="360"/>
      </w:pPr>
    </w:lvl>
    <w:lvl w:ilvl="4" w:tplc="5328BAC0">
      <w:start w:val="1"/>
      <w:numFmt w:val="lowerLetter"/>
      <w:lvlText w:val="%5."/>
      <w:lvlJc w:val="left"/>
      <w:pPr>
        <w:ind w:left="3600" w:hanging="360"/>
      </w:pPr>
    </w:lvl>
    <w:lvl w:ilvl="5" w:tplc="1272E99E">
      <w:start w:val="1"/>
      <w:numFmt w:val="lowerRoman"/>
      <w:lvlText w:val="%6."/>
      <w:lvlJc w:val="right"/>
      <w:pPr>
        <w:ind w:left="4320" w:hanging="180"/>
      </w:pPr>
    </w:lvl>
    <w:lvl w:ilvl="6" w:tplc="ED9C344A">
      <w:start w:val="1"/>
      <w:numFmt w:val="decimal"/>
      <w:lvlText w:val="%7."/>
      <w:lvlJc w:val="left"/>
      <w:pPr>
        <w:ind w:left="5040" w:hanging="360"/>
      </w:pPr>
    </w:lvl>
    <w:lvl w:ilvl="7" w:tplc="480EB19C">
      <w:start w:val="1"/>
      <w:numFmt w:val="lowerLetter"/>
      <w:lvlText w:val="%8."/>
      <w:lvlJc w:val="left"/>
      <w:pPr>
        <w:ind w:left="5760" w:hanging="360"/>
      </w:pPr>
    </w:lvl>
    <w:lvl w:ilvl="8" w:tplc="2B748E1C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DE1567"/>
    <w:multiLevelType w:val="hybridMultilevel"/>
    <w:tmpl w:val="88F0E5BA"/>
    <w:lvl w:ilvl="0" w:tplc="C7CC98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908B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44CAC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72AF4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B1C32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C8CF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105F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B2DB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E8AD0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6D0B18FC"/>
    <w:multiLevelType w:val="hybridMultilevel"/>
    <w:tmpl w:val="3F2C0548"/>
    <w:lvl w:ilvl="0" w:tplc="E0DE67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EEEB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643D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BA3B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B2A9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92F1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BA6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0E9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14C0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717855A6"/>
    <w:multiLevelType w:val="hybridMultilevel"/>
    <w:tmpl w:val="0FB86740"/>
    <w:lvl w:ilvl="0" w:tplc="70422C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9AA33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FE0D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4066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EA43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FB0C2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0387C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D472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EC7A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7AFB5465"/>
    <w:multiLevelType w:val="hybridMultilevel"/>
    <w:tmpl w:val="F304A32C"/>
    <w:lvl w:ilvl="0" w:tplc="6FC093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E251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325E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D20DC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947A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2AEE6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2AD4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DACF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E84E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7C314236"/>
    <w:multiLevelType w:val="hybridMultilevel"/>
    <w:tmpl w:val="A3FA6042"/>
    <w:lvl w:ilvl="0" w:tplc="3FA049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912AE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D0C04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E64F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AAEA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CF4D2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423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9EFF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8E21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5"/>
    <w:lvlOverride w:ilvl="0">
      <w:startOverride w:val="1"/>
    </w:lvlOverride>
  </w:num>
  <w:num w:numId="2">
    <w:abstractNumId w:val="10"/>
  </w:num>
  <w:num w:numId="3">
    <w:abstractNumId w:val="4"/>
  </w:num>
  <w:num w:numId="4">
    <w:abstractNumId w:val="14"/>
  </w:num>
  <w:num w:numId="5">
    <w:abstractNumId w:val="8"/>
  </w:num>
  <w:num w:numId="6">
    <w:abstractNumId w:val="6"/>
  </w:num>
  <w:num w:numId="7">
    <w:abstractNumId w:val="13"/>
  </w:num>
  <w:num w:numId="8">
    <w:abstractNumId w:val="0"/>
  </w:num>
  <w:num w:numId="9">
    <w:abstractNumId w:val="7"/>
  </w:num>
  <w:num w:numId="10">
    <w:abstractNumId w:val="15"/>
  </w:num>
  <w:num w:numId="11">
    <w:abstractNumId w:val="3"/>
  </w:num>
  <w:num w:numId="12">
    <w:abstractNumId w:val="2"/>
  </w:num>
  <w:num w:numId="13">
    <w:abstractNumId w:val="9"/>
  </w:num>
  <w:num w:numId="14">
    <w:abstractNumId w:val="1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75A"/>
    <w:rsid w:val="00CB2AE1"/>
    <w:rsid w:val="00D122C7"/>
    <w:rsid w:val="00D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D147B6-938A-438F-8598-0EF19282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zure/ai-services/content-safety/overview" TargetMode="External"/><Relationship Id="rId18" Type="http://schemas.openxmlformats.org/officeDocument/2006/relationships/hyperlink" Target="https://docs.nvidia.com/nemo-guardrails/index.html" TargetMode="External"/><Relationship Id="rId26" Type="http://schemas.openxmlformats.org/officeDocument/2006/relationships/hyperlink" Target="https://github.com/meta-llama/PurpleLlama/blob/main/Llama-Guard4/12B/MODEL_CARD.md" TargetMode="External"/><Relationship Id="rId39" Type="http://schemas.openxmlformats.org/officeDocument/2006/relationships/hyperlink" Target="https://spec.c2pa.org/specifications/specifications/2.2/index.html" TargetMode="External"/><Relationship Id="rId21" Type="http://schemas.openxmlformats.org/officeDocument/2006/relationships/hyperlink" Target="https://learn.microsoft.com/en-us/azure/ai-services/content-safety/overview" TargetMode="External"/><Relationship Id="rId34" Type="http://schemas.openxmlformats.org/officeDocument/2006/relationships/hyperlink" Target="https://arxiv.org/abs/1803.09010" TargetMode="External"/><Relationship Id="rId42" Type="http://schemas.openxmlformats.org/officeDocument/2006/relationships/hyperlink" Target="https://www.anthropic.com/responsible-scaling-policy" TargetMode="External"/><Relationship Id="rId47" Type="http://schemas.openxmlformats.org/officeDocument/2006/relationships/hyperlink" Target="https://github.com/openai/evals" TargetMode="External"/><Relationship Id="rId50" Type="http://schemas.openxmlformats.org/officeDocument/2006/relationships/hyperlink" Target="https://docs.cloud.google.com/vertex-ai/generative-ai/docs/multimodal/configure-safety-filters" TargetMode="External"/><Relationship Id="rId55" Type="http://schemas.openxmlformats.org/officeDocument/2006/relationships/hyperlink" Target="https://owasp.org/www-project-top-10-for-large-language-model-applications/" TargetMode="External"/><Relationship Id="rId63" Type="http://schemas.openxmlformats.org/officeDocument/2006/relationships/hyperlink" Target="https://www.anthropic.com/responsible-scaling-policy" TargetMode="External"/><Relationship Id="rId68" Type="http://schemas.openxmlformats.org/officeDocument/2006/relationships/hyperlink" Target="https://proceedings.neurips.cc/paper/2017/hash/8a20a8621978632d76c43dfd28b67767-Abstract.html" TargetMode="External"/><Relationship Id="rId76" Type="http://schemas.openxmlformats.org/officeDocument/2006/relationships/hyperlink" Target="https://arxiv.org/abs/1705.07874" TargetMode="External"/><Relationship Id="rId84" Type="http://schemas.openxmlformats.org/officeDocument/2006/relationships/hyperlink" Target="https://learn.microsoft.com/en-us/azure/ai-services/content-safety/" TargetMode="External"/><Relationship Id="rId89" Type="http://schemas.openxmlformats.org/officeDocument/2006/relationships/hyperlink" Target="https://c2pa.org/" TargetMode="External"/><Relationship Id="rId7" Type="http://schemas.openxmlformats.org/officeDocument/2006/relationships/hyperlink" Target="https://proceedings.neurips.cc/paper/2017/hash/8a20a8621978632d76c43dfd28b67767-Abstract.html" TargetMode="External"/><Relationship Id="rId71" Type="http://schemas.openxmlformats.org/officeDocument/2006/relationships/hyperlink" Target="https://docs.cloud.google.com/vertex-ai/generative-ai/docs/learn/safety-overview" TargetMode="External"/><Relationship Id="rId92" Type="http://schemas.openxmlformats.org/officeDocument/2006/relationships/hyperlink" Target="https://certification.bureauveritas.com/iso-420012023-artificial-intelligence-management-system-aims" TargetMode="External"/><Relationship Id="rId2" Type="http://schemas.openxmlformats.org/officeDocument/2006/relationships/hyperlink" Target="https://proceedings.neurips.cc/paper/2017/hash/8a20a8621978632d76c43dfd28b67767-Abstract.html" TargetMode="External"/><Relationship Id="rId16" Type="http://schemas.openxmlformats.org/officeDocument/2006/relationships/hyperlink" Target="https://c2pa.org/" TargetMode="External"/><Relationship Id="rId29" Type="http://schemas.openxmlformats.org/officeDocument/2006/relationships/hyperlink" Target="https://github.com/openai/evals" TargetMode="External"/><Relationship Id="rId11" Type="http://schemas.openxmlformats.org/officeDocument/2006/relationships/hyperlink" Target="https://owasp.org/www-project-top-10-for-large-language-model-applications/" TargetMode="External"/><Relationship Id="rId24" Type="http://schemas.openxmlformats.org/officeDocument/2006/relationships/hyperlink" Target="https://docs.cloud.google.com/vertex-ai/generative-ai/docs/multimodal/configure-safety-filters" TargetMode="External"/><Relationship Id="rId32" Type="http://schemas.openxmlformats.org/officeDocument/2006/relationships/hyperlink" Target="https://www.scirp.org/reference/referencespapers?referenceid=3862505" TargetMode="External"/><Relationship Id="rId37" Type="http://schemas.openxmlformats.org/officeDocument/2006/relationships/hyperlink" Target="https://arxiv.org/abs/1602.04938" TargetMode="External"/><Relationship Id="rId40" Type="http://schemas.openxmlformats.org/officeDocument/2006/relationships/hyperlink" Target="https://www.iso.org/standard/42001" TargetMode="External"/><Relationship Id="rId45" Type="http://schemas.openxmlformats.org/officeDocument/2006/relationships/hyperlink" Target="https://www.tensorflow.org/responsible_ai/model_card_toolkit/guide" TargetMode="External"/><Relationship Id="rId53" Type="http://schemas.openxmlformats.org/officeDocument/2006/relationships/hyperlink" Target="https://www.scirp.org/reference/referencespapers?referenceid=3862505" TargetMode="External"/><Relationship Id="rId58" Type="http://schemas.openxmlformats.org/officeDocument/2006/relationships/hyperlink" Target="https://docs.cloud.google.com/vertex-ai/generative-ai/docs/multimodal/configure-safety-filters" TargetMode="External"/><Relationship Id="rId66" Type="http://schemas.openxmlformats.org/officeDocument/2006/relationships/hyperlink" Target="https://github.com/openai/evals" TargetMode="External"/><Relationship Id="rId74" Type="http://schemas.openxmlformats.org/officeDocument/2006/relationships/hyperlink" Target="https://www.scirp.org/reference/referencespapers?referenceid=3862505" TargetMode="External"/><Relationship Id="rId79" Type="http://schemas.openxmlformats.org/officeDocument/2006/relationships/hyperlink" Target="https://github.com/openai/evals" TargetMode="External"/><Relationship Id="rId87" Type="http://schemas.openxmlformats.org/officeDocument/2006/relationships/hyperlink" Target="https://github.com/meta-llama/PurpleLlama/blob/main/Llama-Guard4/12B/MODEL_CARD.md" TargetMode="External"/><Relationship Id="rId5" Type="http://schemas.openxmlformats.org/officeDocument/2006/relationships/hyperlink" Target="https://owasp.org/www-project-top-10-for-large-language-model-applications/" TargetMode="External"/><Relationship Id="rId61" Type="http://schemas.openxmlformats.org/officeDocument/2006/relationships/hyperlink" Target="https://github.com/openai/evals" TargetMode="External"/><Relationship Id="rId82" Type="http://schemas.openxmlformats.org/officeDocument/2006/relationships/hyperlink" Target="https://catalog.ngc.nvidia.com/orgs/nvidia/teams/nemo-microservices/containers/guardrails?version=25.09" TargetMode="External"/><Relationship Id="rId90" Type="http://schemas.openxmlformats.org/officeDocument/2006/relationships/hyperlink" Target="https://spec.c2pa.org/specifications/specifications/2.2/index.html" TargetMode="External"/><Relationship Id="rId19" Type="http://schemas.openxmlformats.org/officeDocument/2006/relationships/hyperlink" Target="https://docs.nvidia.com/nemo/guardrails/latest/user-guides/configuration-guide/guardrails-configuration.html" TargetMode="External"/><Relationship Id="rId14" Type="http://schemas.openxmlformats.org/officeDocument/2006/relationships/hyperlink" Target="https://docs.cloud.google.com/vertex-ai/generative-ai/docs/learn/safety-overview" TargetMode="External"/><Relationship Id="rId22" Type="http://schemas.openxmlformats.org/officeDocument/2006/relationships/hyperlink" Target="https://learn.microsoft.com/en-us/azure/ai-services/content-safety/" TargetMode="External"/><Relationship Id="rId27" Type="http://schemas.openxmlformats.org/officeDocument/2006/relationships/hyperlink" Target="https://huggingface.co/meta-llama/Llama-Guard-4-12B" TargetMode="External"/><Relationship Id="rId30" Type="http://schemas.openxmlformats.org/officeDocument/2006/relationships/hyperlink" Target="https://evals.openai.com/" TargetMode="External"/><Relationship Id="rId35" Type="http://schemas.openxmlformats.org/officeDocument/2006/relationships/hyperlink" Target="https://www.tensorflow.org/responsible_ai/model_card_toolkit/guide" TargetMode="External"/><Relationship Id="rId43" Type="http://schemas.openxmlformats.org/officeDocument/2006/relationships/hyperlink" Target="https://proceedings.neurips.cc/paper/2017/hash/8a20a8621978632d76c43dfd28b67767-Abstract.html" TargetMode="External"/><Relationship Id="rId48" Type="http://schemas.openxmlformats.org/officeDocument/2006/relationships/hyperlink" Target="https://docs.nvidia.com/nemo-guardrails/index.html" TargetMode="External"/><Relationship Id="rId56" Type="http://schemas.openxmlformats.org/officeDocument/2006/relationships/hyperlink" Target="https://docs.nvidia.com/nemo-guardrails/index.html" TargetMode="External"/><Relationship Id="rId64" Type="http://schemas.openxmlformats.org/officeDocument/2006/relationships/hyperlink" Target="https://learn.microsoft.com/en-us/azure/ai-services/content-safety/overview" TargetMode="External"/><Relationship Id="rId69" Type="http://schemas.openxmlformats.org/officeDocument/2006/relationships/hyperlink" Target="https://owasp.org/www-project-top-10-for-large-language-model-applications/" TargetMode="External"/><Relationship Id="rId77" Type="http://schemas.openxmlformats.org/officeDocument/2006/relationships/hyperlink" Target="https://proceedings.neurips.cc/paper/2017/hash/8a20a8621978632d76c43dfd28b67767-Abstract.html" TargetMode="External"/><Relationship Id="rId8" Type="http://schemas.openxmlformats.org/officeDocument/2006/relationships/hyperlink" Target="https://www.scirp.org/reference/referencespapers?referenceid=3862505" TargetMode="External"/><Relationship Id="rId51" Type="http://schemas.openxmlformats.org/officeDocument/2006/relationships/hyperlink" Target="https://c2pa.org/" TargetMode="External"/><Relationship Id="rId72" Type="http://schemas.openxmlformats.org/officeDocument/2006/relationships/hyperlink" Target="https://c2pa.org/" TargetMode="External"/><Relationship Id="rId80" Type="http://schemas.openxmlformats.org/officeDocument/2006/relationships/hyperlink" Target="https://evals.openai.com/" TargetMode="External"/><Relationship Id="rId85" Type="http://schemas.openxmlformats.org/officeDocument/2006/relationships/hyperlink" Target="https://docs.cloud.google.com/vertex-ai/generative-ai/docs/multimodal/configure-safety-filters" TargetMode="External"/><Relationship Id="rId93" Type="http://schemas.openxmlformats.org/officeDocument/2006/relationships/hyperlink" Target="https://www.scirp.org/reference/referencespapers?referenceid=3862505" TargetMode="External"/><Relationship Id="rId3" Type="http://schemas.openxmlformats.org/officeDocument/2006/relationships/hyperlink" Target="https://owasp.org/www-project-top-10-for-large-language-model-applications/" TargetMode="External"/><Relationship Id="rId12" Type="http://schemas.openxmlformats.org/officeDocument/2006/relationships/hyperlink" Target="https://github.com/meta-llama/PurpleLlama/blob/main/Llama-Guard4/12B/MODEL_CARD.md" TargetMode="External"/><Relationship Id="rId17" Type="http://schemas.openxmlformats.org/officeDocument/2006/relationships/hyperlink" Target="https://www.anthropic.com/responsible-scaling-policy" TargetMode="External"/><Relationship Id="rId25" Type="http://schemas.openxmlformats.org/officeDocument/2006/relationships/hyperlink" Target="https://docs.cloud.google.com/vertex-ai/generative-ai/docs/multimodal/gemini-for-filtering-and-moderation" TargetMode="External"/><Relationship Id="rId33" Type="http://schemas.openxmlformats.org/officeDocument/2006/relationships/hyperlink" Target="https://www.scilit.com/publications/a512136672deabec8f1ab8916c7b5955" TargetMode="External"/><Relationship Id="rId38" Type="http://schemas.openxmlformats.org/officeDocument/2006/relationships/hyperlink" Target="https://c2pa.org/" TargetMode="External"/><Relationship Id="rId46" Type="http://schemas.openxmlformats.org/officeDocument/2006/relationships/hyperlink" Target="https://owasp.org/www-project-top-10-for-large-language-model-applications/" TargetMode="External"/><Relationship Id="rId59" Type="http://schemas.openxmlformats.org/officeDocument/2006/relationships/hyperlink" Target="https://github.com/meta-llama/PurpleLlama/blob/main/Llama-Guard4/12B/MODEL_CARD.md" TargetMode="External"/><Relationship Id="rId67" Type="http://schemas.openxmlformats.org/officeDocument/2006/relationships/hyperlink" Target="https://www.tensorflow.org/responsible_ai/model_card_toolkit/guide" TargetMode="External"/><Relationship Id="rId20" Type="http://schemas.openxmlformats.org/officeDocument/2006/relationships/hyperlink" Target="https://catalog.ngc.nvidia.com/orgs/nvidia/teams/nemo-microservices/containers/guardrails?version=25.09" TargetMode="External"/><Relationship Id="rId41" Type="http://schemas.openxmlformats.org/officeDocument/2006/relationships/hyperlink" Target="https://certification.bureauveritas.com/iso-420012023-artificial-intelligence-management-system-aims" TargetMode="External"/><Relationship Id="rId54" Type="http://schemas.openxmlformats.org/officeDocument/2006/relationships/hyperlink" Target="https://www.scilit.com/publications/a512136672deabec8f1ab8916c7b5955" TargetMode="External"/><Relationship Id="rId62" Type="http://schemas.openxmlformats.org/officeDocument/2006/relationships/hyperlink" Target="https://www.iso.org/standard/42001" TargetMode="External"/><Relationship Id="rId70" Type="http://schemas.openxmlformats.org/officeDocument/2006/relationships/hyperlink" Target="https://learn.microsoft.com/en-us/azure/ai-services/content-safety/overview" TargetMode="External"/><Relationship Id="rId75" Type="http://schemas.openxmlformats.org/officeDocument/2006/relationships/hyperlink" Target="https://www.scilit.com/publications/a512136672deabec8f1ab8916c7b5955" TargetMode="External"/><Relationship Id="rId83" Type="http://schemas.openxmlformats.org/officeDocument/2006/relationships/hyperlink" Target="https://learn.microsoft.com/en-us/azure/ai-services/content-safety/overview" TargetMode="External"/><Relationship Id="rId88" Type="http://schemas.openxmlformats.org/officeDocument/2006/relationships/hyperlink" Target="https://huggingface.co/meta-llama/Llama-Guard-4-12B" TargetMode="External"/><Relationship Id="rId91" Type="http://schemas.openxmlformats.org/officeDocument/2006/relationships/hyperlink" Target="https://www.iso.org/standard/42001" TargetMode="External"/><Relationship Id="rId1" Type="http://schemas.openxmlformats.org/officeDocument/2006/relationships/hyperlink" Target="https://arxiv.org/abs/1705.07874" TargetMode="External"/><Relationship Id="rId6" Type="http://schemas.openxmlformats.org/officeDocument/2006/relationships/hyperlink" Target="https://arxiv.org/abs/1705.07874" TargetMode="External"/><Relationship Id="rId15" Type="http://schemas.openxmlformats.org/officeDocument/2006/relationships/hyperlink" Target="https://scottlundberg.com/publication/shap_nips/" TargetMode="External"/><Relationship Id="rId23" Type="http://schemas.openxmlformats.org/officeDocument/2006/relationships/hyperlink" Target="https://learn.microsoft.com/en-us/azure/ai-services/content-safety/whats-new" TargetMode="External"/><Relationship Id="rId28" Type="http://schemas.openxmlformats.org/officeDocument/2006/relationships/hyperlink" Target="https://owasp.org/www-project-top-10-for-large-language-model-applications/" TargetMode="External"/><Relationship Id="rId36" Type="http://schemas.openxmlformats.org/officeDocument/2006/relationships/hyperlink" Target="https://arxiv.org/abs/1705.07874" TargetMode="External"/><Relationship Id="rId49" Type="http://schemas.openxmlformats.org/officeDocument/2006/relationships/hyperlink" Target="https://learn.microsoft.com/en-us/azure/ai-services/content-safety/overview" TargetMode="External"/><Relationship Id="rId57" Type="http://schemas.openxmlformats.org/officeDocument/2006/relationships/hyperlink" Target="https://learn.microsoft.com/en-us/azure/ai-services/content-safety/overview" TargetMode="External"/><Relationship Id="rId10" Type="http://schemas.openxmlformats.org/officeDocument/2006/relationships/hyperlink" Target="https://owasp.org/www-project-top-10-for-large-language-model-applications/" TargetMode="External"/><Relationship Id="rId31" Type="http://schemas.openxmlformats.org/officeDocument/2006/relationships/hyperlink" Target="https://proceedings.neurips.cc/paper/2017/hash/8a20a8621978632d76c43dfd28b67767-Abstract.html" TargetMode="External"/><Relationship Id="rId44" Type="http://schemas.openxmlformats.org/officeDocument/2006/relationships/hyperlink" Target="https://www.iso.org/standard/42001" TargetMode="External"/><Relationship Id="rId52" Type="http://schemas.openxmlformats.org/officeDocument/2006/relationships/hyperlink" Target="https://www.tensorflow.org/responsible_ai/model_card_toolkit/guide" TargetMode="External"/><Relationship Id="rId60" Type="http://schemas.openxmlformats.org/officeDocument/2006/relationships/hyperlink" Target="https://docs.nvidia.com/nemo/guardrails/latest/user-guides/configuration-guide/guardrails-configuration.html" TargetMode="External"/><Relationship Id="rId65" Type="http://schemas.openxmlformats.org/officeDocument/2006/relationships/hyperlink" Target="https://docs.nvidia.com/nemo/guardrails/latest/user-guides/configuration-guide/guardrails-configuration.html" TargetMode="External"/><Relationship Id="rId73" Type="http://schemas.openxmlformats.org/officeDocument/2006/relationships/hyperlink" Target="https://github.com/meta-llama/PurpleLlama/blob/main/Llama-Guard4/12B/MODEL_CARD.md" TargetMode="External"/><Relationship Id="rId78" Type="http://schemas.openxmlformats.org/officeDocument/2006/relationships/hyperlink" Target="https://owasp.org/www-project-top-10-for-large-language-model-applications/" TargetMode="External"/><Relationship Id="rId81" Type="http://schemas.openxmlformats.org/officeDocument/2006/relationships/hyperlink" Target="https://docs.nvidia.com/nemo-guardrails/index.html" TargetMode="External"/><Relationship Id="rId86" Type="http://schemas.openxmlformats.org/officeDocument/2006/relationships/hyperlink" Target="https://docs.cloud.google.com/vertex-ai/generative-ai/docs/multimodal/gemini-for-filtering-and-moderation" TargetMode="External"/><Relationship Id="rId94" Type="http://schemas.openxmlformats.org/officeDocument/2006/relationships/hyperlink" Target="https://www.scilit.com/publications/a512136672deabec8f1ab8916c7b5955" TargetMode="External"/><Relationship Id="rId4" Type="http://schemas.openxmlformats.org/officeDocument/2006/relationships/hyperlink" Target="https://proceedings.neurips.cc/paper/2017/hash/8a20a8621978632d76c43dfd28b67767-Abstract.html" TargetMode="External"/><Relationship Id="rId9" Type="http://schemas.openxmlformats.org/officeDocument/2006/relationships/hyperlink" Target="https://proceedings.neurips.cc/paper/2017/hash/8a20a8621978632d76c43dfd28b67767-Abstra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1676</Words>
  <Characters>9558</Characters>
  <Application>Microsoft Office Word</Application>
  <DocSecurity>0</DocSecurity>
  <Lines>79</Lines>
  <Paragraphs>22</Paragraphs>
  <ScaleCrop>false</ScaleCrop>
  <Company/>
  <LinksUpToDate>false</LinksUpToDate>
  <CharactersWithSpaces>11212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2026-02-03T11:09:00Z</dcterms:created>
  <dcterms:modified xsi:type="dcterms:W3CDTF">2026-02-03T11:14:00Z</dcterms:modified>
</cp:coreProperties>
</file>