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4CF" w:rsidRDefault="00AB79FD">
      <w:r>
        <w:t>Below is a concise-but-comprehensive set of study notes you can use to learn (and teach) Microsoft Purview—what it is, when to use it, how its pieces fit together, and how the architecture works end‑to‑end.</w:t>
      </w:r>
    </w:p>
    <w:p w:rsidR="006014CF" w:rsidRDefault="006014CF">
      <w:pPr>
        <w:pBdr>
          <w:top w:val="single" w:sz="12" w:space="0" w:color="auto"/>
        </w:pBdr>
        <w:spacing w:after="0"/>
      </w:pPr>
    </w:p>
    <w:p w:rsidR="006014CF" w:rsidRDefault="00AB79FD">
      <w:pPr>
        <w:pStyle w:val="Heading2"/>
      </w:pPr>
      <w:r>
        <w:t>1) What is Microsoft Purview?</w:t>
      </w:r>
    </w:p>
    <w:p w:rsidR="006014CF" w:rsidRDefault="00AB79FD">
      <w:r>
        <w:rPr>
          <w:b/>
          <w:bCs/>
        </w:rPr>
        <w:t>Microsoft Purview</w:t>
      </w:r>
      <w:r>
        <w:t xml:space="preserve"> is Microsoft’s unified platform for </w:t>
      </w:r>
      <w:r>
        <w:rPr>
          <w:b/>
          <w:bCs/>
        </w:rPr>
        <w:t>data governance, data security, and data compliance</w:t>
      </w:r>
      <w:r>
        <w:t xml:space="preserve"> across your entire data estate—Microsoft 365, Azure, on‑premises, </w:t>
      </w:r>
      <w:proofErr w:type="spellStart"/>
      <w:r>
        <w:t>multicloud</w:t>
      </w:r>
      <w:proofErr w:type="spellEnd"/>
      <w:r>
        <w:t xml:space="preserve">, and </w:t>
      </w:r>
      <w:proofErr w:type="spellStart"/>
      <w:r>
        <w:t>SaaS</w:t>
      </w:r>
      <w:proofErr w:type="spellEnd"/>
      <w:r>
        <w:t xml:space="preserve">—delivered through a single portal and experience. </w:t>
      </w:r>
      <w:r>
        <w:rPr>
          <w:rStyle w:val="FootnoteReference"/>
        </w:rPr>
        <w:footnoteReference w:id="1"/>
      </w:r>
      <w:r>
        <w:t xml:space="preserve"> </w:t>
      </w:r>
      <w:r>
        <w:rPr>
          <w:rStyle w:val="FootnoteReference"/>
        </w:rPr>
        <w:footnoteReference w:id="2"/>
      </w:r>
      <w:r>
        <w:br/>
        <w:t xml:space="preserve">The </w:t>
      </w:r>
      <w:r>
        <w:rPr>
          <w:b/>
          <w:bCs/>
        </w:rPr>
        <w:t>Microsoft Purview port</w:t>
      </w:r>
      <w:r>
        <w:rPr>
          <w:b/>
          <w:bCs/>
        </w:rPr>
        <w:t>al</w:t>
      </w:r>
      <w:r>
        <w:t xml:space="preserve"> (purview.microsoft.com) provides one place to reach governance (Data Map &amp; Unified Catalog), information protection, DLP, eDiscovery, insider risk, and related settings, consolidating experiences that used to live in separate “compliance” and “governanc</w:t>
      </w:r>
      <w:r>
        <w:t xml:space="preserve">e” portals. </w:t>
      </w:r>
      <w:r>
        <w:rPr>
          <w:rStyle w:val="FootnoteReference"/>
        </w:rPr>
        <w:footnoteReference w:id="3"/>
      </w:r>
      <w:r>
        <w:br/>
        <w:t xml:space="preserve">Purview is the successor to </w:t>
      </w:r>
      <w:r>
        <w:rPr>
          <w:b/>
          <w:bCs/>
        </w:rPr>
        <w:t>Azure Purview</w:t>
      </w:r>
      <w:r>
        <w:t xml:space="preserve"> and the Microsoft 365 </w:t>
      </w:r>
      <w:r>
        <w:rPr>
          <w:b/>
          <w:bCs/>
        </w:rPr>
        <w:t>Compliance</w:t>
      </w:r>
      <w:r>
        <w:t xml:space="preserve"> portfolio, unified under the Purview brand in April 2022. </w:t>
      </w:r>
      <w:r>
        <w:rPr>
          <w:rStyle w:val="FootnoteReference"/>
        </w:rPr>
        <w:footnoteReference w:id="4"/>
      </w:r>
      <w:r>
        <w:t xml:space="preserve"> </w:t>
      </w:r>
      <w:r>
        <w:rPr>
          <w:rStyle w:val="FootnoteReference"/>
        </w:rPr>
        <w:footnoteReference w:id="5"/>
      </w:r>
    </w:p>
    <w:p w:rsidR="006014CF" w:rsidRDefault="00AB79FD">
      <w:r>
        <w:rPr>
          <w:b/>
          <w:bCs/>
        </w:rPr>
        <w:t>Core value propositions (at a glance)</w:t>
      </w:r>
    </w:p>
    <w:p w:rsidR="006014CF" w:rsidRDefault="00AB79FD">
      <w:pPr>
        <w:pStyle w:val="ListParagraph"/>
        <w:numPr>
          <w:ilvl w:val="0"/>
          <w:numId w:val="2"/>
        </w:numPr>
      </w:pPr>
      <w:r>
        <w:rPr>
          <w:b/>
          <w:bCs/>
        </w:rPr>
        <w:t>Visibility &amp; governance:</w:t>
      </w:r>
      <w:r>
        <w:t xml:space="preserve"> Scan sources, build a searchable catalog, </w:t>
      </w:r>
      <w:r>
        <w:t xml:space="preserve">and track lineage. </w:t>
      </w:r>
      <w:r>
        <w:rPr>
          <w:rStyle w:val="FootnoteReference"/>
        </w:rPr>
        <w:footnoteReference w:id="6"/>
      </w:r>
    </w:p>
    <w:p w:rsidR="006014CF" w:rsidRDefault="00AB79FD">
      <w:pPr>
        <w:pStyle w:val="ListParagraph"/>
        <w:numPr>
          <w:ilvl w:val="0"/>
          <w:numId w:val="2"/>
        </w:numPr>
      </w:pPr>
      <w:r>
        <w:rPr>
          <w:b/>
          <w:bCs/>
        </w:rPr>
        <w:t>Protect sensitive data:</w:t>
      </w:r>
      <w:r>
        <w:t xml:space="preserve"> Classify, label, encrypt, and apply DLP across clouds, apps, and devices. </w:t>
      </w:r>
      <w:r>
        <w:rPr>
          <w:rStyle w:val="FootnoteReference"/>
        </w:rPr>
        <w:footnoteReference w:id="7"/>
      </w:r>
      <w:r>
        <w:t xml:space="preserve"> </w:t>
      </w:r>
      <w:r>
        <w:rPr>
          <w:rStyle w:val="FootnoteReference"/>
        </w:rPr>
        <w:footnoteReference w:id="8"/>
      </w:r>
    </w:p>
    <w:p w:rsidR="006014CF" w:rsidRDefault="00AB79FD">
      <w:pPr>
        <w:pStyle w:val="ListParagraph"/>
        <w:numPr>
          <w:ilvl w:val="0"/>
          <w:numId w:val="2"/>
        </w:numPr>
      </w:pPr>
      <w:r>
        <w:rPr>
          <w:b/>
          <w:bCs/>
        </w:rPr>
        <w:lastRenderedPageBreak/>
        <w:t>Manage risk &amp; compliance:</w:t>
      </w:r>
      <w:r>
        <w:t xml:space="preserve"> Lifecycle/records management, audit, eDiscovery, and insider risk. </w:t>
      </w:r>
      <w:r>
        <w:rPr>
          <w:rStyle w:val="FootnoteReference"/>
        </w:rPr>
        <w:footnoteReference w:id="9"/>
      </w:r>
      <w:r>
        <w:t xml:space="preserve"> </w:t>
      </w:r>
      <w:r>
        <w:rPr>
          <w:rStyle w:val="FootnoteReference"/>
        </w:rPr>
        <w:footnoteReference w:id="10"/>
      </w:r>
      <w:r>
        <w:t xml:space="preserve"> </w:t>
      </w:r>
      <w:r>
        <w:rPr>
          <w:rStyle w:val="FootnoteReference"/>
        </w:rPr>
        <w:footnoteReference w:id="11"/>
      </w:r>
    </w:p>
    <w:p w:rsidR="006014CF" w:rsidRDefault="00AB79FD">
      <w:pPr>
        <w:pStyle w:val="ListParagraph"/>
        <w:numPr>
          <w:ilvl w:val="0"/>
          <w:numId w:val="2"/>
        </w:numPr>
      </w:pPr>
      <w:r>
        <w:rPr>
          <w:b/>
          <w:bCs/>
        </w:rPr>
        <w:t>AI‑era readiness:</w:t>
      </w:r>
      <w:r>
        <w:t xml:space="preserve"> Controls to redu</w:t>
      </w:r>
      <w:r>
        <w:t xml:space="preserve">ce sensitive data leakage in generative AI and Copilot scenarios. </w:t>
      </w:r>
      <w:r>
        <w:rPr>
          <w:rStyle w:val="FootnoteReference"/>
        </w:rPr>
        <w:footnoteReference w:id="12"/>
      </w:r>
    </w:p>
    <w:p w:rsidR="006014CF" w:rsidRDefault="006014CF">
      <w:pPr>
        <w:pBdr>
          <w:top w:val="single" w:sz="12" w:space="0" w:color="auto"/>
        </w:pBdr>
        <w:spacing w:after="0"/>
      </w:pPr>
    </w:p>
    <w:p w:rsidR="006014CF" w:rsidRDefault="00AB79FD">
      <w:pPr>
        <w:pStyle w:val="Heading2"/>
      </w:pPr>
      <w:r>
        <w:t>2) When to use Purview (common use cases)</w:t>
      </w:r>
    </w:p>
    <w:p w:rsidR="006014CF" w:rsidRDefault="00AB79FD">
      <w:pPr>
        <w:pStyle w:val="ListParagraph"/>
        <w:numPr>
          <w:ilvl w:val="0"/>
          <w:numId w:val="3"/>
        </w:numPr>
      </w:pPr>
      <w:r>
        <w:rPr>
          <w:b/>
          <w:bCs/>
        </w:rPr>
        <w:t>Catalog and discover data</w:t>
      </w:r>
      <w:r>
        <w:t xml:space="preserve"> across Azure, Microsoft 365, on‑premises, and </w:t>
      </w:r>
      <w:proofErr w:type="spellStart"/>
      <w:r>
        <w:t>multicloud</w:t>
      </w:r>
      <w:proofErr w:type="spellEnd"/>
      <w:r>
        <w:t xml:space="preserve">: scan sources into </w:t>
      </w:r>
      <w:r>
        <w:rPr>
          <w:b/>
          <w:bCs/>
        </w:rPr>
        <w:t>Data Map</w:t>
      </w:r>
      <w:r>
        <w:t xml:space="preserve"> and publish to the </w:t>
      </w:r>
      <w:r>
        <w:rPr>
          <w:b/>
          <w:bCs/>
        </w:rPr>
        <w:t>Unified Catalog</w:t>
      </w:r>
      <w:r>
        <w:t xml:space="preserve"> for search, </w:t>
      </w:r>
      <w:proofErr w:type="spellStart"/>
      <w:r>
        <w:t>curation</w:t>
      </w:r>
      <w:proofErr w:type="spellEnd"/>
      <w:r>
        <w:t xml:space="preserve">, access requests, and quality insights. </w:t>
      </w:r>
      <w:r>
        <w:rPr>
          <w:rStyle w:val="FootnoteReference"/>
        </w:rPr>
        <w:footnoteReference w:id="13"/>
      </w:r>
    </w:p>
    <w:p w:rsidR="006014CF" w:rsidRDefault="00AB79FD">
      <w:pPr>
        <w:pStyle w:val="ListParagraph"/>
        <w:numPr>
          <w:ilvl w:val="0"/>
          <w:numId w:val="3"/>
        </w:numPr>
      </w:pPr>
      <w:r>
        <w:rPr>
          <w:b/>
          <w:bCs/>
        </w:rPr>
        <w:t>Classify and label sensitive data:</w:t>
      </w:r>
      <w:r>
        <w:t xml:space="preserve"> use built‑in </w:t>
      </w:r>
      <w:r>
        <w:rPr>
          <w:b/>
          <w:bCs/>
        </w:rPr>
        <w:t>sensitive information types</w:t>
      </w:r>
      <w:r>
        <w:t xml:space="preserve">, </w:t>
      </w:r>
      <w:r>
        <w:rPr>
          <w:b/>
          <w:bCs/>
        </w:rPr>
        <w:t>trainable classifiers</w:t>
      </w:r>
      <w:r>
        <w:t xml:space="preserve">, and </w:t>
      </w:r>
      <w:r>
        <w:rPr>
          <w:b/>
          <w:bCs/>
        </w:rPr>
        <w:t>sensitivity labels</w:t>
      </w:r>
      <w:r>
        <w:t xml:space="preserve"> (encryption/markings) to implement your classification taxonomy. </w:t>
      </w:r>
      <w:r>
        <w:rPr>
          <w:rStyle w:val="FootnoteReference"/>
        </w:rPr>
        <w:footnoteReference w:id="14"/>
      </w:r>
      <w:r>
        <w:t xml:space="preserve"> </w:t>
      </w:r>
      <w:r>
        <w:rPr>
          <w:rStyle w:val="FootnoteReference"/>
        </w:rPr>
        <w:footnoteReference w:id="15"/>
      </w:r>
      <w:r>
        <w:t xml:space="preserve"> </w:t>
      </w:r>
      <w:r>
        <w:rPr>
          <w:rStyle w:val="FootnoteReference"/>
        </w:rPr>
        <w:footnoteReference w:id="16"/>
      </w:r>
    </w:p>
    <w:p w:rsidR="006014CF" w:rsidRDefault="00AB79FD">
      <w:pPr>
        <w:pStyle w:val="ListParagraph"/>
        <w:numPr>
          <w:ilvl w:val="0"/>
          <w:numId w:val="3"/>
        </w:numPr>
      </w:pPr>
      <w:r>
        <w:rPr>
          <w:b/>
          <w:bCs/>
        </w:rPr>
        <w:t>Prevent data loss (DLP) &amp; insider data risks:</w:t>
      </w:r>
      <w:r>
        <w:t xml:space="preserve"> apply DLP in M365 apps, endpoints, and </w:t>
      </w:r>
      <w:proofErr w:type="spellStart"/>
      <w:r>
        <w:t>SaaS</w:t>
      </w:r>
      <w:proofErr w:type="spellEnd"/>
      <w:r>
        <w:t xml:space="preserve">; add </w:t>
      </w:r>
      <w:r>
        <w:rPr>
          <w:b/>
          <w:bCs/>
        </w:rPr>
        <w:t>Adaptive Protection</w:t>
      </w:r>
      <w:r>
        <w:t xml:space="preserve"> to tighten controls dynamically based on Insider Risk‑driven user risk levels. </w:t>
      </w:r>
      <w:r>
        <w:rPr>
          <w:rStyle w:val="FootnoteReference"/>
        </w:rPr>
        <w:footnoteReference w:id="17"/>
      </w:r>
      <w:r>
        <w:t xml:space="preserve"> </w:t>
      </w:r>
      <w:r>
        <w:rPr>
          <w:rStyle w:val="FootnoteReference"/>
        </w:rPr>
        <w:footnoteReference w:id="18"/>
      </w:r>
    </w:p>
    <w:p w:rsidR="006014CF" w:rsidRDefault="00AB79FD">
      <w:pPr>
        <w:pStyle w:val="ListParagraph"/>
        <w:numPr>
          <w:ilvl w:val="0"/>
          <w:numId w:val="3"/>
        </w:numPr>
      </w:pPr>
      <w:r>
        <w:rPr>
          <w:b/>
          <w:bCs/>
        </w:rPr>
        <w:t>Lifecycle &amp; records governance:</w:t>
      </w:r>
      <w:r>
        <w:t xml:space="preserve"> meet retention/deletion/</w:t>
      </w:r>
      <w:r>
        <w:t>immutability requirements for email, SharePoint/</w:t>
      </w:r>
      <w:proofErr w:type="spellStart"/>
      <w:r>
        <w:t>OneDrive</w:t>
      </w:r>
      <w:proofErr w:type="spellEnd"/>
      <w:r>
        <w:t xml:space="preserve">, Teams, and more, with </w:t>
      </w:r>
      <w:r>
        <w:rPr>
          <w:b/>
          <w:bCs/>
        </w:rPr>
        <w:t>Data Lifecycle Management</w:t>
      </w:r>
      <w:r>
        <w:t xml:space="preserve"> and </w:t>
      </w:r>
      <w:r>
        <w:rPr>
          <w:b/>
          <w:bCs/>
        </w:rPr>
        <w:t>Records Management</w:t>
      </w:r>
      <w:r>
        <w:t xml:space="preserve">. </w:t>
      </w:r>
      <w:r>
        <w:rPr>
          <w:rStyle w:val="FootnoteReference"/>
        </w:rPr>
        <w:footnoteReference w:id="19"/>
      </w:r>
    </w:p>
    <w:p w:rsidR="006014CF" w:rsidRDefault="00AB79FD">
      <w:pPr>
        <w:pStyle w:val="ListParagraph"/>
        <w:numPr>
          <w:ilvl w:val="0"/>
          <w:numId w:val="3"/>
        </w:numPr>
      </w:pPr>
      <w:r>
        <w:rPr>
          <w:b/>
          <w:bCs/>
        </w:rPr>
        <w:lastRenderedPageBreak/>
        <w:t>Discovery for legal matters:</w:t>
      </w:r>
      <w:r>
        <w:t xml:space="preserve"> run </w:t>
      </w:r>
      <w:r>
        <w:rPr>
          <w:b/>
          <w:bCs/>
        </w:rPr>
        <w:t>eDiscovery (Standard/Premium)</w:t>
      </w:r>
      <w:r>
        <w:t xml:space="preserve"> cases to identify, hold, review, and export content (Exchange</w:t>
      </w:r>
      <w:r>
        <w:t>, SharePoint/</w:t>
      </w:r>
      <w:proofErr w:type="spellStart"/>
      <w:r>
        <w:t>OneDrive</w:t>
      </w:r>
      <w:proofErr w:type="spellEnd"/>
      <w:r>
        <w:t xml:space="preserve">, Teams, Viva Engage). </w:t>
      </w:r>
      <w:r>
        <w:rPr>
          <w:rStyle w:val="FootnoteReference"/>
        </w:rPr>
        <w:footnoteReference w:id="20"/>
      </w:r>
    </w:p>
    <w:p w:rsidR="006014CF" w:rsidRDefault="00AB79FD">
      <w:pPr>
        <w:pStyle w:val="ListParagraph"/>
        <w:numPr>
          <w:ilvl w:val="0"/>
          <w:numId w:val="3"/>
        </w:numPr>
      </w:pPr>
      <w:r>
        <w:rPr>
          <w:b/>
          <w:bCs/>
        </w:rPr>
        <w:t>Lineage and impact analysis:</w:t>
      </w:r>
      <w:r>
        <w:t xml:space="preserve"> visualize end‑to‑end </w:t>
      </w:r>
      <w:r>
        <w:rPr>
          <w:b/>
          <w:bCs/>
        </w:rPr>
        <w:t>lineage</w:t>
      </w:r>
      <w:r>
        <w:t xml:space="preserve"> across pipelines, storage, analytics, and BI (including Microsoft Fabric and Power BI items). </w:t>
      </w:r>
      <w:r>
        <w:rPr>
          <w:rStyle w:val="FootnoteReference"/>
        </w:rPr>
        <w:footnoteReference w:id="21"/>
      </w:r>
      <w:r>
        <w:t xml:space="preserve"> </w:t>
      </w:r>
      <w:r>
        <w:rPr>
          <w:rStyle w:val="FootnoteReference"/>
        </w:rPr>
        <w:footnoteReference w:id="22"/>
      </w:r>
    </w:p>
    <w:p w:rsidR="006014CF" w:rsidRDefault="00AB79FD">
      <w:pPr>
        <w:pStyle w:val="ListParagraph"/>
        <w:numPr>
          <w:ilvl w:val="0"/>
          <w:numId w:val="3"/>
        </w:numPr>
      </w:pPr>
      <w:r>
        <w:rPr>
          <w:b/>
          <w:bCs/>
        </w:rPr>
        <w:t xml:space="preserve">Govern Microsoft Fabric &amp; </w:t>
      </w:r>
      <w:proofErr w:type="spellStart"/>
      <w:r>
        <w:rPr>
          <w:b/>
          <w:bCs/>
        </w:rPr>
        <w:t>OneLake</w:t>
      </w:r>
      <w:proofErr w:type="spellEnd"/>
      <w:r>
        <w:rPr>
          <w:b/>
          <w:bCs/>
        </w:rPr>
        <w:t>:</w:t>
      </w:r>
      <w:r>
        <w:t xml:space="preserve"> inventory Fabric artifacts in the Unified Catalog, view live metadata/lineage, protect with labels, and monitor via the </w:t>
      </w:r>
      <w:r>
        <w:rPr>
          <w:b/>
          <w:bCs/>
        </w:rPr>
        <w:t>Purview hub</w:t>
      </w:r>
      <w:r>
        <w:t xml:space="preserve"> in Fabric. </w:t>
      </w:r>
      <w:r>
        <w:rPr>
          <w:rStyle w:val="FootnoteReference"/>
        </w:rPr>
        <w:footnoteReference w:id="23"/>
      </w:r>
      <w:r>
        <w:t xml:space="preserve"> </w:t>
      </w:r>
      <w:r>
        <w:rPr>
          <w:rStyle w:val="FootnoteReference"/>
        </w:rPr>
        <w:footnoteReference w:id="24"/>
      </w:r>
      <w:r>
        <w:t xml:space="preserve"> </w:t>
      </w:r>
      <w:r>
        <w:rPr>
          <w:rStyle w:val="FootnoteReference"/>
        </w:rPr>
        <w:footnoteReference w:id="25"/>
      </w:r>
    </w:p>
    <w:p w:rsidR="006014CF" w:rsidRDefault="00AB79FD">
      <w:pPr>
        <w:pStyle w:val="ListParagraph"/>
        <w:numPr>
          <w:ilvl w:val="0"/>
          <w:numId w:val="3"/>
        </w:numPr>
      </w:pPr>
      <w:r>
        <w:rPr>
          <w:b/>
          <w:bCs/>
        </w:rPr>
        <w:t>Centralize data access controls:</w:t>
      </w:r>
      <w:r>
        <w:t xml:space="preserve"> author </w:t>
      </w:r>
      <w:r>
        <w:rPr>
          <w:b/>
          <w:bCs/>
        </w:rPr>
        <w:t>Data owner policies</w:t>
      </w:r>
      <w:r>
        <w:t xml:space="preserve"> and </w:t>
      </w:r>
      <w:r>
        <w:rPr>
          <w:b/>
          <w:bCs/>
        </w:rPr>
        <w:t>Protection policies (preview)</w:t>
      </w:r>
      <w:r>
        <w:t xml:space="preserve"> to restrict </w:t>
      </w:r>
      <w:r>
        <w:t xml:space="preserve">access to sensitive assets in Azure SQL, ADLS/Blob, and Fabric based on labels. </w:t>
      </w:r>
      <w:r>
        <w:rPr>
          <w:rStyle w:val="FootnoteReference"/>
        </w:rPr>
        <w:footnoteReference w:id="26"/>
      </w:r>
      <w:r>
        <w:t xml:space="preserve"> </w:t>
      </w:r>
      <w:r>
        <w:rPr>
          <w:rStyle w:val="FootnoteReference"/>
        </w:rPr>
        <w:footnoteReference w:id="27"/>
      </w:r>
    </w:p>
    <w:p w:rsidR="006014CF" w:rsidRDefault="006014CF">
      <w:pPr>
        <w:pBdr>
          <w:top w:val="single" w:sz="12" w:space="0" w:color="auto"/>
        </w:pBdr>
        <w:spacing w:after="0"/>
      </w:pPr>
    </w:p>
    <w:p w:rsidR="006014CF" w:rsidRDefault="00AB79FD">
      <w:pPr>
        <w:pStyle w:val="Heading2"/>
      </w:pPr>
      <w:r>
        <w:t>3) The Purview “map”: major elements &amp; components</w:t>
      </w:r>
    </w:p>
    <w:p w:rsidR="006014CF" w:rsidRDefault="00AB79FD">
      <w:pPr>
        <w:pStyle w:val="Heading3"/>
      </w:pPr>
      <w:r>
        <w:t>A. Cross‑solution experience</w:t>
      </w:r>
    </w:p>
    <w:p w:rsidR="006014CF" w:rsidRDefault="00AB79FD">
      <w:pPr>
        <w:pStyle w:val="ListParagraph"/>
        <w:numPr>
          <w:ilvl w:val="0"/>
          <w:numId w:val="4"/>
        </w:numPr>
      </w:pPr>
      <w:r>
        <w:rPr>
          <w:b/>
          <w:bCs/>
        </w:rPr>
        <w:t>Purview portal</w:t>
      </w:r>
      <w:r>
        <w:t xml:space="preserve"> – single entry point for data governance + data security + risk &amp; compliance,</w:t>
      </w:r>
      <w:r>
        <w:t xml:space="preserve"> with consolidated navigation, roles, search, and settings. </w:t>
      </w:r>
      <w:r>
        <w:rPr>
          <w:rStyle w:val="FootnoteReference"/>
        </w:rPr>
        <w:footnoteReference w:id="28"/>
      </w:r>
    </w:p>
    <w:p w:rsidR="006014CF" w:rsidRDefault="00AB79FD">
      <w:pPr>
        <w:pStyle w:val="Heading3"/>
      </w:pPr>
      <w:r>
        <w:t>B. Data Governance</w:t>
      </w:r>
    </w:p>
    <w:p w:rsidR="006014CF" w:rsidRDefault="00AB79FD">
      <w:pPr>
        <w:pStyle w:val="ListParagraph"/>
        <w:numPr>
          <w:ilvl w:val="0"/>
          <w:numId w:val="5"/>
        </w:numPr>
      </w:pPr>
      <w:r>
        <w:rPr>
          <w:b/>
          <w:bCs/>
        </w:rPr>
        <w:t>Data Map</w:t>
      </w:r>
      <w:r>
        <w:t xml:space="preserve"> – the </w:t>
      </w:r>
      <w:r>
        <w:rPr>
          <w:i/>
          <w:iCs/>
        </w:rPr>
        <w:t>technical</w:t>
      </w:r>
      <w:r>
        <w:t xml:space="preserve"> layer that keeps metadata up to date via scans; stores schemas, classifications, lineage, and more; capacity scales elastically (CUs). </w:t>
      </w:r>
      <w:r>
        <w:rPr>
          <w:rStyle w:val="FootnoteReference"/>
        </w:rPr>
        <w:footnoteReference w:id="29"/>
      </w:r>
    </w:p>
    <w:p w:rsidR="006014CF" w:rsidRDefault="00AB79FD">
      <w:pPr>
        <w:pStyle w:val="ListParagraph"/>
        <w:numPr>
          <w:ilvl w:val="0"/>
          <w:numId w:val="5"/>
        </w:numPr>
      </w:pPr>
      <w:r>
        <w:rPr>
          <w:b/>
          <w:bCs/>
        </w:rPr>
        <w:lastRenderedPageBreak/>
        <w:t>Unified Catalog</w:t>
      </w:r>
      <w:r>
        <w:t xml:space="preserve"> – the </w:t>
      </w:r>
      <w:r>
        <w:rPr>
          <w:i/>
          <w:iCs/>
        </w:rPr>
        <w:t>business‑friendly</w:t>
      </w:r>
      <w:r>
        <w:t xml:space="preserve"> catalog for discovery and </w:t>
      </w:r>
      <w:proofErr w:type="spellStart"/>
      <w:r>
        <w:t>curation</w:t>
      </w:r>
      <w:proofErr w:type="spellEnd"/>
      <w:r>
        <w:t xml:space="preserve">, powered by the Data Map; supports data quality &amp; health and controlled access. </w:t>
      </w:r>
      <w:r>
        <w:rPr>
          <w:rStyle w:val="FootnoteReference"/>
        </w:rPr>
        <w:footnoteReference w:id="30"/>
      </w:r>
    </w:p>
    <w:p w:rsidR="006014CF" w:rsidRDefault="00AB79FD">
      <w:pPr>
        <w:pStyle w:val="ListParagraph"/>
        <w:numPr>
          <w:ilvl w:val="0"/>
          <w:numId w:val="5"/>
        </w:numPr>
      </w:pPr>
      <w:r>
        <w:rPr>
          <w:b/>
          <w:bCs/>
        </w:rPr>
        <w:t>Scanning &amp; ingestion</w:t>
      </w:r>
      <w:r>
        <w:t xml:space="preserve"> – brings in metadata and lineage from registered sources; supports multiple </w:t>
      </w:r>
      <w:proofErr w:type="spellStart"/>
      <w:r>
        <w:t>au</w:t>
      </w:r>
      <w:r>
        <w:t>th</w:t>
      </w:r>
      <w:proofErr w:type="spellEnd"/>
      <w:r>
        <w:t xml:space="preserve"> methods (e.g., Managed Identity) and scoped scans. </w:t>
      </w:r>
      <w:r>
        <w:rPr>
          <w:rStyle w:val="FootnoteReference"/>
        </w:rPr>
        <w:footnoteReference w:id="31"/>
      </w:r>
    </w:p>
    <w:p w:rsidR="006014CF" w:rsidRDefault="00AB79FD">
      <w:pPr>
        <w:pStyle w:val="ListParagraph"/>
        <w:numPr>
          <w:ilvl w:val="0"/>
          <w:numId w:val="5"/>
        </w:numPr>
      </w:pPr>
      <w:r>
        <w:rPr>
          <w:b/>
          <w:bCs/>
        </w:rPr>
        <w:t>Classifications &amp; glossary</w:t>
      </w:r>
      <w:r>
        <w:t xml:space="preserve"> – 200+ system classifications (plus custom), and active </w:t>
      </w:r>
      <w:r>
        <w:rPr>
          <w:b/>
          <w:bCs/>
        </w:rPr>
        <w:t>glossary terms</w:t>
      </w:r>
      <w:r>
        <w:t xml:space="preserve"> that carry policies for scalable governance. </w:t>
      </w:r>
      <w:r>
        <w:rPr>
          <w:rStyle w:val="FootnoteReference"/>
        </w:rPr>
        <w:footnoteReference w:id="32"/>
      </w:r>
      <w:r>
        <w:t xml:space="preserve"> </w:t>
      </w:r>
      <w:r>
        <w:rPr>
          <w:rStyle w:val="FootnoteReference"/>
        </w:rPr>
        <w:footnoteReference w:id="33"/>
      </w:r>
    </w:p>
    <w:p w:rsidR="006014CF" w:rsidRDefault="00AB79FD">
      <w:pPr>
        <w:pStyle w:val="Heading3"/>
      </w:pPr>
      <w:r>
        <w:t>C. Data Security</w:t>
      </w:r>
    </w:p>
    <w:p w:rsidR="006014CF" w:rsidRDefault="00AB79FD">
      <w:pPr>
        <w:pStyle w:val="ListParagraph"/>
        <w:numPr>
          <w:ilvl w:val="0"/>
          <w:numId w:val="6"/>
        </w:numPr>
      </w:pPr>
      <w:r>
        <w:rPr>
          <w:b/>
          <w:bCs/>
        </w:rPr>
        <w:t xml:space="preserve">Information Protection (Sensitivity </w:t>
      </w:r>
      <w:r>
        <w:rPr>
          <w:b/>
          <w:bCs/>
        </w:rPr>
        <w:t>labels)</w:t>
      </w:r>
      <w:r>
        <w:t xml:space="preserve"> – classify &amp; protect content with encryption, access restrictions, and visual markings; publish via label policies. </w:t>
      </w:r>
      <w:r>
        <w:rPr>
          <w:rStyle w:val="FootnoteReference"/>
        </w:rPr>
        <w:footnoteReference w:id="34"/>
      </w:r>
      <w:r>
        <w:t xml:space="preserve"> </w:t>
      </w:r>
      <w:r>
        <w:rPr>
          <w:rStyle w:val="FootnoteReference"/>
        </w:rPr>
        <w:footnoteReference w:id="35"/>
      </w:r>
    </w:p>
    <w:p w:rsidR="006014CF" w:rsidRDefault="00AB79FD">
      <w:pPr>
        <w:pStyle w:val="ListParagraph"/>
        <w:numPr>
          <w:ilvl w:val="0"/>
          <w:numId w:val="6"/>
        </w:numPr>
      </w:pPr>
      <w:r>
        <w:rPr>
          <w:b/>
          <w:bCs/>
        </w:rPr>
        <w:t>Data Loss Prevention (DLP)</w:t>
      </w:r>
      <w:r>
        <w:t xml:space="preserve"> – detect &amp; control sensitive data across M365 apps, endpoints, and cloud apps; sensitivity labels are</w:t>
      </w:r>
      <w:r>
        <w:t xml:space="preserve"> foundational to DLP. </w:t>
      </w:r>
      <w:r>
        <w:rPr>
          <w:rStyle w:val="FootnoteReference"/>
        </w:rPr>
        <w:footnoteReference w:id="36"/>
      </w:r>
    </w:p>
    <w:p w:rsidR="006014CF" w:rsidRDefault="00AB79FD">
      <w:pPr>
        <w:pStyle w:val="ListParagraph"/>
        <w:numPr>
          <w:ilvl w:val="0"/>
          <w:numId w:val="6"/>
        </w:numPr>
      </w:pPr>
      <w:r>
        <w:rPr>
          <w:b/>
          <w:bCs/>
        </w:rPr>
        <w:t>Insider Risk Management &amp; Adaptive Protection</w:t>
      </w:r>
      <w:r>
        <w:t xml:space="preserve"> – ML‑driven risk signals inform dynamic DLP/Conditional Access/Lifecycle controls by user risk level. </w:t>
      </w:r>
      <w:r>
        <w:rPr>
          <w:rStyle w:val="FootnoteReference"/>
        </w:rPr>
        <w:footnoteReference w:id="37"/>
      </w:r>
    </w:p>
    <w:p w:rsidR="006014CF" w:rsidRDefault="00AB79FD">
      <w:pPr>
        <w:pStyle w:val="ListParagraph"/>
        <w:numPr>
          <w:ilvl w:val="0"/>
          <w:numId w:val="6"/>
        </w:numPr>
      </w:pPr>
      <w:r>
        <w:rPr>
          <w:b/>
          <w:bCs/>
        </w:rPr>
        <w:t>Data Security Posture Management (DSPM, preview)</w:t>
      </w:r>
      <w:r>
        <w:t xml:space="preserve"> – unify Purview controls to disco</w:t>
      </w:r>
      <w:r>
        <w:t xml:space="preserve">ver, protect, and investigate sensitive data risks across traditional and AI apps. </w:t>
      </w:r>
      <w:r>
        <w:rPr>
          <w:rStyle w:val="FootnoteReference"/>
        </w:rPr>
        <w:footnoteReference w:id="38"/>
      </w:r>
    </w:p>
    <w:p w:rsidR="006014CF" w:rsidRDefault="00AB79FD">
      <w:pPr>
        <w:pStyle w:val="Heading3"/>
      </w:pPr>
      <w:r>
        <w:t>D. Risk &amp; Compliance</w:t>
      </w:r>
    </w:p>
    <w:p w:rsidR="006014CF" w:rsidRDefault="00AB79FD">
      <w:pPr>
        <w:pStyle w:val="ListParagraph"/>
        <w:numPr>
          <w:ilvl w:val="0"/>
          <w:numId w:val="7"/>
        </w:numPr>
      </w:pPr>
      <w:r>
        <w:rPr>
          <w:b/>
          <w:bCs/>
        </w:rPr>
        <w:t>Data Lifecycle Management &amp; Records Management</w:t>
      </w:r>
      <w:r>
        <w:t xml:space="preserve"> – retention, deletion, file plans, and records discipline across Microsoft 365 data. </w:t>
      </w:r>
      <w:r>
        <w:rPr>
          <w:rStyle w:val="FootnoteReference"/>
        </w:rPr>
        <w:footnoteReference w:id="39"/>
      </w:r>
    </w:p>
    <w:p w:rsidR="006014CF" w:rsidRDefault="00AB79FD">
      <w:pPr>
        <w:pStyle w:val="ListParagraph"/>
        <w:numPr>
          <w:ilvl w:val="0"/>
          <w:numId w:val="7"/>
        </w:numPr>
      </w:pPr>
      <w:proofErr w:type="gramStart"/>
      <w:r>
        <w:rPr>
          <w:b/>
          <w:bCs/>
        </w:rPr>
        <w:t>eDiscovery</w:t>
      </w:r>
      <w:proofErr w:type="gramEnd"/>
      <w:r>
        <w:rPr>
          <w:b/>
          <w:bCs/>
        </w:rPr>
        <w:t xml:space="preserve"> (Stan</w:t>
      </w:r>
      <w:r>
        <w:rPr>
          <w:b/>
          <w:bCs/>
        </w:rPr>
        <w:t>dard/Premium)</w:t>
      </w:r>
      <w:r>
        <w:t xml:space="preserve"> – case management, holds, review sets, and export with “just‑in‑time” advanced indexing in the new portal. </w:t>
      </w:r>
      <w:r>
        <w:rPr>
          <w:rStyle w:val="FootnoteReference"/>
        </w:rPr>
        <w:footnoteReference w:id="40"/>
      </w:r>
    </w:p>
    <w:p w:rsidR="006014CF" w:rsidRDefault="00AB79FD">
      <w:pPr>
        <w:pStyle w:val="ListParagraph"/>
        <w:numPr>
          <w:ilvl w:val="0"/>
          <w:numId w:val="7"/>
        </w:numPr>
      </w:pPr>
      <w:r>
        <w:rPr>
          <w:b/>
          <w:bCs/>
        </w:rPr>
        <w:lastRenderedPageBreak/>
        <w:t>Audit (Standard/Premium)</w:t>
      </w:r>
      <w:r>
        <w:t xml:space="preserve"> – tenant‑level activity logging and investigations (licensing governed by the Purview service description). </w:t>
      </w:r>
      <w:r>
        <w:rPr>
          <w:rStyle w:val="FootnoteReference"/>
        </w:rPr>
        <w:footnoteReference w:id="41"/>
      </w:r>
    </w:p>
    <w:p w:rsidR="006014CF" w:rsidRDefault="00AB79FD">
      <w:pPr>
        <w:pStyle w:val="Heading3"/>
      </w:pPr>
      <w:r>
        <w:t>E. Integrations &amp; policy enforcement</w:t>
      </w:r>
    </w:p>
    <w:p w:rsidR="006014CF" w:rsidRDefault="00AB79FD">
      <w:pPr>
        <w:pStyle w:val="ListParagraph"/>
        <w:numPr>
          <w:ilvl w:val="0"/>
          <w:numId w:val="8"/>
        </w:numPr>
      </w:pPr>
      <w:r>
        <w:rPr>
          <w:b/>
          <w:bCs/>
        </w:rPr>
        <w:t>Microsoft Fabric</w:t>
      </w:r>
      <w:r>
        <w:t xml:space="preserve"> – register/scan Fabric tenant; ingest metadata &amp; lineage for </w:t>
      </w:r>
      <w:proofErr w:type="spellStart"/>
      <w:r>
        <w:t>Lakehouse</w:t>
      </w:r>
      <w:proofErr w:type="spellEnd"/>
      <w:r>
        <w:t xml:space="preserve">, Warehouse, Data Pipelines, and Power BI, then govern via Purview. </w:t>
      </w:r>
      <w:r>
        <w:rPr>
          <w:rStyle w:val="FootnoteReference"/>
        </w:rPr>
        <w:footnoteReference w:id="42"/>
      </w:r>
      <w:r>
        <w:t xml:space="preserve"> </w:t>
      </w:r>
      <w:r>
        <w:rPr>
          <w:rStyle w:val="FootnoteReference"/>
        </w:rPr>
        <w:footnoteReference w:id="43"/>
      </w:r>
    </w:p>
    <w:p w:rsidR="006014CF" w:rsidRDefault="00AB79FD">
      <w:pPr>
        <w:pStyle w:val="ListParagraph"/>
        <w:numPr>
          <w:ilvl w:val="0"/>
          <w:numId w:val="8"/>
        </w:numPr>
      </w:pPr>
      <w:r>
        <w:rPr>
          <w:b/>
          <w:bCs/>
        </w:rPr>
        <w:t>Azure Synapse</w:t>
      </w:r>
      <w:r>
        <w:t xml:space="preserve"> – connect Synapse workspaces to Purview to discover assets and push lineage. </w:t>
      </w:r>
      <w:r>
        <w:rPr>
          <w:rStyle w:val="FootnoteReference"/>
        </w:rPr>
        <w:footnoteReference w:id="44"/>
      </w:r>
    </w:p>
    <w:p w:rsidR="006014CF" w:rsidRDefault="00AB79FD">
      <w:pPr>
        <w:pStyle w:val="ListParagraph"/>
        <w:numPr>
          <w:ilvl w:val="0"/>
          <w:numId w:val="8"/>
        </w:numPr>
      </w:pPr>
      <w:r>
        <w:rPr>
          <w:b/>
          <w:bCs/>
        </w:rPr>
        <w:t>Data owner policies &amp; Protection policies (preview)</w:t>
      </w:r>
      <w:r>
        <w:t xml:space="preserve"> – publish read/modify access (data‑plane) or label‑based protections to Azure Storage/SQL and Fabric. </w:t>
      </w:r>
      <w:r>
        <w:rPr>
          <w:rStyle w:val="FootnoteReference"/>
        </w:rPr>
        <w:footnoteReference w:id="45"/>
      </w:r>
      <w:r>
        <w:t xml:space="preserve"> </w:t>
      </w:r>
      <w:r>
        <w:rPr>
          <w:rStyle w:val="FootnoteReference"/>
        </w:rPr>
        <w:footnoteReference w:id="46"/>
      </w:r>
    </w:p>
    <w:p w:rsidR="006014CF" w:rsidRDefault="006014CF">
      <w:pPr>
        <w:pBdr>
          <w:top w:val="single" w:sz="12" w:space="0" w:color="auto"/>
        </w:pBdr>
        <w:spacing w:after="0"/>
      </w:pPr>
    </w:p>
    <w:p w:rsidR="006014CF" w:rsidRDefault="00AB79FD">
      <w:pPr>
        <w:pStyle w:val="Heading2"/>
      </w:pPr>
      <w:r>
        <w:t>4) Architecture—h</w:t>
      </w:r>
      <w:r>
        <w:t>ow Purview works end‑to‑end</w:t>
      </w:r>
    </w:p>
    <w:p w:rsidR="006014CF" w:rsidRDefault="00AB79FD">
      <w:pPr>
        <w:pBdr>
          <w:left w:val="single" w:sz="18" w:space="4" w:color="A6A6A6"/>
        </w:pBdr>
        <w:ind w:left="180"/>
      </w:pPr>
      <w:r>
        <w:rPr>
          <w:b/>
          <w:bCs/>
        </w:rPr>
        <w:t>High‑level flow</w:t>
      </w:r>
      <w:r>
        <w:br/>
      </w:r>
      <w:r>
        <w:rPr>
          <w:i/>
          <w:iCs/>
        </w:rPr>
        <w:t>Sources</w:t>
      </w:r>
      <w:r>
        <w:t xml:space="preserve"> → </w:t>
      </w:r>
      <w:r>
        <w:rPr>
          <w:b/>
          <w:bCs/>
        </w:rPr>
        <w:t>Integration Runtime (IR)</w:t>
      </w:r>
      <w:r>
        <w:t xml:space="preserve"> executes scans → </w:t>
      </w:r>
      <w:r>
        <w:rPr>
          <w:b/>
          <w:bCs/>
        </w:rPr>
        <w:t>Data Map</w:t>
      </w:r>
      <w:r>
        <w:t xml:space="preserve"> stores technical + semantic metadata, classifications, lineage → </w:t>
      </w:r>
      <w:r>
        <w:rPr>
          <w:b/>
          <w:bCs/>
        </w:rPr>
        <w:t>Unified Catalog</w:t>
      </w:r>
      <w:r>
        <w:t xml:space="preserve"> exposes </w:t>
      </w:r>
      <w:proofErr w:type="spellStart"/>
      <w:r>
        <w:t>curation</w:t>
      </w:r>
      <w:proofErr w:type="spellEnd"/>
      <w:r>
        <w:t xml:space="preserve">, search, data health → </w:t>
      </w:r>
      <w:r>
        <w:rPr>
          <w:b/>
          <w:bCs/>
        </w:rPr>
        <w:t>Policies &amp; Labels</w:t>
      </w:r>
      <w:r>
        <w:t xml:space="preserve"> enforce prot</w:t>
      </w:r>
      <w:r>
        <w:t xml:space="preserve">ection and access across Microsoft 365, Azure, Fabric, endpoints, and apps via DLP, access policies, and encryption. </w:t>
      </w:r>
      <w:r>
        <w:rPr>
          <w:rStyle w:val="FootnoteReference"/>
        </w:rPr>
        <w:footnoteReference w:id="47"/>
      </w:r>
      <w:r>
        <w:t xml:space="preserve"> </w:t>
      </w:r>
      <w:r>
        <w:rPr>
          <w:rStyle w:val="FootnoteReference"/>
        </w:rPr>
        <w:footnoteReference w:id="48"/>
      </w:r>
      <w:r>
        <w:t xml:space="preserve"> </w:t>
      </w:r>
      <w:r>
        <w:rPr>
          <w:rStyle w:val="FootnoteReference"/>
        </w:rPr>
        <w:footnoteReference w:id="49"/>
      </w:r>
      <w:r>
        <w:t xml:space="preserve"> </w:t>
      </w:r>
      <w:r>
        <w:rPr>
          <w:rStyle w:val="FootnoteReference"/>
        </w:rPr>
        <w:footnoteReference w:id="50"/>
      </w:r>
    </w:p>
    <w:p w:rsidR="006014CF" w:rsidRDefault="00AB79FD">
      <w:pPr>
        <w:pStyle w:val="Heading3"/>
      </w:pPr>
      <w:r>
        <w:t>4.1 Scanning layer</w:t>
      </w:r>
    </w:p>
    <w:p w:rsidR="006014CF" w:rsidRDefault="00AB79FD">
      <w:pPr>
        <w:pStyle w:val="ListParagraph"/>
        <w:numPr>
          <w:ilvl w:val="0"/>
          <w:numId w:val="9"/>
        </w:numPr>
      </w:pPr>
      <w:r>
        <w:rPr>
          <w:b/>
          <w:bCs/>
        </w:rPr>
        <w:t>Integration Runtime options</w:t>
      </w:r>
      <w:r>
        <w:t>:</w:t>
      </w:r>
    </w:p>
    <w:p w:rsidR="006014CF" w:rsidRDefault="00AB79FD">
      <w:pPr>
        <w:pStyle w:val="ListParagraph"/>
        <w:numPr>
          <w:ilvl w:val="1"/>
          <w:numId w:val="9"/>
        </w:numPr>
      </w:pPr>
      <w:r>
        <w:rPr>
          <w:b/>
          <w:bCs/>
        </w:rPr>
        <w:lastRenderedPageBreak/>
        <w:t>Azure IR</w:t>
      </w:r>
      <w:r>
        <w:t xml:space="preserve"> (fully managed, public endpoints), </w:t>
      </w:r>
      <w:r>
        <w:rPr>
          <w:b/>
          <w:bCs/>
        </w:rPr>
        <w:t xml:space="preserve">Managed </w:t>
      </w:r>
      <w:proofErr w:type="spellStart"/>
      <w:r>
        <w:rPr>
          <w:b/>
          <w:bCs/>
        </w:rPr>
        <w:t>VNet</w:t>
      </w:r>
      <w:proofErr w:type="spellEnd"/>
      <w:r>
        <w:rPr>
          <w:b/>
          <w:bCs/>
        </w:rPr>
        <w:t xml:space="preserve"> IR</w:t>
      </w:r>
      <w:r>
        <w:t xml:space="preserve"> (private endpoints), </w:t>
      </w:r>
      <w:r>
        <w:rPr>
          <w:b/>
          <w:bCs/>
        </w:rPr>
        <w:t>Se</w:t>
      </w:r>
      <w:r>
        <w:rPr>
          <w:b/>
          <w:bCs/>
        </w:rPr>
        <w:t>lf‑hosted IR</w:t>
      </w:r>
      <w:r>
        <w:t xml:space="preserve"> (on‑</w:t>
      </w:r>
      <w:proofErr w:type="spellStart"/>
      <w:r>
        <w:t>prem</w:t>
      </w:r>
      <w:proofErr w:type="spellEnd"/>
      <w:r>
        <w:t xml:space="preserve">/VNET), </w:t>
      </w:r>
      <w:proofErr w:type="spellStart"/>
      <w:r>
        <w:rPr>
          <w:b/>
          <w:bCs/>
        </w:rPr>
        <w:t>Kubernetes</w:t>
      </w:r>
      <w:proofErr w:type="spellEnd"/>
      <w:r>
        <w:rPr>
          <w:b/>
          <w:bCs/>
        </w:rPr>
        <w:t>‑based SHIR</w:t>
      </w:r>
      <w:r>
        <w:t xml:space="preserve"> (Linux, scale/</w:t>
      </w:r>
      <w:proofErr w:type="spellStart"/>
      <w:r>
        <w:t>perf</w:t>
      </w:r>
      <w:proofErr w:type="spellEnd"/>
      <w:r>
        <w:t xml:space="preserve">), and </w:t>
      </w:r>
      <w:r>
        <w:rPr>
          <w:b/>
          <w:bCs/>
        </w:rPr>
        <w:t>AWS IR</w:t>
      </w:r>
      <w:r>
        <w:t xml:space="preserve"> for Amazon sources. </w:t>
      </w:r>
      <w:r>
        <w:rPr>
          <w:rStyle w:val="FootnoteReference"/>
        </w:rPr>
        <w:footnoteReference w:id="51"/>
      </w:r>
    </w:p>
    <w:p w:rsidR="006014CF" w:rsidRDefault="00AB79FD">
      <w:pPr>
        <w:pStyle w:val="ListParagraph"/>
        <w:numPr>
          <w:ilvl w:val="1"/>
          <w:numId w:val="9"/>
        </w:numPr>
      </w:pPr>
      <w:r>
        <w:rPr>
          <w:b/>
          <w:bCs/>
        </w:rPr>
        <w:t>Self‑hosted IR</w:t>
      </w:r>
      <w:r>
        <w:t xml:space="preserve"> installs on Windows (or as K8s SHIR) to reach private/on‑</w:t>
      </w:r>
      <w:proofErr w:type="spellStart"/>
      <w:r>
        <w:t>prem</w:t>
      </w:r>
      <w:proofErr w:type="spellEnd"/>
      <w:r>
        <w:t xml:space="preserve"> sources; provides HA/scaling guidance and prerequisites. </w:t>
      </w:r>
      <w:r>
        <w:rPr>
          <w:rStyle w:val="FootnoteReference"/>
        </w:rPr>
        <w:footnoteReference w:id="52"/>
      </w:r>
      <w:r>
        <w:t xml:space="preserve"> </w:t>
      </w:r>
      <w:r>
        <w:rPr>
          <w:rStyle w:val="FootnoteReference"/>
        </w:rPr>
        <w:footnoteReference w:id="53"/>
      </w:r>
    </w:p>
    <w:p w:rsidR="006014CF" w:rsidRDefault="00AB79FD">
      <w:pPr>
        <w:pStyle w:val="ListParagraph"/>
        <w:numPr>
          <w:ilvl w:val="0"/>
          <w:numId w:val="9"/>
        </w:numPr>
      </w:pPr>
      <w:r>
        <w:rPr>
          <w:b/>
          <w:bCs/>
        </w:rPr>
        <w:t>Network patterns</w:t>
      </w:r>
      <w:r>
        <w:t xml:space="preserve">: public endpoints, private endpoints, or hybrid combinations; Purview accounts expose secured endpoints and can be firewalled. </w:t>
      </w:r>
      <w:r>
        <w:rPr>
          <w:rStyle w:val="FootnoteReference"/>
        </w:rPr>
        <w:footnoteReference w:id="54"/>
      </w:r>
    </w:p>
    <w:p w:rsidR="006014CF" w:rsidRDefault="00AB79FD">
      <w:pPr>
        <w:pStyle w:val="Heading3"/>
      </w:pPr>
      <w:r>
        <w:t>4.2 Governance layer</w:t>
      </w:r>
    </w:p>
    <w:p w:rsidR="006014CF" w:rsidRDefault="00AB79FD">
      <w:pPr>
        <w:pStyle w:val="ListParagraph"/>
        <w:numPr>
          <w:ilvl w:val="0"/>
          <w:numId w:val="10"/>
        </w:numPr>
      </w:pPr>
      <w:r>
        <w:rPr>
          <w:b/>
          <w:bCs/>
        </w:rPr>
        <w:t>Data Map</w:t>
      </w:r>
      <w:r>
        <w:t xml:space="preserve"> maintains metadata store + operation throughput via </w:t>
      </w:r>
      <w:r>
        <w:rPr>
          <w:b/>
          <w:bCs/>
        </w:rPr>
        <w:t>Capacity Units</w:t>
      </w:r>
      <w:r>
        <w:t>; scanning/cla</w:t>
      </w:r>
      <w:r>
        <w:t xml:space="preserve">ssification/lineage feeds it continuously. </w:t>
      </w:r>
      <w:r>
        <w:rPr>
          <w:rStyle w:val="FootnoteReference"/>
        </w:rPr>
        <w:footnoteReference w:id="55"/>
      </w:r>
    </w:p>
    <w:p w:rsidR="006014CF" w:rsidRDefault="00AB79FD">
      <w:pPr>
        <w:pStyle w:val="ListParagraph"/>
        <w:numPr>
          <w:ilvl w:val="0"/>
          <w:numId w:val="10"/>
        </w:numPr>
      </w:pPr>
      <w:r>
        <w:rPr>
          <w:b/>
          <w:bCs/>
        </w:rPr>
        <w:t>Unified Catalog</w:t>
      </w:r>
      <w:r>
        <w:t xml:space="preserve"> provides discovery, </w:t>
      </w:r>
      <w:proofErr w:type="spellStart"/>
      <w:r>
        <w:t>curation</w:t>
      </w:r>
      <w:proofErr w:type="spellEnd"/>
      <w:r>
        <w:t xml:space="preserve">, domains, glossary, and health/quality reports; it never stores the </w:t>
      </w:r>
      <w:r>
        <w:rPr>
          <w:i/>
          <w:iCs/>
        </w:rPr>
        <w:t>underlying data</w:t>
      </w:r>
      <w:r>
        <w:t xml:space="preserve">—only metadata. </w:t>
      </w:r>
      <w:r>
        <w:rPr>
          <w:rStyle w:val="FootnoteReference"/>
        </w:rPr>
        <w:footnoteReference w:id="56"/>
      </w:r>
    </w:p>
    <w:p w:rsidR="006014CF" w:rsidRDefault="00AB79FD">
      <w:pPr>
        <w:pStyle w:val="Heading3"/>
      </w:pPr>
      <w:r>
        <w:t>4.3 Security &amp; compliance enforcement layer</w:t>
      </w:r>
    </w:p>
    <w:p w:rsidR="006014CF" w:rsidRDefault="00AB79FD">
      <w:pPr>
        <w:pStyle w:val="ListParagraph"/>
        <w:numPr>
          <w:ilvl w:val="0"/>
          <w:numId w:val="11"/>
        </w:numPr>
      </w:pPr>
      <w:r>
        <w:rPr>
          <w:b/>
          <w:bCs/>
        </w:rPr>
        <w:t>Sensitivity labels</w:t>
      </w:r>
      <w:r>
        <w:t xml:space="preserve"> (t</w:t>
      </w:r>
      <w:r>
        <w:t xml:space="preserve">enant‑wide taxonomy) are published to users/services and applied automatically or manually; they drive encryption/markings and link to DLP. </w:t>
      </w:r>
      <w:r>
        <w:rPr>
          <w:rStyle w:val="FootnoteReference"/>
        </w:rPr>
        <w:footnoteReference w:id="57"/>
      </w:r>
      <w:r>
        <w:t xml:space="preserve"> </w:t>
      </w:r>
      <w:r>
        <w:rPr>
          <w:rStyle w:val="FootnoteReference"/>
        </w:rPr>
        <w:footnoteReference w:id="58"/>
      </w:r>
    </w:p>
    <w:p w:rsidR="006014CF" w:rsidRDefault="00AB79FD">
      <w:pPr>
        <w:pStyle w:val="ListParagraph"/>
        <w:numPr>
          <w:ilvl w:val="0"/>
          <w:numId w:val="11"/>
        </w:numPr>
      </w:pPr>
      <w:r>
        <w:rPr>
          <w:b/>
          <w:bCs/>
        </w:rPr>
        <w:t>DLP policies</w:t>
      </w:r>
      <w:r>
        <w:t xml:space="preserve"> evaluate content, device activities, and app sessions; </w:t>
      </w:r>
      <w:r>
        <w:rPr>
          <w:b/>
          <w:bCs/>
        </w:rPr>
        <w:t>Adaptive Protection</w:t>
      </w:r>
      <w:r>
        <w:t xml:space="preserve"> adds dynamic user‑risk t</w:t>
      </w:r>
      <w:r>
        <w:t xml:space="preserve">argeting from Insider Risk. </w:t>
      </w:r>
      <w:r>
        <w:rPr>
          <w:rStyle w:val="FootnoteReference"/>
        </w:rPr>
        <w:footnoteReference w:id="59"/>
      </w:r>
      <w:r>
        <w:t xml:space="preserve"> </w:t>
      </w:r>
      <w:r>
        <w:rPr>
          <w:rStyle w:val="FootnoteReference"/>
        </w:rPr>
        <w:footnoteReference w:id="60"/>
      </w:r>
    </w:p>
    <w:p w:rsidR="006014CF" w:rsidRDefault="00AB79FD">
      <w:pPr>
        <w:pStyle w:val="ListParagraph"/>
        <w:numPr>
          <w:ilvl w:val="0"/>
          <w:numId w:val="11"/>
        </w:numPr>
      </w:pPr>
      <w:r>
        <w:rPr>
          <w:b/>
          <w:bCs/>
        </w:rPr>
        <w:lastRenderedPageBreak/>
        <w:t>Protection policies (preview)</w:t>
      </w:r>
      <w:r>
        <w:t xml:space="preserve"> restrict access to labeled assets across Azure SQL/ADLS/Blob/Microsoft Fabric, binding label semantics to data‑plane authorization. </w:t>
      </w:r>
      <w:r>
        <w:rPr>
          <w:rStyle w:val="FootnoteReference"/>
        </w:rPr>
        <w:footnoteReference w:id="61"/>
      </w:r>
    </w:p>
    <w:p w:rsidR="006014CF" w:rsidRDefault="00AB79FD">
      <w:pPr>
        <w:pStyle w:val="ListParagraph"/>
        <w:numPr>
          <w:ilvl w:val="0"/>
          <w:numId w:val="11"/>
        </w:numPr>
      </w:pPr>
      <w:r>
        <w:rPr>
          <w:b/>
          <w:bCs/>
        </w:rPr>
        <w:t>Data owner policies (preview)</w:t>
      </w:r>
      <w:r>
        <w:t xml:space="preserve"> publish read/modify permissions to Azure Storage/other supported systems from within Purview’s policy app. </w:t>
      </w:r>
      <w:r>
        <w:rPr>
          <w:rStyle w:val="FootnoteReference"/>
        </w:rPr>
        <w:footnoteReference w:id="62"/>
      </w:r>
      <w:r>
        <w:t xml:space="preserve"> </w:t>
      </w:r>
      <w:r>
        <w:rPr>
          <w:rStyle w:val="FootnoteReference"/>
        </w:rPr>
        <w:footnoteReference w:id="63"/>
      </w:r>
    </w:p>
    <w:p w:rsidR="006014CF" w:rsidRDefault="00AB79FD">
      <w:pPr>
        <w:pStyle w:val="Heading3"/>
      </w:pPr>
      <w:r>
        <w:t>4.4 Lineage</w:t>
      </w:r>
    </w:p>
    <w:p w:rsidR="006014CF" w:rsidRDefault="00AB79FD">
      <w:pPr>
        <w:pStyle w:val="ListParagraph"/>
        <w:numPr>
          <w:ilvl w:val="0"/>
          <w:numId w:val="12"/>
        </w:numPr>
      </w:pPr>
      <w:r>
        <w:rPr>
          <w:b/>
          <w:bCs/>
        </w:rPr>
        <w:t>Native lineage</w:t>
      </w:r>
      <w:r>
        <w:t xml:space="preserve"> is collected from processing tools (Data Factory/Synapse/</w:t>
      </w:r>
      <w:proofErr w:type="spellStart"/>
      <w:r>
        <w:t>Databricks</w:t>
      </w:r>
      <w:proofErr w:type="spellEnd"/>
      <w:r>
        <w:t xml:space="preserve">/Power BI/Fabric), enabling impact and root‑cause </w:t>
      </w:r>
      <w:r>
        <w:t xml:space="preserve">analysis. </w:t>
      </w:r>
      <w:r>
        <w:rPr>
          <w:rStyle w:val="FootnoteReference"/>
        </w:rPr>
        <w:footnoteReference w:id="64"/>
      </w:r>
      <w:r>
        <w:t xml:space="preserve"> </w:t>
      </w:r>
      <w:r>
        <w:rPr>
          <w:rStyle w:val="FootnoteReference"/>
        </w:rPr>
        <w:footnoteReference w:id="65"/>
      </w:r>
    </w:p>
    <w:p w:rsidR="006014CF" w:rsidRDefault="00AB79FD">
      <w:pPr>
        <w:pStyle w:val="Heading3"/>
      </w:pPr>
      <w:r>
        <w:t>4.5 Fabric integration path (example)</w:t>
      </w:r>
    </w:p>
    <w:p w:rsidR="006014CF" w:rsidRDefault="00AB79FD">
      <w:pPr>
        <w:pStyle w:val="ListParagraph"/>
        <w:numPr>
          <w:ilvl w:val="0"/>
          <w:numId w:val="13"/>
        </w:numPr>
      </w:pPr>
      <w:r>
        <w:t xml:space="preserve">Register and scan the </w:t>
      </w:r>
      <w:r>
        <w:rPr>
          <w:b/>
          <w:bCs/>
        </w:rPr>
        <w:t>Fabric tenant</w:t>
      </w:r>
      <w:r>
        <w:t xml:space="preserve"> in Purview. </w:t>
      </w:r>
      <w:r>
        <w:rPr>
          <w:rStyle w:val="FootnoteReference"/>
        </w:rPr>
        <w:footnoteReference w:id="66"/>
      </w:r>
    </w:p>
    <w:p w:rsidR="006014CF" w:rsidRDefault="00AB79FD">
      <w:pPr>
        <w:pStyle w:val="ListParagraph"/>
        <w:numPr>
          <w:ilvl w:val="0"/>
          <w:numId w:val="13"/>
        </w:numPr>
      </w:pPr>
      <w:r>
        <w:t>Purview inventories Fabric items (</w:t>
      </w:r>
      <w:proofErr w:type="spellStart"/>
      <w:r>
        <w:t>Lakehouse</w:t>
      </w:r>
      <w:proofErr w:type="spellEnd"/>
      <w:r>
        <w:t xml:space="preserve">, Warehouse, Pipelines, Notebooks, Power BI) and shows </w:t>
      </w:r>
      <w:r>
        <w:rPr>
          <w:b/>
          <w:bCs/>
        </w:rPr>
        <w:t>lineage</w:t>
      </w:r>
      <w:r>
        <w:t xml:space="preserve"> and </w:t>
      </w:r>
      <w:r>
        <w:rPr>
          <w:b/>
          <w:bCs/>
        </w:rPr>
        <w:t>live views</w:t>
      </w:r>
      <w:r>
        <w:t xml:space="preserve"> where supported. </w:t>
      </w:r>
      <w:r>
        <w:rPr>
          <w:rStyle w:val="FootnoteReference"/>
        </w:rPr>
        <w:footnoteReference w:id="67"/>
      </w:r>
    </w:p>
    <w:p w:rsidR="006014CF" w:rsidRDefault="00AB79FD">
      <w:pPr>
        <w:pStyle w:val="ListParagraph"/>
        <w:numPr>
          <w:ilvl w:val="0"/>
          <w:numId w:val="13"/>
        </w:numPr>
      </w:pPr>
      <w:r>
        <w:t xml:space="preserve">Use the </w:t>
      </w:r>
      <w:r>
        <w:rPr>
          <w:b/>
          <w:bCs/>
        </w:rPr>
        <w:t>Purvie</w:t>
      </w:r>
      <w:r>
        <w:rPr>
          <w:b/>
          <w:bCs/>
        </w:rPr>
        <w:t>w hub</w:t>
      </w:r>
      <w:r>
        <w:t xml:space="preserve"> in Fabric for governance insights and quick links to labeling, DLP, and audit. </w:t>
      </w:r>
      <w:r>
        <w:rPr>
          <w:rStyle w:val="FootnoteReference"/>
        </w:rPr>
        <w:footnoteReference w:id="68"/>
      </w:r>
    </w:p>
    <w:p w:rsidR="006014CF" w:rsidRDefault="006014CF">
      <w:pPr>
        <w:pBdr>
          <w:top w:val="single" w:sz="12" w:space="0" w:color="auto"/>
        </w:pBdr>
        <w:spacing w:after="0"/>
      </w:pPr>
    </w:p>
    <w:p w:rsidR="006014CF" w:rsidRDefault="00AB79FD">
      <w:pPr>
        <w:pStyle w:val="Heading2"/>
      </w:pPr>
      <w:r>
        <w:t>5) Reference architecture (text diagram)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014CF">
        <w:tc>
          <w:tcPr>
            <w:tcW w:w="9016" w:type="dxa"/>
            <w:vAlign w:val="center"/>
          </w:tcPr>
          <w:p w:rsidR="006014CF" w:rsidRDefault="00AB79FD">
            <w:pPr>
              <w:spacing w:after="0"/>
            </w:pPr>
            <w:r>
              <w:rPr>
                <w:color w:val="707070"/>
              </w:rPr>
              <w:t xml:space="preserve">1     </w:t>
            </w:r>
            <w:r>
              <w:rPr>
                <w:rFonts w:ascii="Consolas" w:eastAsia="Consolas" w:hAnsi="Consolas" w:cs="Consolas"/>
              </w:rPr>
              <w:t>+---------------- Customers / Employees / Apps / Agents (incl. Copilot) ----------------+</w:t>
            </w:r>
          </w:p>
          <w:p w:rsidR="006014CF" w:rsidRDefault="00AB79FD">
            <w:pPr>
              <w:spacing w:after="0"/>
            </w:pPr>
            <w:r>
              <w:rPr>
                <w:color w:val="707070"/>
              </w:rPr>
              <w:t xml:space="preserve">2     </w:t>
            </w:r>
            <w:r>
              <w:rPr>
                <w:rFonts w:ascii="Consolas" w:eastAsia="Consolas" w:hAnsi="Consolas" w:cs="Consolas"/>
              </w:rPr>
              <w:t xml:space="preserve">        |                </w:t>
            </w:r>
            <w:r>
              <w:rPr>
                <w:rFonts w:ascii="Consolas" w:eastAsia="Consolas" w:hAnsi="Consolas" w:cs="Consolas"/>
              </w:rPr>
              <w:t xml:space="preserve">           |                                 |</w:t>
            </w:r>
          </w:p>
          <w:p w:rsidR="006014CF" w:rsidRDefault="00AB79FD">
            <w:pPr>
              <w:spacing w:after="0"/>
            </w:pPr>
            <w:r>
              <w:rPr>
                <w:color w:val="707070"/>
              </w:rPr>
              <w:t xml:space="preserve">3     </w:t>
            </w:r>
            <w:r>
              <w:rPr>
                <w:rFonts w:ascii="Consolas" w:eastAsia="Consolas" w:hAnsi="Consolas" w:cs="Consolas"/>
              </w:rPr>
              <w:t xml:space="preserve">        v                           </w:t>
            </w:r>
            <w:proofErr w:type="spellStart"/>
            <w:r>
              <w:rPr>
                <w:rFonts w:ascii="Consolas" w:eastAsia="Consolas" w:hAnsi="Consolas" w:cs="Consolas"/>
              </w:rPr>
              <w:t>v</w:t>
            </w:r>
            <w:proofErr w:type="spellEnd"/>
            <w:r>
              <w:rPr>
                <w:rFonts w:ascii="Consolas" w:eastAsia="Consolas" w:hAnsi="Consolas" w:cs="Consolas"/>
              </w:rPr>
              <w:t xml:space="preserve">                                 </w:t>
            </w:r>
            <w:proofErr w:type="spellStart"/>
            <w:r>
              <w:rPr>
                <w:rFonts w:ascii="Consolas" w:eastAsia="Consolas" w:hAnsi="Consolas" w:cs="Consolas"/>
              </w:rPr>
              <w:t>v</w:t>
            </w:r>
            <w:proofErr w:type="spellEnd"/>
          </w:p>
          <w:p w:rsidR="006014CF" w:rsidRDefault="00AB79FD">
            <w:pPr>
              <w:spacing w:after="0"/>
            </w:pPr>
            <w:r>
              <w:rPr>
                <w:color w:val="707070"/>
              </w:rPr>
              <w:t xml:space="preserve">4     </w:t>
            </w:r>
            <w:r>
              <w:rPr>
                <w:rFonts w:ascii="Consolas" w:eastAsia="Consolas" w:hAnsi="Consolas" w:cs="Consolas"/>
              </w:rPr>
              <w:t xml:space="preserve">  Microsoft 365 apps          Azure &amp; On‑</w:t>
            </w:r>
            <w:proofErr w:type="spellStart"/>
            <w:r>
              <w:rPr>
                <w:rFonts w:ascii="Consolas" w:eastAsia="Consolas" w:hAnsi="Consolas" w:cs="Consolas"/>
              </w:rPr>
              <w:t>prem</w:t>
            </w:r>
            <w:proofErr w:type="spellEnd"/>
            <w:r>
              <w:rPr>
                <w:rFonts w:ascii="Consolas" w:eastAsia="Consolas" w:hAnsi="Consolas" w:cs="Consolas"/>
              </w:rPr>
              <w:t xml:space="preserve"> data              Microsoft Fabric (</w:t>
            </w:r>
            <w:proofErr w:type="spellStart"/>
            <w:r>
              <w:rPr>
                <w:rFonts w:ascii="Consolas" w:eastAsia="Consolas" w:hAnsi="Consolas" w:cs="Consolas"/>
              </w:rPr>
              <w:t>OneLake</w:t>
            </w:r>
            <w:proofErr w:type="spellEnd"/>
            <w:r>
              <w:rPr>
                <w:rFonts w:ascii="Consolas" w:eastAsia="Consolas" w:hAnsi="Consolas" w:cs="Consolas"/>
              </w:rPr>
              <w:t>)</w:t>
            </w:r>
          </w:p>
          <w:p w:rsidR="006014CF" w:rsidRDefault="00AB79FD">
            <w:pPr>
              <w:spacing w:after="0"/>
            </w:pPr>
            <w:r>
              <w:rPr>
                <w:color w:val="707070"/>
              </w:rPr>
              <w:lastRenderedPageBreak/>
              <w:t xml:space="preserve">5     </w:t>
            </w:r>
            <w:r>
              <w:rPr>
                <w:rFonts w:ascii="Consolas" w:eastAsia="Consolas" w:hAnsi="Consolas" w:cs="Consolas"/>
              </w:rPr>
              <w:t xml:space="preserve"> (Exchange, SharePoint,      (SQL, Synapse, ADLS/Blob,         (</w:t>
            </w:r>
            <w:proofErr w:type="spellStart"/>
            <w:r>
              <w:rPr>
                <w:rFonts w:ascii="Consolas" w:eastAsia="Consolas" w:hAnsi="Consolas" w:cs="Consolas"/>
              </w:rPr>
              <w:t>Lakehouse</w:t>
            </w:r>
            <w:proofErr w:type="spellEnd"/>
            <w:r>
              <w:rPr>
                <w:rFonts w:ascii="Consolas" w:eastAsia="Consolas" w:hAnsi="Consolas" w:cs="Consolas"/>
              </w:rPr>
              <w:t>, Warehouse,</w:t>
            </w:r>
          </w:p>
          <w:p w:rsidR="006014CF" w:rsidRDefault="00AB79FD">
            <w:pPr>
              <w:spacing w:after="0"/>
            </w:pPr>
            <w:r>
              <w:rPr>
                <w:color w:val="707070"/>
              </w:rPr>
              <w:t xml:space="preserve">6     </w:t>
            </w:r>
            <w:r>
              <w:rPr>
                <w:rFonts w:ascii="Consolas" w:eastAsia="Consolas" w:hAnsi="Consolas" w:cs="Consolas"/>
              </w:rPr>
              <w:t xml:space="preserve">  </w:t>
            </w:r>
            <w:proofErr w:type="spellStart"/>
            <w:r>
              <w:rPr>
                <w:rFonts w:ascii="Consolas" w:eastAsia="Consolas" w:hAnsi="Consolas" w:cs="Consolas"/>
              </w:rPr>
              <w:t>OneDrive</w:t>
            </w:r>
            <w:proofErr w:type="spellEnd"/>
            <w:r>
              <w:rPr>
                <w:rFonts w:ascii="Consolas" w:eastAsia="Consolas" w:hAnsi="Consolas" w:cs="Consolas"/>
              </w:rPr>
              <w:t xml:space="preserve">, Teams, etc.)      </w:t>
            </w:r>
            <w:proofErr w:type="spellStart"/>
            <w:r>
              <w:rPr>
                <w:rFonts w:ascii="Consolas" w:eastAsia="Consolas" w:hAnsi="Consolas" w:cs="Consolas"/>
              </w:rPr>
              <w:t>Databricks</w:t>
            </w:r>
            <w:proofErr w:type="spellEnd"/>
            <w:r>
              <w:rPr>
                <w:rFonts w:ascii="Consolas" w:eastAsia="Consolas" w:hAnsi="Consolas" w:cs="Consolas"/>
              </w:rPr>
              <w:t>, Oracle, etc.)         Pipelines, Power BI)</w:t>
            </w:r>
          </w:p>
          <w:p w:rsidR="006014CF" w:rsidRDefault="00AB79FD">
            <w:pPr>
              <w:spacing w:after="0"/>
            </w:pPr>
            <w:r>
              <w:rPr>
                <w:color w:val="707070"/>
              </w:rPr>
              <w:t xml:space="preserve">7     </w:t>
            </w:r>
          </w:p>
          <w:p w:rsidR="006014CF" w:rsidRDefault="00AB79FD">
            <w:pPr>
              <w:spacing w:after="0"/>
            </w:pPr>
            <w:r>
              <w:rPr>
                <w:color w:val="707070"/>
              </w:rPr>
              <w:t xml:space="preserve">8     </w:t>
            </w:r>
            <w:r>
              <w:rPr>
                <w:rFonts w:ascii="Consolas" w:eastAsia="Consolas" w:hAnsi="Consolas" w:cs="Consolas"/>
              </w:rPr>
              <w:t xml:space="preserve">                                      |  (scans via Integration Ru</w:t>
            </w:r>
            <w:r>
              <w:rPr>
                <w:rFonts w:ascii="Consolas" w:eastAsia="Consolas" w:hAnsi="Consolas" w:cs="Consolas"/>
              </w:rPr>
              <w:t>ntime)</w:t>
            </w:r>
          </w:p>
          <w:p w:rsidR="006014CF" w:rsidRDefault="00AB79FD">
            <w:pPr>
              <w:spacing w:after="0"/>
            </w:pPr>
            <w:r>
              <w:rPr>
                <w:color w:val="707070"/>
              </w:rPr>
              <w:t xml:space="preserve">9     </w:t>
            </w:r>
            <w:r>
              <w:rPr>
                <w:rFonts w:ascii="Consolas" w:eastAsia="Consolas" w:hAnsi="Consolas" w:cs="Consolas"/>
              </w:rPr>
              <w:t xml:space="preserve">                                      v</w:t>
            </w:r>
          </w:p>
          <w:p w:rsidR="006014CF" w:rsidRDefault="00AB79FD">
            <w:pPr>
              <w:spacing w:after="0"/>
            </w:pPr>
            <w:r>
              <w:rPr>
                <w:color w:val="707070"/>
              </w:rPr>
              <w:t xml:space="preserve">10     </w:t>
            </w:r>
            <w:r>
              <w:rPr>
                <w:rFonts w:ascii="Consolas" w:eastAsia="Consolas" w:hAnsi="Consolas" w:cs="Consolas"/>
              </w:rPr>
              <w:t xml:space="preserve">                         +-------------------------------+</w:t>
            </w:r>
          </w:p>
          <w:p w:rsidR="006014CF" w:rsidRDefault="00AB79FD">
            <w:pPr>
              <w:spacing w:after="0"/>
            </w:pPr>
            <w:r>
              <w:rPr>
                <w:color w:val="707070"/>
              </w:rPr>
              <w:t xml:space="preserve">11     </w:t>
            </w:r>
            <w:r>
              <w:rPr>
                <w:rFonts w:ascii="Consolas" w:eastAsia="Consolas" w:hAnsi="Consolas" w:cs="Consolas"/>
              </w:rPr>
              <w:t xml:space="preserve">                         |     Microsoft Purview Data Map|</w:t>
            </w:r>
          </w:p>
          <w:p w:rsidR="006014CF" w:rsidRDefault="00AB79FD">
            <w:pPr>
              <w:spacing w:after="0"/>
            </w:pPr>
            <w:r>
              <w:rPr>
                <w:color w:val="707070"/>
              </w:rPr>
              <w:t xml:space="preserve">12     </w:t>
            </w:r>
            <w:r>
              <w:rPr>
                <w:rFonts w:ascii="Consolas" w:eastAsia="Consolas" w:hAnsi="Consolas" w:cs="Consolas"/>
              </w:rPr>
              <w:t xml:space="preserve">                         </w:t>
            </w:r>
            <w:proofErr w:type="gramStart"/>
            <w:r>
              <w:rPr>
                <w:rFonts w:ascii="Consolas" w:eastAsia="Consolas" w:hAnsi="Consolas" w:cs="Consolas"/>
              </w:rPr>
              <w:t>|  (</w:t>
            </w:r>
            <w:proofErr w:type="gramEnd"/>
            <w:r>
              <w:rPr>
                <w:rFonts w:ascii="Consolas" w:eastAsia="Consolas" w:hAnsi="Consolas" w:cs="Consolas"/>
              </w:rPr>
              <w:t xml:space="preserve">metadata, lineage, </w:t>
            </w:r>
            <w:proofErr w:type="spellStart"/>
            <w:r>
              <w:rPr>
                <w:rFonts w:ascii="Consolas" w:eastAsia="Consolas" w:hAnsi="Consolas" w:cs="Consolas"/>
              </w:rPr>
              <w:t>classif</w:t>
            </w:r>
            <w:proofErr w:type="spellEnd"/>
            <w:r>
              <w:rPr>
                <w:rFonts w:ascii="Consolas" w:eastAsia="Consolas" w:hAnsi="Consolas" w:cs="Consolas"/>
              </w:rPr>
              <w:t>.)|</w:t>
            </w:r>
          </w:p>
          <w:p w:rsidR="006014CF" w:rsidRDefault="00AB79FD">
            <w:pPr>
              <w:spacing w:after="0"/>
            </w:pPr>
            <w:r>
              <w:rPr>
                <w:color w:val="707070"/>
              </w:rPr>
              <w:t xml:space="preserve">13   </w:t>
            </w:r>
            <w:r>
              <w:rPr>
                <w:color w:val="707070"/>
              </w:rPr>
              <w:t xml:space="preserve">  </w:t>
            </w:r>
            <w:r>
              <w:rPr>
                <w:rFonts w:ascii="Consolas" w:eastAsia="Consolas" w:hAnsi="Consolas" w:cs="Consolas"/>
              </w:rPr>
              <w:t xml:space="preserve">                         +-------------------------------+</w:t>
            </w:r>
          </w:p>
          <w:p w:rsidR="006014CF" w:rsidRDefault="00AB79FD">
            <w:pPr>
              <w:spacing w:after="0"/>
            </w:pPr>
            <w:r>
              <w:rPr>
                <w:color w:val="707070"/>
              </w:rPr>
              <w:t xml:space="preserve">14     </w:t>
            </w:r>
            <w:r>
              <w:rPr>
                <w:rFonts w:ascii="Consolas" w:eastAsia="Consolas" w:hAnsi="Consolas" w:cs="Consolas"/>
              </w:rPr>
              <w:t xml:space="preserve">                                       |</w:t>
            </w:r>
          </w:p>
          <w:p w:rsidR="006014CF" w:rsidRDefault="00AB79FD">
            <w:pPr>
              <w:spacing w:after="0"/>
            </w:pPr>
            <w:r>
              <w:rPr>
                <w:color w:val="707070"/>
              </w:rPr>
              <w:t xml:space="preserve">15     </w:t>
            </w:r>
            <w:r>
              <w:rPr>
                <w:rFonts w:ascii="Consolas" w:eastAsia="Consolas" w:hAnsi="Consolas" w:cs="Consolas"/>
              </w:rPr>
              <w:t xml:space="preserve">                                       v</w:t>
            </w:r>
          </w:p>
          <w:p w:rsidR="006014CF" w:rsidRDefault="00AB79FD">
            <w:pPr>
              <w:spacing w:after="0"/>
            </w:pPr>
            <w:r>
              <w:rPr>
                <w:color w:val="707070"/>
              </w:rPr>
              <w:t xml:space="preserve">16     </w:t>
            </w:r>
            <w:r>
              <w:rPr>
                <w:rFonts w:ascii="Consolas" w:eastAsia="Consolas" w:hAnsi="Consolas" w:cs="Consolas"/>
              </w:rPr>
              <w:t xml:space="preserve">                         +-------------------------------+</w:t>
            </w:r>
          </w:p>
          <w:p w:rsidR="006014CF" w:rsidRDefault="00AB79FD">
            <w:pPr>
              <w:spacing w:after="0"/>
            </w:pPr>
            <w:r>
              <w:rPr>
                <w:color w:val="707070"/>
              </w:rPr>
              <w:t xml:space="preserve">17     </w:t>
            </w:r>
            <w:r>
              <w:rPr>
                <w:rFonts w:ascii="Consolas" w:eastAsia="Consolas" w:hAnsi="Consolas" w:cs="Consolas"/>
              </w:rPr>
              <w:t xml:space="preserve">                         |</w:t>
            </w:r>
            <w:r>
              <w:rPr>
                <w:rFonts w:ascii="Consolas" w:eastAsia="Consolas" w:hAnsi="Consolas" w:cs="Consolas"/>
              </w:rPr>
              <w:t xml:space="preserve">  Microsoft Purview Unified    |</w:t>
            </w:r>
          </w:p>
          <w:p w:rsidR="006014CF" w:rsidRDefault="00AB79FD">
            <w:pPr>
              <w:spacing w:after="0"/>
            </w:pPr>
            <w:r>
              <w:rPr>
                <w:color w:val="707070"/>
              </w:rPr>
              <w:t xml:space="preserve">18     </w:t>
            </w:r>
            <w:r>
              <w:rPr>
                <w:rFonts w:ascii="Consolas" w:eastAsia="Consolas" w:hAnsi="Consolas" w:cs="Consolas"/>
              </w:rPr>
              <w:t xml:space="preserve">                         |  Catalog (search, </w:t>
            </w:r>
            <w:proofErr w:type="spellStart"/>
            <w:r>
              <w:rPr>
                <w:rFonts w:ascii="Consolas" w:eastAsia="Consolas" w:hAnsi="Consolas" w:cs="Consolas"/>
              </w:rPr>
              <w:t>curation</w:t>
            </w:r>
            <w:proofErr w:type="spellEnd"/>
            <w:r>
              <w:rPr>
                <w:rFonts w:ascii="Consolas" w:eastAsia="Consolas" w:hAnsi="Consolas" w:cs="Consolas"/>
              </w:rPr>
              <w:t>,   |</w:t>
            </w:r>
          </w:p>
          <w:p w:rsidR="006014CF" w:rsidRDefault="00AB79FD">
            <w:pPr>
              <w:spacing w:after="0"/>
            </w:pPr>
            <w:r>
              <w:rPr>
                <w:color w:val="707070"/>
              </w:rPr>
              <w:t xml:space="preserve">19     </w:t>
            </w:r>
            <w:r>
              <w:rPr>
                <w:rFonts w:ascii="Consolas" w:eastAsia="Consolas" w:hAnsi="Consolas" w:cs="Consolas"/>
              </w:rPr>
              <w:t xml:space="preserve">                         |  glossary, quality, domains)  |</w:t>
            </w:r>
          </w:p>
          <w:p w:rsidR="006014CF" w:rsidRDefault="00AB79FD">
            <w:pPr>
              <w:spacing w:after="0"/>
            </w:pPr>
            <w:r>
              <w:rPr>
                <w:color w:val="707070"/>
              </w:rPr>
              <w:t xml:space="preserve">20     </w:t>
            </w:r>
            <w:r>
              <w:rPr>
                <w:rFonts w:ascii="Consolas" w:eastAsia="Consolas" w:hAnsi="Consolas" w:cs="Consolas"/>
              </w:rPr>
              <w:t xml:space="preserve">                         +-------------------------------+</w:t>
            </w:r>
          </w:p>
          <w:p w:rsidR="006014CF" w:rsidRDefault="00AB79FD">
            <w:pPr>
              <w:spacing w:after="0"/>
            </w:pPr>
            <w:r>
              <w:rPr>
                <w:color w:val="707070"/>
              </w:rPr>
              <w:t xml:space="preserve">21     </w:t>
            </w:r>
            <w:r>
              <w:rPr>
                <w:rFonts w:ascii="Consolas" w:eastAsia="Consolas" w:hAnsi="Consolas" w:cs="Consolas"/>
              </w:rPr>
              <w:t xml:space="preserve">                                       |</w:t>
            </w:r>
          </w:p>
          <w:p w:rsidR="006014CF" w:rsidRDefault="00AB79FD">
            <w:pPr>
              <w:spacing w:after="0"/>
            </w:pPr>
            <w:r>
              <w:rPr>
                <w:color w:val="707070"/>
              </w:rPr>
              <w:t xml:space="preserve">22     </w:t>
            </w:r>
            <w:r>
              <w:rPr>
                <w:rFonts w:ascii="Consolas" w:eastAsia="Consolas" w:hAnsi="Consolas" w:cs="Consolas"/>
              </w:rPr>
              <w:t xml:space="preserve">                    +------------------+------------------+</w:t>
            </w:r>
          </w:p>
          <w:p w:rsidR="006014CF" w:rsidRDefault="00AB79FD">
            <w:pPr>
              <w:spacing w:after="0"/>
            </w:pPr>
            <w:r>
              <w:rPr>
                <w:color w:val="707070"/>
              </w:rPr>
              <w:t xml:space="preserve">23     </w:t>
            </w:r>
            <w:r>
              <w:rPr>
                <w:rFonts w:ascii="Consolas" w:eastAsia="Consolas" w:hAnsi="Consolas" w:cs="Consolas"/>
              </w:rPr>
              <w:t xml:space="preserve">                    |                                     |</w:t>
            </w:r>
          </w:p>
          <w:p w:rsidR="006014CF" w:rsidRDefault="00AB79FD">
            <w:pPr>
              <w:spacing w:after="0"/>
            </w:pPr>
            <w:r>
              <w:rPr>
                <w:color w:val="707070"/>
              </w:rPr>
              <w:t xml:space="preserve">24     </w:t>
            </w:r>
            <w:r>
              <w:rPr>
                <w:rFonts w:ascii="Consolas" w:eastAsia="Consolas" w:hAnsi="Consolas" w:cs="Consolas"/>
              </w:rPr>
              <w:t xml:space="preserve">                    v                                     </w:t>
            </w:r>
            <w:proofErr w:type="spellStart"/>
            <w:r>
              <w:rPr>
                <w:rFonts w:ascii="Consolas" w:eastAsia="Consolas" w:hAnsi="Consolas" w:cs="Consolas"/>
              </w:rPr>
              <w:t>v</w:t>
            </w:r>
            <w:proofErr w:type="spellEnd"/>
          </w:p>
          <w:p w:rsidR="006014CF" w:rsidRDefault="00AB79FD">
            <w:pPr>
              <w:spacing w:after="0"/>
            </w:pPr>
            <w:r>
              <w:rPr>
                <w:color w:val="707070"/>
              </w:rPr>
              <w:t xml:space="preserve">25     </w:t>
            </w:r>
            <w:r>
              <w:rPr>
                <w:rFonts w:ascii="Consolas" w:eastAsia="Consolas" w:hAnsi="Consolas" w:cs="Consolas"/>
              </w:rPr>
              <w:t xml:space="preserve">       </w:t>
            </w:r>
            <w:r>
              <w:rPr>
                <w:rFonts w:ascii="Consolas" w:eastAsia="Consolas" w:hAnsi="Consolas" w:cs="Consolas"/>
              </w:rPr>
              <w:t xml:space="preserve">  Policies &amp; Labels (Purview portal)      Risk &amp; Compliance (Purview portal)</w:t>
            </w:r>
          </w:p>
          <w:p w:rsidR="006014CF" w:rsidRDefault="00AB79FD">
            <w:pPr>
              <w:spacing w:after="0"/>
            </w:pPr>
            <w:r>
              <w:rPr>
                <w:color w:val="707070"/>
              </w:rPr>
              <w:t xml:space="preserve">26     </w:t>
            </w:r>
            <w:r>
              <w:rPr>
                <w:rFonts w:ascii="Consolas" w:eastAsia="Consolas" w:hAnsi="Consolas" w:cs="Consolas"/>
              </w:rPr>
              <w:t xml:space="preserve">         - Sensitivity labels (encryption)       - Data Lifecycle &amp; Records</w:t>
            </w:r>
          </w:p>
          <w:p w:rsidR="006014CF" w:rsidRDefault="00AB79FD">
            <w:pPr>
              <w:spacing w:after="0"/>
            </w:pPr>
            <w:r>
              <w:rPr>
                <w:color w:val="707070"/>
              </w:rPr>
              <w:t xml:space="preserve">27     </w:t>
            </w:r>
            <w:r>
              <w:rPr>
                <w:rFonts w:ascii="Consolas" w:eastAsia="Consolas" w:hAnsi="Consolas" w:cs="Consolas"/>
              </w:rPr>
              <w:t xml:space="preserve">         - DLP (apps, devices, </w:t>
            </w:r>
            <w:proofErr w:type="spellStart"/>
            <w:r>
              <w:rPr>
                <w:rFonts w:ascii="Consolas" w:eastAsia="Consolas" w:hAnsi="Consolas" w:cs="Consolas"/>
              </w:rPr>
              <w:t>SaaS</w:t>
            </w:r>
            <w:proofErr w:type="spellEnd"/>
            <w:r>
              <w:rPr>
                <w:rFonts w:ascii="Consolas" w:eastAsia="Consolas" w:hAnsi="Consolas" w:cs="Consolas"/>
              </w:rPr>
              <w:t>)             - eDiscovery (</w:t>
            </w:r>
            <w:proofErr w:type="spellStart"/>
            <w:r>
              <w:rPr>
                <w:rFonts w:ascii="Consolas" w:eastAsia="Consolas" w:hAnsi="Consolas" w:cs="Consolas"/>
              </w:rPr>
              <w:t>Std</w:t>
            </w:r>
            <w:proofErr w:type="spellEnd"/>
            <w:r>
              <w:rPr>
                <w:rFonts w:ascii="Consolas" w:eastAsia="Consolas" w:hAnsi="Consolas" w:cs="Consolas"/>
              </w:rPr>
              <w:t>/Premium)</w:t>
            </w:r>
          </w:p>
          <w:p w:rsidR="006014CF" w:rsidRDefault="00AB79FD">
            <w:pPr>
              <w:spacing w:after="0"/>
            </w:pPr>
            <w:r>
              <w:rPr>
                <w:color w:val="707070"/>
              </w:rPr>
              <w:t xml:space="preserve">28     </w:t>
            </w:r>
            <w:r>
              <w:rPr>
                <w:rFonts w:ascii="Consolas" w:eastAsia="Consolas" w:hAnsi="Consolas" w:cs="Consolas"/>
              </w:rPr>
              <w:t xml:space="preserve">      </w:t>
            </w:r>
            <w:r>
              <w:rPr>
                <w:rFonts w:ascii="Consolas" w:eastAsia="Consolas" w:hAnsi="Consolas" w:cs="Consolas"/>
              </w:rPr>
              <w:t xml:space="preserve">   - Adaptive Protection (Insider Risk)     - Audit</w:t>
            </w:r>
          </w:p>
          <w:p w:rsidR="006014CF" w:rsidRDefault="00AB79FD">
            <w:pPr>
              <w:spacing w:after="0"/>
            </w:pPr>
            <w:r>
              <w:rPr>
                <w:color w:val="707070"/>
              </w:rPr>
              <w:t xml:space="preserve">29     </w:t>
            </w:r>
            <w:r>
              <w:rPr>
                <w:rFonts w:ascii="Consolas" w:eastAsia="Consolas" w:hAnsi="Consolas" w:cs="Consolas"/>
              </w:rPr>
              <w:t xml:space="preserve">         - Data owner / Protection policies</w:t>
            </w:r>
          </w:p>
          <w:p w:rsidR="006014CF" w:rsidRDefault="00AB79FD">
            <w:pPr>
              <w:spacing w:after="0"/>
            </w:pPr>
            <w:r>
              <w:rPr>
                <w:color w:val="707070"/>
              </w:rPr>
              <w:t xml:space="preserve">30     </w:t>
            </w:r>
            <w:r>
              <w:rPr>
                <w:rFonts w:ascii="Consolas" w:eastAsia="Consolas" w:hAnsi="Consolas" w:cs="Consolas"/>
              </w:rPr>
              <w:t xml:space="preserve">                    |                                     |</w:t>
            </w:r>
          </w:p>
          <w:p w:rsidR="006014CF" w:rsidRDefault="00AB79FD">
            <w:pPr>
              <w:spacing w:after="0"/>
            </w:pPr>
            <w:r>
              <w:rPr>
                <w:color w:val="707070"/>
              </w:rPr>
              <w:t xml:space="preserve">31     </w:t>
            </w:r>
            <w:r>
              <w:rPr>
                <w:rFonts w:ascii="Consolas" w:eastAsia="Consolas" w:hAnsi="Consolas" w:cs="Consolas"/>
              </w:rPr>
              <w:t xml:space="preserve">                    +------------------+------------------+</w:t>
            </w:r>
          </w:p>
          <w:p w:rsidR="006014CF" w:rsidRDefault="00AB79FD">
            <w:pPr>
              <w:spacing w:after="0"/>
            </w:pPr>
            <w:r>
              <w:rPr>
                <w:color w:val="707070"/>
              </w:rPr>
              <w:t xml:space="preserve">32     </w:t>
            </w:r>
            <w:r>
              <w:rPr>
                <w:rFonts w:ascii="Consolas" w:eastAsia="Consolas" w:hAnsi="Consolas" w:cs="Consolas"/>
              </w:rPr>
              <w:t xml:space="preserve">            </w:t>
            </w:r>
            <w:r>
              <w:rPr>
                <w:rFonts w:ascii="Consolas" w:eastAsia="Consolas" w:hAnsi="Consolas" w:cs="Consolas"/>
              </w:rPr>
              <w:t xml:space="preserve">                           v</w:t>
            </w:r>
          </w:p>
          <w:p w:rsidR="006014CF" w:rsidRDefault="00AB79FD">
            <w:pPr>
              <w:spacing w:after="0"/>
            </w:pPr>
            <w:r>
              <w:rPr>
                <w:color w:val="707070"/>
              </w:rPr>
              <w:t xml:space="preserve">33     </w:t>
            </w:r>
            <w:r>
              <w:rPr>
                <w:rFonts w:ascii="Consolas" w:eastAsia="Consolas" w:hAnsi="Consolas" w:cs="Consolas"/>
              </w:rPr>
              <w:t xml:space="preserve">             Enforced across Microsoft 365, Azure services, Fabric, endpoints</w:t>
            </w:r>
          </w:p>
        </w:tc>
      </w:tr>
    </w:tbl>
    <w:p w:rsidR="006014CF" w:rsidRDefault="00AB79FD">
      <w:r>
        <w:lastRenderedPageBreak/>
        <w:t xml:space="preserve">The single </w:t>
      </w:r>
      <w:r>
        <w:rPr>
          <w:b/>
          <w:bCs/>
        </w:rPr>
        <w:t>Purview portal</w:t>
      </w:r>
      <w:r>
        <w:t xml:space="preserve"> provides role‑based access, settings, and consolidated navigation for all these capabilities. </w:t>
      </w:r>
      <w:r>
        <w:rPr>
          <w:rStyle w:val="FootnoteReference"/>
        </w:rPr>
        <w:footnoteReference w:id="69"/>
      </w:r>
    </w:p>
    <w:p w:rsidR="006014CF" w:rsidRDefault="006014CF">
      <w:pPr>
        <w:pBdr>
          <w:top w:val="single" w:sz="12" w:space="0" w:color="auto"/>
        </w:pBdr>
        <w:spacing w:after="0"/>
      </w:pPr>
    </w:p>
    <w:p w:rsidR="006014CF" w:rsidRDefault="00AB79FD">
      <w:pPr>
        <w:pStyle w:val="Heading2"/>
      </w:pPr>
      <w:r>
        <w:t>6) Getting started (practical roadmap)</w:t>
      </w:r>
    </w:p>
    <w:p w:rsidR="006014CF" w:rsidRDefault="00AB79FD">
      <w:pPr>
        <w:pStyle w:val="ListParagraph"/>
        <w:numPr>
          <w:ilvl w:val="0"/>
          <w:numId w:val="14"/>
        </w:numPr>
      </w:pPr>
      <w:r>
        <w:rPr>
          <w:b/>
          <w:bCs/>
        </w:rPr>
        <w:t>Stand up the portal &amp; roles</w:t>
      </w:r>
      <w:r>
        <w:t xml:space="preserve"> – access the </w:t>
      </w:r>
      <w:r>
        <w:rPr>
          <w:b/>
          <w:bCs/>
        </w:rPr>
        <w:t>Purview portal</w:t>
      </w:r>
      <w:r>
        <w:t xml:space="preserve"> and assign least‑privilege roles for governance/security/compliance administrators. </w:t>
      </w:r>
      <w:r>
        <w:rPr>
          <w:rStyle w:val="FootnoteReference"/>
        </w:rPr>
        <w:footnoteReference w:id="70"/>
      </w:r>
    </w:p>
    <w:p w:rsidR="006014CF" w:rsidRDefault="00AB79FD">
      <w:pPr>
        <w:pStyle w:val="ListParagraph"/>
        <w:numPr>
          <w:ilvl w:val="0"/>
          <w:numId w:val="14"/>
        </w:numPr>
      </w:pPr>
      <w:r>
        <w:rPr>
          <w:b/>
          <w:bCs/>
        </w:rPr>
        <w:t>Scan priority sources</w:t>
      </w:r>
      <w:r>
        <w:t xml:space="preserve"> – register Azure/M365/on‑</w:t>
      </w:r>
      <w:proofErr w:type="spellStart"/>
      <w:r>
        <w:t>prem</w:t>
      </w:r>
      <w:proofErr w:type="spellEnd"/>
      <w:r>
        <w:t xml:space="preserve"> sources; choose </w:t>
      </w:r>
      <w:r>
        <w:rPr>
          <w:b/>
          <w:bCs/>
        </w:rPr>
        <w:t>Azure I</w:t>
      </w:r>
      <w:r>
        <w:rPr>
          <w:b/>
          <w:bCs/>
        </w:rPr>
        <w:t xml:space="preserve">R / Managed </w:t>
      </w:r>
      <w:proofErr w:type="spellStart"/>
      <w:r>
        <w:rPr>
          <w:b/>
          <w:bCs/>
        </w:rPr>
        <w:t>VNet</w:t>
      </w:r>
      <w:proofErr w:type="spellEnd"/>
      <w:r>
        <w:rPr>
          <w:b/>
          <w:bCs/>
        </w:rPr>
        <w:t xml:space="preserve"> IR / (K8s) SHIR</w:t>
      </w:r>
      <w:r>
        <w:t xml:space="preserve"> based on network needs; authenticate with Managed Identity where possible. </w:t>
      </w:r>
      <w:r>
        <w:rPr>
          <w:rStyle w:val="FootnoteReference"/>
        </w:rPr>
        <w:footnoteReference w:id="71"/>
      </w:r>
      <w:r>
        <w:t xml:space="preserve"> </w:t>
      </w:r>
      <w:r>
        <w:rPr>
          <w:rStyle w:val="FootnoteReference"/>
        </w:rPr>
        <w:footnoteReference w:id="72"/>
      </w:r>
      <w:r>
        <w:t xml:space="preserve"> </w:t>
      </w:r>
      <w:r>
        <w:rPr>
          <w:rStyle w:val="FootnoteReference"/>
        </w:rPr>
        <w:footnoteReference w:id="73"/>
      </w:r>
      <w:r>
        <w:t xml:space="preserve"> </w:t>
      </w:r>
      <w:r>
        <w:rPr>
          <w:rStyle w:val="FootnoteReference"/>
        </w:rPr>
        <w:footnoteReference w:id="74"/>
      </w:r>
    </w:p>
    <w:p w:rsidR="006014CF" w:rsidRDefault="00AB79FD">
      <w:pPr>
        <w:pStyle w:val="ListParagraph"/>
        <w:numPr>
          <w:ilvl w:val="0"/>
          <w:numId w:val="14"/>
        </w:numPr>
      </w:pPr>
      <w:r>
        <w:rPr>
          <w:b/>
          <w:bCs/>
        </w:rPr>
        <w:t>Classify &amp; label</w:t>
      </w:r>
      <w:r>
        <w:t xml:space="preserve"> – enable automated </w:t>
      </w:r>
      <w:r>
        <w:rPr>
          <w:b/>
          <w:bCs/>
        </w:rPr>
        <w:t>classifications</w:t>
      </w:r>
      <w:r>
        <w:t xml:space="preserve"> and define </w:t>
      </w:r>
      <w:r>
        <w:rPr>
          <w:b/>
          <w:bCs/>
        </w:rPr>
        <w:t>sensitivity labels</w:t>
      </w:r>
      <w:r>
        <w:t xml:space="preserve"> that reflect your taxonomy; publish label policies to pilo</w:t>
      </w:r>
      <w:r>
        <w:t xml:space="preserve">t groups. </w:t>
      </w:r>
      <w:r>
        <w:rPr>
          <w:rStyle w:val="FootnoteReference"/>
        </w:rPr>
        <w:footnoteReference w:id="75"/>
      </w:r>
      <w:r>
        <w:t xml:space="preserve"> </w:t>
      </w:r>
      <w:r>
        <w:rPr>
          <w:rStyle w:val="FootnoteReference"/>
        </w:rPr>
        <w:footnoteReference w:id="76"/>
      </w:r>
      <w:r>
        <w:t xml:space="preserve"> </w:t>
      </w:r>
      <w:r>
        <w:rPr>
          <w:rStyle w:val="FootnoteReference"/>
        </w:rPr>
        <w:footnoteReference w:id="77"/>
      </w:r>
    </w:p>
    <w:p w:rsidR="006014CF" w:rsidRDefault="00AB79FD">
      <w:pPr>
        <w:pStyle w:val="ListParagraph"/>
        <w:numPr>
          <w:ilvl w:val="0"/>
          <w:numId w:val="14"/>
        </w:numPr>
      </w:pPr>
      <w:r>
        <w:rPr>
          <w:b/>
          <w:bCs/>
        </w:rPr>
        <w:t>Turn on DLP + Adaptive Protection</w:t>
      </w:r>
      <w:r>
        <w:t xml:space="preserve"> – create DLP policies for M365, endpoints, and apps; integrate </w:t>
      </w:r>
      <w:r>
        <w:rPr>
          <w:b/>
          <w:bCs/>
        </w:rPr>
        <w:t>Insider Risk</w:t>
      </w:r>
      <w:r>
        <w:t xml:space="preserve"> to dynamically tighten controls. </w:t>
      </w:r>
      <w:r>
        <w:rPr>
          <w:rStyle w:val="FootnoteReference"/>
        </w:rPr>
        <w:footnoteReference w:id="78"/>
      </w:r>
      <w:r>
        <w:t xml:space="preserve"> </w:t>
      </w:r>
      <w:r>
        <w:rPr>
          <w:rStyle w:val="FootnoteReference"/>
        </w:rPr>
        <w:footnoteReference w:id="79"/>
      </w:r>
    </w:p>
    <w:p w:rsidR="006014CF" w:rsidRDefault="00AB79FD">
      <w:pPr>
        <w:pStyle w:val="ListParagraph"/>
        <w:numPr>
          <w:ilvl w:val="0"/>
          <w:numId w:val="14"/>
        </w:numPr>
      </w:pPr>
      <w:r>
        <w:rPr>
          <w:b/>
          <w:bCs/>
        </w:rPr>
        <w:t>Lifecycle &amp; records</w:t>
      </w:r>
      <w:r>
        <w:t xml:space="preserve"> – configure retention/records for regulated repositories; align with legal/records stakeholders. </w:t>
      </w:r>
      <w:r>
        <w:rPr>
          <w:rStyle w:val="FootnoteReference"/>
        </w:rPr>
        <w:footnoteReference w:id="80"/>
      </w:r>
    </w:p>
    <w:p w:rsidR="006014CF" w:rsidRDefault="00AB79FD">
      <w:pPr>
        <w:pStyle w:val="ListParagraph"/>
        <w:numPr>
          <w:ilvl w:val="0"/>
          <w:numId w:val="14"/>
        </w:numPr>
      </w:pPr>
      <w:proofErr w:type="gramStart"/>
      <w:r>
        <w:rPr>
          <w:b/>
          <w:bCs/>
        </w:rPr>
        <w:t>eDiscovery</w:t>
      </w:r>
      <w:proofErr w:type="gramEnd"/>
      <w:r>
        <w:t xml:space="preserve"> – create cases, custodians, holds, and review sets in the new eDiscovery experience. </w:t>
      </w:r>
      <w:r>
        <w:rPr>
          <w:rStyle w:val="FootnoteReference"/>
        </w:rPr>
        <w:footnoteReference w:id="81"/>
      </w:r>
    </w:p>
    <w:p w:rsidR="006014CF" w:rsidRDefault="00AB79FD">
      <w:pPr>
        <w:pStyle w:val="ListParagraph"/>
        <w:numPr>
          <w:ilvl w:val="0"/>
          <w:numId w:val="14"/>
        </w:numPr>
      </w:pPr>
      <w:r>
        <w:rPr>
          <w:b/>
          <w:bCs/>
        </w:rPr>
        <w:t>Fabric onboarding (if applicable)</w:t>
      </w:r>
      <w:r>
        <w:t xml:space="preserve"> – register/scan Fabric t</w:t>
      </w:r>
      <w:r>
        <w:t xml:space="preserve">enant; use </w:t>
      </w:r>
      <w:r>
        <w:rPr>
          <w:b/>
          <w:bCs/>
        </w:rPr>
        <w:t>Purview hub</w:t>
      </w:r>
      <w:r>
        <w:t xml:space="preserve">; enable label inheritance and track lineage across </w:t>
      </w:r>
      <w:proofErr w:type="spellStart"/>
      <w:r>
        <w:t>OneLake</w:t>
      </w:r>
      <w:proofErr w:type="spellEnd"/>
      <w:r>
        <w:t xml:space="preserve">. </w:t>
      </w:r>
      <w:r>
        <w:rPr>
          <w:rStyle w:val="FootnoteReference"/>
        </w:rPr>
        <w:footnoteReference w:id="82"/>
      </w:r>
      <w:r>
        <w:t xml:space="preserve"> </w:t>
      </w:r>
      <w:r>
        <w:rPr>
          <w:rStyle w:val="FootnoteReference"/>
        </w:rPr>
        <w:footnoteReference w:id="83"/>
      </w:r>
    </w:p>
    <w:p w:rsidR="006014CF" w:rsidRDefault="00AB79FD">
      <w:pPr>
        <w:pStyle w:val="ListParagraph"/>
        <w:numPr>
          <w:ilvl w:val="0"/>
          <w:numId w:val="14"/>
        </w:numPr>
      </w:pPr>
      <w:r>
        <w:rPr>
          <w:b/>
          <w:bCs/>
        </w:rPr>
        <w:lastRenderedPageBreak/>
        <w:t>Policy enforcement for data‑plane (preview)</w:t>
      </w:r>
      <w:r>
        <w:t xml:space="preserve"> – pilot </w:t>
      </w:r>
      <w:r>
        <w:rPr>
          <w:b/>
          <w:bCs/>
        </w:rPr>
        <w:t>Protection policies</w:t>
      </w:r>
      <w:r>
        <w:t xml:space="preserve"> and </w:t>
      </w:r>
      <w:r>
        <w:rPr>
          <w:b/>
          <w:bCs/>
        </w:rPr>
        <w:t>Data owner policies</w:t>
      </w:r>
      <w:r>
        <w:t xml:space="preserve"> for Azure SQL/Storage/Fabric to restrict access to labeled data. </w:t>
      </w:r>
      <w:r>
        <w:rPr>
          <w:rStyle w:val="FootnoteReference"/>
        </w:rPr>
        <w:footnoteReference w:id="84"/>
      </w:r>
      <w:r>
        <w:t xml:space="preserve"> </w:t>
      </w:r>
      <w:r>
        <w:rPr>
          <w:rStyle w:val="FootnoteReference"/>
        </w:rPr>
        <w:footnoteReference w:id="85"/>
      </w:r>
    </w:p>
    <w:p w:rsidR="006014CF" w:rsidRDefault="00AB79FD">
      <w:pPr>
        <w:pStyle w:val="ListParagraph"/>
        <w:numPr>
          <w:ilvl w:val="0"/>
          <w:numId w:val="14"/>
        </w:numPr>
      </w:pPr>
      <w:r>
        <w:rPr>
          <w:b/>
          <w:bCs/>
        </w:rPr>
        <w:t>Netw</w:t>
      </w:r>
      <w:r>
        <w:rPr>
          <w:b/>
          <w:bCs/>
        </w:rPr>
        <w:t>ork hardening</w:t>
      </w:r>
      <w:r>
        <w:t xml:space="preserve"> – move to private endpoints or managed </w:t>
      </w:r>
      <w:proofErr w:type="spellStart"/>
      <w:r>
        <w:t>VNet</w:t>
      </w:r>
      <w:proofErr w:type="spellEnd"/>
      <w:r>
        <w:t xml:space="preserve"> IR if needed; apply firewall rules and best practices. </w:t>
      </w:r>
      <w:r>
        <w:rPr>
          <w:rStyle w:val="FootnoteReference"/>
        </w:rPr>
        <w:footnoteReference w:id="86"/>
      </w:r>
    </w:p>
    <w:p w:rsidR="006014CF" w:rsidRDefault="00AB79FD">
      <w:pPr>
        <w:pStyle w:val="ListParagraph"/>
        <w:numPr>
          <w:ilvl w:val="0"/>
          <w:numId w:val="14"/>
        </w:numPr>
      </w:pPr>
      <w:r>
        <w:rPr>
          <w:b/>
          <w:bCs/>
        </w:rPr>
        <w:t>Licensing check</w:t>
      </w:r>
      <w:r>
        <w:t xml:space="preserve"> – confirm feature availability and user licensing using the </w:t>
      </w:r>
      <w:r>
        <w:rPr>
          <w:b/>
          <w:bCs/>
        </w:rPr>
        <w:t>Purview service description</w:t>
      </w:r>
      <w:r>
        <w:t xml:space="preserve">. </w:t>
      </w:r>
      <w:r>
        <w:rPr>
          <w:rStyle w:val="FootnoteReference"/>
        </w:rPr>
        <w:footnoteReference w:id="87"/>
      </w:r>
    </w:p>
    <w:p w:rsidR="006014CF" w:rsidRDefault="006014CF">
      <w:pPr>
        <w:pBdr>
          <w:top w:val="single" w:sz="12" w:space="0" w:color="auto"/>
        </w:pBdr>
        <w:spacing w:after="0"/>
      </w:pPr>
    </w:p>
    <w:p w:rsidR="006014CF" w:rsidRDefault="00AB79FD">
      <w:pPr>
        <w:pStyle w:val="Heading2"/>
      </w:pPr>
      <w:r>
        <w:t>7) Governance vs. Security vs. Co</w:t>
      </w:r>
      <w:r>
        <w:t>mpliance (quick distinctions)</w:t>
      </w:r>
    </w:p>
    <w:p w:rsidR="006014CF" w:rsidRDefault="00AB79FD">
      <w:pPr>
        <w:pStyle w:val="ListParagraph"/>
        <w:numPr>
          <w:ilvl w:val="0"/>
          <w:numId w:val="15"/>
        </w:numPr>
      </w:pPr>
      <w:r>
        <w:rPr>
          <w:b/>
          <w:bCs/>
        </w:rPr>
        <w:t>Governance:</w:t>
      </w:r>
      <w:r>
        <w:t xml:space="preserve"> build the </w:t>
      </w:r>
      <w:r>
        <w:rPr>
          <w:b/>
          <w:bCs/>
        </w:rPr>
        <w:t>map &amp; catalog</w:t>
      </w:r>
      <w:r>
        <w:t xml:space="preserve"> (Data Map + Unified Catalog), glossary/policies, lineage, and data health. </w:t>
      </w:r>
      <w:r>
        <w:rPr>
          <w:rStyle w:val="FootnoteReference"/>
        </w:rPr>
        <w:footnoteReference w:id="88"/>
      </w:r>
    </w:p>
    <w:p w:rsidR="006014CF" w:rsidRDefault="00AB79FD">
      <w:pPr>
        <w:pStyle w:val="ListParagraph"/>
        <w:numPr>
          <w:ilvl w:val="0"/>
          <w:numId w:val="15"/>
        </w:numPr>
      </w:pPr>
      <w:r>
        <w:rPr>
          <w:b/>
          <w:bCs/>
        </w:rPr>
        <w:t>Security:</w:t>
      </w:r>
      <w:r>
        <w:t xml:space="preserve"> </w:t>
      </w:r>
      <w:r>
        <w:rPr>
          <w:b/>
          <w:bCs/>
        </w:rPr>
        <w:t>labels, DLP, insider risk, DSPM</w:t>
      </w:r>
      <w:r>
        <w:t xml:space="preserve"> to protect data in motion and at rest across clouds, apps, and devices. </w:t>
      </w:r>
      <w:r>
        <w:rPr>
          <w:rStyle w:val="FootnoteReference"/>
        </w:rPr>
        <w:footnoteReference w:id="89"/>
      </w:r>
      <w:r>
        <w:t xml:space="preserve"> </w:t>
      </w:r>
      <w:r>
        <w:rPr>
          <w:rStyle w:val="FootnoteReference"/>
        </w:rPr>
        <w:footnoteReference w:id="90"/>
      </w:r>
    </w:p>
    <w:p w:rsidR="006014CF" w:rsidRDefault="00AB79FD">
      <w:pPr>
        <w:pStyle w:val="ListParagraph"/>
        <w:numPr>
          <w:ilvl w:val="0"/>
          <w:numId w:val="15"/>
        </w:numPr>
      </w:pPr>
      <w:r>
        <w:rPr>
          <w:b/>
          <w:bCs/>
        </w:rPr>
        <w:t>Compliance:</w:t>
      </w:r>
      <w:r>
        <w:t xml:space="preserve"> </w:t>
      </w:r>
      <w:r>
        <w:rPr>
          <w:b/>
          <w:bCs/>
        </w:rPr>
        <w:t>retention/records, audit, eDiscovery</w:t>
      </w:r>
      <w:r>
        <w:t xml:space="preserve"> to meet regulatory, legal, and investigation needs. </w:t>
      </w:r>
      <w:r>
        <w:rPr>
          <w:rStyle w:val="FootnoteReference"/>
        </w:rPr>
        <w:footnoteReference w:id="91"/>
      </w:r>
      <w:r>
        <w:t xml:space="preserve"> </w:t>
      </w:r>
      <w:r>
        <w:rPr>
          <w:rStyle w:val="FootnoteReference"/>
        </w:rPr>
        <w:footnoteReference w:id="92"/>
      </w:r>
      <w:r>
        <w:t xml:space="preserve"> </w:t>
      </w:r>
      <w:r>
        <w:rPr>
          <w:rStyle w:val="FootnoteReference"/>
        </w:rPr>
        <w:footnoteReference w:id="93"/>
      </w:r>
    </w:p>
    <w:p w:rsidR="006014CF" w:rsidRDefault="006014CF">
      <w:pPr>
        <w:pBdr>
          <w:top w:val="single" w:sz="12" w:space="0" w:color="auto"/>
        </w:pBdr>
        <w:spacing w:after="0"/>
      </w:pPr>
    </w:p>
    <w:p w:rsidR="006014CF" w:rsidRDefault="00AB79FD">
      <w:pPr>
        <w:pStyle w:val="Heading2"/>
      </w:pPr>
      <w:r>
        <w:lastRenderedPageBreak/>
        <w:t>8) Key concepts &amp; terms (cheat‑sheet)</w:t>
      </w:r>
    </w:p>
    <w:p w:rsidR="006014CF" w:rsidRDefault="00AB79FD">
      <w:pPr>
        <w:pStyle w:val="ListParagraph"/>
        <w:numPr>
          <w:ilvl w:val="0"/>
          <w:numId w:val="16"/>
        </w:numPr>
      </w:pPr>
      <w:r>
        <w:rPr>
          <w:b/>
          <w:bCs/>
        </w:rPr>
        <w:t>Data Map / Capacity Unit (CU):</w:t>
      </w:r>
      <w:r>
        <w:t xml:space="preserve"> sc</w:t>
      </w:r>
      <w:r>
        <w:t xml:space="preserve">alable metadata store; each CU includes op throughput + metadata storage. </w:t>
      </w:r>
      <w:r>
        <w:rPr>
          <w:rStyle w:val="FootnoteReference"/>
        </w:rPr>
        <w:footnoteReference w:id="94"/>
      </w:r>
    </w:p>
    <w:p w:rsidR="006014CF" w:rsidRDefault="00AB79FD">
      <w:pPr>
        <w:pStyle w:val="ListParagraph"/>
        <w:numPr>
          <w:ilvl w:val="0"/>
          <w:numId w:val="16"/>
        </w:numPr>
      </w:pPr>
      <w:r>
        <w:rPr>
          <w:b/>
          <w:bCs/>
        </w:rPr>
        <w:t>Unified Catalog:</w:t>
      </w:r>
      <w:r>
        <w:t xml:space="preserve"> end‑user searchable catalog built on Data Map; metadata only, not the data itself. </w:t>
      </w:r>
      <w:r>
        <w:rPr>
          <w:rStyle w:val="FootnoteReference"/>
        </w:rPr>
        <w:footnoteReference w:id="95"/>
      </w:r>
    </w:p>
    <w:p w:rsidR="006014CF" w:rsidRDefault="00AB79FD">
      <w:pPr>
        <w:pStyle w:val="ListParagraph"/>
        <w:numPr>
          <w:ilvl w:val="0"/>
          <w:numId w:val="16"/>
        </w:numPr>
      </w:pPr>
      <w:r>
        <w:rPr>
          <w:b/>
          <w:bCs/>
        </w:rPr>
        <w:t>Classification:</w:t>
      </w:r>
      <w:r>
        <w:t xml:space="preserve"> automated + custom tags (200+ system types) to categorize asse</w:t>
      </w:r>
      <w:r>
        <w:t xml:space="preserve">ts for governance and protection. </w:t>
      </w:r>
      <w:r>
        <w:rPr>
          <w:rStyle w:val="FootnoteReference"/>
        </w:rPr>
        <w:footnoteReference w:id="96"/>
      </w:r>
    </w:p>
    <w:p w:rsidR="006014CF" w:rsidRDefault="00AB79FD">
      <w:pPr>
        <w:pStyle w:val="ListParagraph"/>
        <w:numPr>
          <w:ilvl w:val="0"/>
          <w:numId w:val="16"/>
        </w:numPr>
      </w:pPr>
      <w:r>
        <w:rPr>
          <w:b/>
          <w:bCs/>
        </w:rPr>
        <w:t>Sensitivity labels:</w:t>
      </w:r>
      <w:r>
        <w:t xml:space="preserve"> reusable labels that apply encryption/markings and integrate with DLP across services. </w:t>
      </w:r>
      <w:r>
        <w:rPr>
          <w:rStyle w:val="FootnoteReference"/>
        </w:rPr>
        <w:footnoteReference w:id="97"/>
      </w:r>
      <w:r>
        <w:t xml:space="preserve"> </w:t>
      </w:r>
      <w:r>
        <w:rPr>
          <w:rStyle w:val="FootnoteReference"/>
        </w:rPr>
        <w:footnoteReference w:id="98"/>
      </w:r>
    </w:p>
    <w:p w:rsidR="006014CF" w:rsidRDefault="00AB79FD">
      <w:pPr>
        <w:pStyle w:val="ListParagraph"/>
        <w:numPr>
          <w:ilvl w:val="0"/>
          <w:numId w:val="16"/>
        </w:numPr>
      </w:pPr>
      <w:r>
        <w:rPr>
          <w:b/>
          <w:bCs/>
        </w:rPr>
        <w:t>Trainable classifiers:</w:t>
      </w:r>
      <w:r>
        <w:t xml:space="preserve"> ML models trained on examples to detect content types across Purview solutions. </w:t>
      </w:r>
      <w:r>
        <w:rPr>
          <w:rStyle w:val="FootnoteReference"/>
        </w:rPr>
        <w:footnoteReference w:id="99"/>
      </w:r>
    </w:p>
    <w:p w:rsidR="006014CF" w:rsidRDefault="00AB79FD">
      <w:pPr>
        <w:pStyle w:val="ListParagraph"/>
        <w:numPr>
          <w:ilvl w:val="0"/>
          <w:numId w:val="16"/>
        </w:numPr>
      </w:pPr>
      <w:r>
        <w:rPr>
          <w:b/>
          <w:bCs/>
        </w:rPr>
        <w:t>Line</w:t>
      </w:r>
      <w:r>
        <w:rPr>
          <w:b/>
          <w:bCs/>
        </w:rPr>
        <w:t>age:</w:t>
      </w:r>
      <w:r>
        <w:t xml:space="preserve"> visual flow from sources → transformations → outputs (incl. Fabric/Power BI) for impact and RCA. </w:t>
      </w:r>
      <w:r>
        <w:rPr>
          <w:rStyle w:val="FootnoteReference"/>
        </w:rPr>
        <w:footnoteReference w:id="100"/>
      </w:r>
      <w:r>
        <w:t xml:space="preserve"> </w:t>
      </w:r>
      <w:r>
        <w:rPr>
          <w:rStyle w:val="FootnoteReference"/>
        </w:rPr>
        <w:footnoteReference w:id="101"/>
      </w:r>
    </w:p>
    <w:p w:rsidR="006014CF" w:rsidRDefault="00AB79FD">
      <w:pPr>
        <w:pStyle w:val="ListParagraph"/>
        <w:numPr>
          <w:ilvl w:val="0"/>
          <w:numId w:val="16"/>
        </w:numPr>
      </w:pPr>
      <w:r>
        <w:rPr>
          <w:b/>
          <w:bCs/>
        </w:rPr>
        <w:t>Adaptive Protection:</w:t>
      </w:r>
      <w:r>
        <w:t xml:space="preserve"> Insider Risk‑driven risk levels that dynamically adjust DLP and other controls. </w:t>
      </w:r>
      <w:r>
        <w:rPr>
          <w:rStyle w:val="FootnoteReference"/>
        </w:rPr>
        <w:footnoteReference w:id="102"/>
      </w:r>
      <w:r>
        <w:t xml:space="preserve"> </w:t>
      </w:r>
      <w:r>
        <w:rPr>
          <w:rStyle w:val="FootnoteReference"/>
        </w:rPr>
        <w:footnoteReference w:id="103"/>
      </w:r>
    </w:p>
    <w:p w:rsidR="006014CF" w:rsidRDefault="00AB79FD">
      <w:pPr>
        <w:pStyle w:val="ListParagraph"/>
        <w:numPr>
          <w:ilvl w:val="0"/>
          <w:numId w:val="16"/>
        </w:numPr>
      </w:pPr>
      <w:r>
        <w:rPr>
          <w:b/>
          <w:bCs/>
        </w:rPr>
        <w:t>Purview hub (Fabric):</w:t>
      </w:r>
      <w:r>
        <w:t xml:space="preserve"> admin insights and entry points to labeling/DLP/audit inside Microsoft Fabric. </w:t>
      </w:r>
      <w:r>
        <w:rPr>
          <w:rStyle w:val="FootnoteReference"/>
        </w:rPr>
        <w:footnoteReference w:id="104"/>
      </w:r>
    </w:p>
    <w:p w:rsidR="006014CF" w:rsidRDefault="006014CF">
      <w:pPr>
        <w:pBdr>
          <w:top w:val="single" w:sz="12" w:space="0" w:color="auto"/>
        </w:pBdr>
        <w:spacing w:after="0"/>
      </w:pPr>
    </w:p>
    <w:p w:rsidR="006014CF" w:rsidRDefault="00AB79FD">
      <w:pPr>
        <w:pStyle w:val="Heading2"/>
      </w:pPr>
      <w:r>
        <w:lastRenderedPageBreak/>
        <w:t>9) Implementation tips</w:t>
      </w:r>
    </w:p>
    <w:p w:rsidR="006014CF" w:rsidRDefault="00AB79FD">
      <w:pPr>
        <w:pStyle w:val="ListParagraph"/>
        <w:numPr>
          <w:ilvl w:val="0"/>
          <w:numId w:val="17"/>
        </w:numPr>
      </w:pPr>
      <w:r>
        <w:t xml:space="preserve">Prefer </w:t>
      </w:r>
      <w:r>
        <w:rPr>
          <w:b/>
          <w:bCs/>
        </w:rPr>
        <w:t>Managed Identity</w:t>
      </w:r>
      <w:r>
        <w:t xml:space="preserve"> for scans to reduce credential sprawl and setup time. </w:t>
      </w:r>
      <w:r>
        <w:rPr>
          <w:rStyle w:val="FootnoteReference"/>
        </w:rPr>
        <w:footnoteReference w:id="105"/>
      </w:r>
    </w:p>
    <w:p w:rsidR="006014CF" w:rsidRDefault="00AB79FD">
      <w:pPr>
        <w:pStyle w:val="ListParagraph"/>
        <w:numPr>
          <w:ilvl w:val="0"/>
          <w:numId w:val="17"/>
        </w:numPr>
      </w:pPr>
      <w:r>
        <w:t xml:space="preserve">Start with a small </w:t>
      </w:r>
      <w:r>
        <w:rPr>
          <w:b/>
          <w:bCs/>
        </w:rPr>
        <w:t>pilot collection</w:t>
      </w:r>
      <w:r>
        <w:t xml:space="preserve"> (Data Map) and a limited </w:t>
      </w:r>
      <w:r>
        <w:rPr>
          <w:b/>
          <w:bCs/>
        </w:rPr>
        <w:t>label set</w:t>
      </w:r>
      <w:r>
        <w:t xml:space="preserve">, then scale to domains with glossary‑driven policies. </w:t>
      </w:r>
      <w:r>
        <w:rPr>
          <w:rStyle w:val="FootnoteReference"/>
        </w:rPr>
        <w:footnoteReference w:id="106"/>
      </w:r>
      <w:r>
        <w:t xml:space="preserve"> </w:t>
      </w:r>
      <w:r>
        <w:rPr>
          <w:rStyle w:val="FootnoteReference"/>
        </w:rPr>
        <w:footnoteReference w:id="107"/>
      </w:r>
    </w:p>
    <w:p w:rsidR="006014CF" w:rsidRDefault="00AB79FD">
      <w:pPr>
        <w:pStyle w:val="ListParagraph"/>
        <w:numPr>
          <w:ilvl w:val="0"/>
          <w:numId w:val="17"/>
        </w:numPr>
      </w:pPr>
      <w:r>
        <w:t>For hybrid/on‑</w:t>
      </w:r>
      <w:proofErr w:type="spellStart"/>
      <w:r>
        <w:t>prem</w:t>
      </w:r>
      <w:proofErr w:type="spellEnd"/>
      <w:r>
        <w:t xml:space="preserve"> scans, use </w:t>
      </w:r>
      <w:r>
        <w:rPr>
          <w:b/>
          <w:bCs/>
        </w:rPr>
        <w:t>Self‑hosted IR</w:t>
      </w:r>
      <w:r>
        <w:t xml:space="preserve"> or </w:t>
      </w:r>
      <w:r>
        <w:rPr>
          <w:b/>
          <w:bCs/>
        </w:rPr>
        <w:t>K8s SHIR</w:t>
      </w:r>
      <w:r>
        <w:t xml:space="preserve"> for performance/scale; size hosts per guidance. </w:t>
      </w:r>
      <w:r>
        <w:rPr>
          <w:rStyle w:val="FootnoteReference"/>
        </w:rPr>
        <w:footnoteReference w:id="108"/>
      </w:r>
      <w:r>
        <w:t xml:space="preserve"> </w:t>
      </w:r>
      <w:r>
        <w:rPr>
          <w:rStyle w:val="FootnoteReference"/>
        </w:rPr>
        <w:footnoteReference w:id="109"/>
      </w:r>
    </w:p>
    <w:p w:rsidR="006014CF" w:rsidRDefault="00AB79FD">
      <w:pPr>
        <w:pStyle w:val="ListParagraph"/>
        <w:numPr>
          <w:ilvl w:val="0"/>
          <w:numId w:val="17"/>
        </w:numPr>
      </w:pPr>
      <w:r>
        <w:t xml:space="preserve">If you need data‑plane access control centralized in Purview, evaluate </w:t>
      </w:r>
      <w:r>
        <w:rPr>
          <w:b/>
          <w:bCs/>
        </w:rPr>
        <w:t>Data owner</w:t>
      </w:r>
      <w:r>
        <w:t xml:space="preserve"> and </w:t>
      </w:r>
      <w:r>
        <w:rPr>
          <w:b/>
          <w:bCs/>
        </w:rPr>
        <w:t>Pr</w:t>
      </w:r>
      <w:r>
        <w:rPr>
          <w:b/>
          <w:bCs/>
        </w:rPr>
        <w:t>otection</w:t>
      </w:r>
      <w:r>
        <w:t xml:space="preserve"> policies (preview) in non‑prod first. </w:t>
      </w:r>
      <w:r>
        <w:rPr>
          <w:rStyle w:val="FootnoteReference"/>
        </w:rPr>
        <w:footnoteReference w:id="110"/>
      </w:r>
      <w:r>
        <w:t xml:space="preserve"> </w:t>
      </w:r>
      <w:r>
        <w:rPr>
          <w:rStyle w:val="FootnoteReference"/>
        </w:rPr>
        <w:footnoteReference w:id="111"/>
      </w:r>
    </w:p>
    <w:p w:rsidR="006014CF" w:rsidRDefault="006014CF">
      <w:pPr>
        <w:pBdr>
          <w:top w:val="single" w:sz="12" w:space="0" w:color="auto"/>
        </w:pBdr>
        <w:spacing w:after="0"/>
      </w:pPr>
    </w:p>
    <w:p w:rsidR="006014CF" w:rsidRDefault="00AB79FD">
      <w:pPr>
        <w:pStyle w:val="Heading2"/>
      </w:pPr>
      <w:r>
        <w:t xml:space="preserve">10) Extra: Microsoft Fabric + </w:t>
      </w:r>
      <w:proofErr w:type="spellStart"/>
      <w:r>
        <w:t>OneLake</w:t>
      </w:r>
      <w:proofErr w:type="spellEnd"/>
      <w:r>
        <w:t xml:space="preserve"> governance highlights</w:t>
      </w:r>
    </w:p>
    <w:p w:rsidR="006014CF" w:rsidRDefault="00AB79FD">
      <w:pPr>
        <w:pStyle w:val="ListParagraph"/>
        <w:numPr>
          <w:ilvl w:val="0"/>
          <w:numId w:val="18"/>
        </w:numPr>
      </w:pPr>
      <w:r>
        <w:t>Scanning Fabric pulls metadata/lineage for core Fabric artifacts (</w:t>
      </w:r>
      <w:proofErr w:type="spellStart"/>
      <w:r>
        <w:t>Lakehouse</w:t>
      </w:r>
      <w:proofErr w:type="spellEnd"/>
      <w:r>
        <w:t xml:space="preserve">, Warehouse, Pipelines, Notebooks, Power BI). </w:t>
      </w:r>
      <w:r>
        <w:rPr>
          <w:rStyle w:val="FootnoteReference"/>
        </w:rPr>
        <w:footnoteReference w:id="112"/>
      </w:r>
      <w:r>
        <w:t xml:space="preserve"> </w:t>
      </w:r>
      <w:r>
        <w:rPr>
          <w:rStyle w:val="FootnoteReference"/>
        </w:rPr>
        <w:footnoteReference w:id="113"/>
      </w:r>
    </w:p>
    <w:p w:rsidR="006014CF" w:rsidRDefault="00AB79FD">
      <w:pPr>
        <w:pStyle w:val="ListParagraph"/>
        <w:numPr>
          <w:ilvl w:val="0"/>
          <w:numId w:val="18"/>
        </w:numPr>
      </w:pPr>
      <w:r>
        <w:rPr>
          <w:b/>
          <w:bCs/>
        </w:rPr>
        <w:t>Data quality</w:t>
      </w:r>
      <w:r>
        <w:t xml:space="preserve"> profil</w:t>
      </w:r>
      <w:r>
        <w:t xml:space="preserve">ing and insights are available for Fabric </w:t>
      </w:r>
      <w:proofErr w:type="spellStart"/>
      <w:r>
        <w:t>Lakehouse</w:t>
      </w:r>
      <w:proofErr w:type="spellEnd"/>
      <w:r>
        <w:t xml:space="preserve"> data through the Unified Catalog. </w:t>
      </w:r>
      <w:r>
        <w:rPr>
          <w:rStyle w:val="FootnoteReference"/>
        </w:rPr>
        <w:footnoteReference w:id="114"/>
      </w:r>
    </w:p>
    <w:p w:rsidR="006014CF" w:rsidRDefault="00AB79FD">
      <w:pPr>
        <w:pStyle w:val="ListParagraph"/>
        <w:numPr>
          <w:ilvl w:val="0"/>
          <w:numId w:val="18"/>
        </w:numPr>
      </w:pPr>
      <w:r>
        <w:t xml:space="preserve">You can protect Fabric items with </w:t>
      </w:r>
      <w:r>
        <w:rPr>
          <w:b/>
          <w:bCs/>
        </w:rPr>
        <w:t>sensitivity labels</w:t>
      </w:r>
      <w:r>
        <w:t xml:space="preserve">; activity shows up in </w:t>
      </w:r>
      <w:r>
        <w:rPr>
          <w:b/>
          <w:bCs/>
        </w:rPr>
        <w:t>Purview Audit</w:t>
      </w:r>
      <w:r>
        <w:t xml:space="preserve">; Purview Hub surfaces governance posture. </w:t>
      </w:r>
      <w:r>
        <w:rPr>
          <w:rStyle w:val="FootnoteReference"/>
        </w:rPr>
        <w:footnoteReference w:id="115"/>
      </w:r>
    </w:p>
    <w:p w:rsidR="006014CF" w:rsidRDefault="006014CF">
      <w:pPr>
        <w:pBdr>
          <w:top w:val="single" w:sz="12" w:space="0" w:color="auto"/>
        </w:pBdr>
        <w:spacing w:after="0"/>
      </w:pPr>
    </w:p>
    <w:p w:rsidR="006014CF" w:rsidRDefault="00AB79FD">
      <w:pPr>
        <w:pStyle w:val="Heading3"/>
      </w:pPr>
      <w:r>
        <w:lastRenderedPageBreak/>
        <w:t>Appendix — Historical context</w:t>
      </w:r>
    </w:p>
    <w:p w:rsidR="006014CF" w:rsidRDefault="00AB79FD">
      <w:pPr>
        <w:pStyle w:val="ListParagraph"/>
        <w:numPr>
          <w:ilvl w:val="0"/>
          <w:numId w:val="19"/>
        </w:numPr>
      </w:pPr>
      <w:r>
        <w:t xml:space="preserve">On </w:t>
      </w:r>
      <w:r>
        <w:rPr>
          <w:b/>
          <w:bCs/>
        </w:rPr>
        <w:t>April 19, 2022</w:t>
      </w:r>
      <w:r>
        <w:t xml:space="preserve">, Microsoft rebranded Azure Purview and Microsoft 365 Compliance into the single </w:t>
      </w:r>
      <w:r>
        <w:rPr>
          <w:b/>
          <w:bCs/>
        </w:rPr>
        <w:t>Microsoft Purview</w:t>
      </w:r>
      <w:r>
        <w:t xml:space="preserve"> family. </w:t>
      </w:r>
      <w:r>
        <w:rPr>
          <w:rStyle w:val="FootnoteReference"/>
        </w:rPr>
        <w:footnoteReference w:id="116"/>
      </w:r>
      <w:r>
        <w:t xml:space="preserve"> </w:t>
      </w:r>
      <w:r>
        <w:rPr>
          <w:rStyle w:val="FootnoteReference"/>
        </w:rPr>
        <w:footnoteReference w:id="117"/>
      </w:r>
    </w:p>
    <w:p w:rsidR="006014CF" w:rsidRDefault="006014CF">
      <w:pPr>
        <w:pBdr>
          <w:top w:val="single" w:sz="12" w:space="0" w:color="auto"/>
        </w:pBdr>
        <w:spacing w:after="0"/>
      </w:pPr>
    </w:p>
    <w:sectPr w:rsidR="006014C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79FD" w:rsidRDefault="00AB79FD">
      <w:pPr>
        <w:spacing w:after="0" w:line="240" w:lineRule="auto"/>
      </w:pPr>
      <w:r>
        <w:separator/>
      </w:r>
    </w:p>
  </w:endnote>
  <w:endnote w:type="continuationSeparator" w:id="0">
    <w:p w:rsidR="00AB79FD" w:rsidRDefault="00AB7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79FD" w:rsidRDefault="00AB79FD">
      <w:pPr>
        <w:spacing w:after="0" w:line="240" w:lineRule="auto"/>
      </w:pPr>
      <w:r>
        <w:separator/>
      </w:r>
    </w:p>
  </w:footnote>
  <w:footnote w:type="continuationSeparator" w:id="0">
    <w:p w:rsidR="00AB79FD" w:rsidRDefault="00AB79FD">
      <w:pPr>
        <w:spacing w:after="0" w:line="240" w:lineRule="auto"/>
      </w:pPr>
      <w:r>
        <w:continuationSeparator/>
      </w:r>
    </w:p>
  </w:footnote>
  <w:footnote w:id="1">
    <w:p w:rsidR="006014CF" w:rsidRDefault="00AB79FD">
      <w:r>
        <w:rPr>
          <w:rStyle w:val="FootnoteReference"/>
        </w:rPr>
        <w:footnoteRef/>
      </w:r>
      <w:hyperlink r:id="rId1" w:history="1">
        <w:r>
          <w:rPr>
            <w:rStyle w:val="Hyperlink"/>
          </w:rPr>
          <w:t>https://learn.microsoft.com/en-us/purview/purview</w:t>
        </w:r>
      </w:hyperlink>
    </w:p>
  </w:footnote>
  <w:footnote w:id="2">
    <w:p w:rsidR="006014CF" w:rsidRDefault="00AB79FD">
      <w:r>
        <w:rPr>
          <w:rStyle w:val="FootnoteReference"/>
        </w:rPr>
        <w:footnoteRef/>
      </w:r>
      <w:hyperlink r:id="rId2" w:history="1">
        <w:r>
          <w:rPr>
            <w:rStyle w:val="Hyperlink"/>
          </w:rPr>
          <w:t>https://learn.microsoft.com/en-us/purview/</w:t>
        </w:r>
      </w:hyperlink>
    </w:p>
  </w:footnote>
  <w:footnote w:id="3">
    <w:p w:rsidR="006014CF" w:rsidRDefault="00AB79FD">
      <w:r>
        <w:rPr>
          <w:rStyle w:val="FootnoteReference"/>
        </w:rPr>
        <w:footnoteRef/>
      </w:r>
      <w:hyperlink r:id="rId3" w:history="1">
        <w:r>
          <w:rPr>
            <w:rStyle w:val="Hyperlink"/>
          </w:rPr>
          <w:t>https://learn.microsoft.com/en-us/purview/purview-portal</w:t>
        </w:r>
      </w:hyperlink>
    </w:p>
  </w:footnote>
  <w:footnote w:id="4">
    <w:p w:rsidR="006014CF" w:rsidRDefault="00AB79FD">
      <w:r>
        <w:rPr>
          <w:rStyle w:val="FootnoteReference"/>
        </w:rPr>
        <w:footnoteRef/>
      </w:r>
      <w:hyperlink r:id="rId4" w:history="1">
        <w:r>
          <w:rPr>
            <w:rStyle w:val="Hyperlink"/>
          </w:rPr>
          <w:t>https://azure.microsoft.com/en-u</w:t>
        </w:r>
        <w:r>
          <w:rPr>
            <w:rStyle w:val="Hyperlink"/>
          </w:rPr>
          <w:t>s/blog/azure-purview-is-now-microsoft-purview/</w:t>
        </w:r>
      </w:hyperlink>
    </w:p>
  </w:footnote>
  <w:footnote w:id="5">
    <w:p w:rsidR="006014CF" w:rsidRDefault="00AB79FD">
      <w:r>
        <w:rPr>
          <w:rStyle w:val="FootnoteReference"/>
        </w:rPr>
        <w:footnoteRef/>
      </w:r>
      <w:hyperlink r:id="rId5" w:history="1">
        <w:r>
          <w:rPr>
            <w:rStyle w:val="Hyperlink"/>
          </w:rPr>
          <w:t>https://www.zdnet.com/article/microsoft-rebrands-its-compliance-and-data-gove</w:t>
        </w:r>
        <w:r>
          <w:rPr>
            <w:rStyle w:val="Hyperlink"/>
          </w:rPr>
          <w:t>rnance-products-as-microsoft-purview/</w:t>
        </w:r>
      </w:hyperlink>
    </w:p>
  </w:footnote>
  <w:footnote w:id="6">
    <w:p w:rsidR="006014CF" w:rsidRDefault="00AB79FD">
      <w:r>
        <w:rPr>
          <w:rStyle w:val="FootnoteReference"/>
        </w:rPr>
        <w:footnoteRef/>
      </w:r>
      <w:hyperlink r:id="rId6" w:history="1">
        <w:r>
          <w:rPr>
            <w:rStyle w:val="Hyperlink"/>
          </w:rPr>
          <w:t>https://learn.microsoft.com/en-us/purview/data-governance-overview</w:t>
        </w:r>
      </w:hyperlink>
    </w:p>
  </w:footnote>
  <w:footnote w:id="7">
    <w:p w:rsidR="006014CF" w:rsidRDefault="00AB79FD">
      <w:r>
        <w:rPr>
          <w:rStyle w:val="FootnoteReference"/>
        </w:rPr>
        <w:footnoteRef/>
      </w:r>
      <w:hyperlink r:id="rId7" w:history="1">
        <w:r>
          <w:rPr>
            <w:rStyle w:val="Hyperlink"/>
          </w:rPr>
          <w:t>https://learn.microsoft.com/en-us/purview/purview-security</w:t>
        </w:r>
      </w:hyperlink>
    </w:p>
  </w:footnote>
  <w:footnote w:id="8">
    <w:p w:rsidR="006014CF" w:rsidRDefault="00AB79FD">
      <w:r>
        <w:rPr>
          <w:rStyle w:val="FootnoteReference"/>
        </w:rPr>
        <w:footnoteRef/>
      </w:r>
      <w:hyperlink r:id="rId8" w:history="1">
        <w:r>
          <w:rPr>
            <w:rStyle w:val="Hyperlink"/>
          </w:rPr>
          <w:t>https://learn.microsoft.com/en-us/purview/information-protection</w:t>
        </w:r>
      </w:hyperlink>
    </w:p>
  </w:footnote>
  <w:footnote w:id="9">
    <w:p w:rsidR="006014CF" w:rsidRDefault="00AB79FD">
      <w:r>
        <w:rPr>
          <w:rStyle w:val="FootnoteReference"/>
        </w:rPr>
        <w:footnoteRef/>
      </w:r>
      <w:hyperlink r:id="rId9" w:history="1">
        <w:r>
          <w:rPr>
            <w:rStyle w:val="Hyperlink"/>
          </w:rPr>
          <w:t>https://learn.microsoft.com/en-us/purview/manage-data-governance</w:t>
        </w:r>
      </w:hyperlink>
    </w:p>
  </w:footnote>
  <w:footnote w:id="10">
    <w:p w:rsidR="006014CF" w:rsidRDefault="00AB79FD">
      <w:r>
        <w:rPr>
          <w:rStyle w:val="FootnoteReference"/>
        </w:rPr>
        <w:footnoteRef/>
      </w:r>
      <w:hyperlink r:id="rId10" w:history="1">
        <w:r>
          <w:rPr>
            <w:rStyle w:val="Hyperlink"/>
          </w:rPr>
          <w:t>https://learn.microsoft.com/en-us/office365/servicedescriptions/microsoft-365-service-descriptions/microsoft-365-tenantlevel-services-licensing-guidance/microsoft-purview-service-description</w:t>
        </w:r>
      </w:hyperlink>
    </w:p>
  </w:footnote>
  <w:footnote w:id="11">
    <w:p w:rsidR="006014CF" w:rsidRDefault="00AB79FD">
      <w:r>
        <w:rPr>
          <w:rStyle w:val="FootnoteReference"/>
        </w:rPr>
        <w:footnoteRef/>
      </w:r>
      <w:hyperlink r:id="rId11" w:history="1">
        <w:r>
          <w:rPr>
            <w:rStyle w:val="Hyperlink"/>
          </w:rPr>
          <w:t>https://learn.microsoft.com/en-us/purview/edisc</w:t>
        </w:r>
      </w:hyperlink>
    </w:p>
  </w:footnote>
  <w:footnote w:id="12">
    <w:p w:rsidR="006014CF" w:rsidRDefault="00AB79FD">
      <w:r>
        <w:rPr>
          <w:rStyle w:val="FootnoteReference"/>
        </w:rPr>
        <w:footnoteRef/>
      </w:r>
      <w:hyperlink r:id="rId12" w:history="1">
        <w:r>
          <w:rPr>
            <w:rStyle w:val="Hyperlink"/>
          </w:rPr>
          <w:t>https://learn.microsoft.com/en-us/purview/purview</w:t>
        </w:r>
      </w:hyperlink>
    </w:p>
  </w:footnote>
  <w:footnote w:id="13">
    <w:p w:rsidR="006014CF" w:rsidRDefault="00AB79FD">
      <w:r>
        <w:rPr>
          <w:rStyle w:val="FootnoteReference"/>
        </w:rPr>
        <w:footnoteRef/>
      </w:r>
      <w:hyperlink r:id="rId13" w:history="1">
        <w:r>
          <w:rPr>
            <w:rStyle w:val="Hyperlink"/>
          </w:rPr>
          <w:t>https://learn.microsoft.com/en-us/purview/data-governance-overview</w:t>
        </w:r>
      </w:hyperlink>
    </w:p>
  </w:footnote>
  <w:footnote w:id="14">
    <w:p w:rsidR="006014CF" w:rsidRDefault="00AB79FD">
      <w:r>
        <w:rPr>
          <w:rStyle w:val="FootnoteReference"/>
        </w:rPr>
        <w:footnoteRef/>
      </w:r>
      <w:hyperlink r:id="rId14" w:history="1">
        <w:r>
          <w:rPr>
            <w:rStyle w:val="Hyperlink"/>
          </w:rPr>
          <w:t>https://learn.microsoft.com/en-us/purview/data-cla</w:t>
        </w:r>
        <w:r>
          <w:rPr>
            <w:rStyle w:val="Hyperlink"/>
          </w:rPr>
          <w:t>ssification-overview</w:t>
        </w:r>
      </w:hyperlink>
    </w:p>
  </w:footnote>
  <w:footnote w:id="15">
    <w:p w:rsidR="006014CF" w:rsidRDefault="00AB79FD">
      <w:r>
        <w:rPr>
          <w:rStyle w:val="FootnoteReference"/>
        </w:rPr>
        <w:footnoteRef/>
      </w:r>
      <w:hyperlink r:id="rId15" w:history="1">
        <w:r>
          <w:rPr>
            <w:rStyle w:val="Hyperlink"/>
          </w:rPr>
          <w:t>https://learn.microsoft.com/en-us/purview/information-protection</w:t>
        </w:r>
      </w:hyperlink>
    </w:p>
  </w:footnote>
  <w:footnote w:id="16">
    <w:p w:rsidR="006014CF" w:rsidRDefault="00AB79FD">
      <w:r>
        <w:rPr>
          <w:rStyle w:val="FootnoteReference"/>
        </w:rPr>
        <w:footnoteRef/>
      </w:r>
      <w:hyperlink r:id="rId16" w:history="1">
        <w:r>
          <w:rPr>
            <w:rStyle w:val="Hyperlink"/>
          </w:rPr>
          <w:t>https://le</w:t>
        </w:r>
        <w:r>
          <w:rPr>
            <w:rStyle w:val="Hyperlink"/>
          </w:rPr>
          <w:t>arn.microsoft.com/en-us/purview/sensitivity-labels</w:t>
        </w:r>
      </w:hyperlink>
    </w:p>
  </w:footnote>
  <w:footnote w:id="17">
    <w:p w:rsidR="006014CF" w:rsidRDefault="00AB79FD">
      <w:r>
        <w:rPr>
          <w:rStyle w:val="FootnoteReference"/>
        </w:rPr>
        <w:footnoteRef/>
      </w:r>
      <w:hyperlink r:id="rId17" w:history="1">
        <w:r>
          <w:rPr>
            <w:rStyle w:val="Hyperlink"/>
          </w:rPr>
          <w:t>https://learn.microsoft.com/en-us/purview/purview-security</w:t>
        </w:r>
      </w:hyperlink>
    </w:p>
  </w:footnote>
  <w:footnote w:id="18">
    <w:p w:rsidR="006014CF" w:rsidRDefault="00AB79FD">
      <w:r>
        <w:rPr>
          <w:rStyle w:val="FootnoteReference"/>
        </w:rPr>
        <w:footnoteRef/>
      </w:r>
      <w:hyperlink r:id="rId18" w:history="1">
        <w:r>
          <w:rPr>
            <w:rStyle w:val="Hyperlink"/>
          </w:rPr>
          <w:t>https://learn.microsoft.com/en-us/purview/dlp-adaptive-protection-learn</w:t>
        </w:r>
      </w:hyperlink>
    </w:p>
  </w:footnote>
  <w:footnote w:id="19">
    <w:p w:rsidR="006014CF" w:rsidRDefault="00AB79FD">
      <w:r>
        <w:rPr>
          <w:rStyle w:val="FootnoteReference"/>
        </w:rPr>
        <w:footnoteRef/>
      </w:r>
      <w:hyperlink r:id="rId19" w:history="1">
        <w:r>
          <w:rPr>
            <w:rStyle w:val="Hyperlink"/>
          </w:rPr>
          <w:t>https://learn.mi</w:t>
        </w:r>
        <w:r>
          <w:rPr>
            <w:rStyle w:val="Hyperlink"/>
          </w:rPr>
          <w:t>crosoft.com/en-us/purview/manage-data-governance</w:t>
        </w:r>
      </w:hyperlink>
    </w:p>
  </w:footnote>
  <w:footnote w:id="20">
    <w:p w:rsidR="006014CF" w:rsidRDefault="00AB79FD">
      <w:r>
        <w:rPr>
          <w:rStyle w:val="FootnoteReference"/>
        </w:rPr>
        <w:footnoteRef/>
      </w:r>
      <w:hyperlink r:id="rId20" w:history="1">
        <w:r>
          <w:rPr>
            <w:rStyle w:val="Hyperlink"/>
          </w:rPr>
          <w:t>https://learn.microsoft.com/en-us/purview/edisc</w:t>
        </w:r>
      </w:hyperlink>
    </w:p>
  </w:footnote>
  <w:footnote w:id="21">
    <w:p w:rsidR="006014CF" w:rsidRDefault="00AB79FD">
      <w:r>
        <w:rPr>
          <w:rStyle w:val="FootnoteReference"/>
        </w:rPr>
        <w:footnoteRef/>
      </w:r>
      <w:hyperlink r:id="rId21" w:history="1">
        <w:r>
          <w:rPr>
            <w:rStyle w:val="Hyperlink"/>
          </w:rPr>
          <w:t>https://lea</w:t>
        </w:r>
        <w:r>
          <w:rPr>
            <w:rStyle w:val="Hyperlink"/>
          </w:rPr>
          <w:t>rn.microsoft.com/en-us/purview/data-map-lineage-fabric</w:t>
        </w:r>
      </w:hyperlink>
    </w:p>
  </w:footnote>
  <w:footnote w:id="22">
    <w:p w:rsidR="006014CF" w:rsidRDefault="00AB79FD">
      <w:r>
        <w:rPr>
          <w:rStyle w:val="FootnoteReference"/>
        </w:rPr>
        <w:footnoteRef/>
      </w:r>
      <w:hyperlink r:id="rId22" w:history="1">
        <w:r>
          <w:rPr>
            <w:rStyle w:val="Hyperlink"/>
          </w:rPr>
          <w:t>https://learn.microsoft.com/en-us/purview/data-gov-classic-lineage</w:t>
        </w:r>
      </w:hyperlink>
    </w:p>
  </w:footnote>
  <w:footnote w:id="23">
    <w:p w:rsidR="006014CF" w:rsidRDefault="00AB79FD">
      <w:r>
        <w:rPr>
          <w:rStyle w:val="FootnoteReference"/>
        </w:rPr>
        <w:footnoteRef/>
      </w:r>
      <w:hyperlink r:id="rId23" w:history="1">
        <w:r>
          <w:rPr>
            <w:rStyle w:val="Hyperlink"/>
          </w:rPr>
          <w:t>https://learn.microsoft.com/en-us/fabric/governance/microsoft-purview-fabric</w:t>
        </w:r>
      </w:hyperlink>
    </w:p>
  </w:footnote>
  <w:footnote w:id="24">
    <w:p w:rsidR="006014CF" w:rsidRDefault="00AB79FD">
      <w:r>
        <w:rPr>
          <w:rStyle w:val="FootnoteReference"/>
        </w:rPr>
        <w:footnoteRef/>
      </w:r>
      <w:hyperlink r:id="rId24" w:history="1">
        <w:r>
          <w:rPr>
            <w:rStyle w:val="Hyperlink"/>
          </w:rPr>
          <w:t>h</w:t>
        </w:r>
        <w:r>
          <w:rPr>
            <w:rStyle w:val="Hyperlink"/>
          </w:rPr>
          <w:t>ttps://learn.microsoft.com/en-us/purview/register-scan-fabric-tenant</w:t>
        </w:r>
      </w:hyperlink>
    </w:p>
  </w:footnote>
  <w:footnote w:id="25">
    <w:p w:rsidR="006014CF" w:rsidRDefault="00AB79FD">
      <w:r>
        <w:rPr>
          <w:rStyle w:val="FootnoteReference"/>
        </w:rPr>
        <w:footnoteRef/>
      </w:r>
      <w:hyperlink r:id="rId25" w:history="1">
        <w:r>
          <w:rPr>
            <w:rStyle w:val="Hyperlink"/>
          </w:rPr>
          <w:t>https://learn.microsoft.com/en-us/fabric/governance/use-microsoft-purview-hub</w:t>
        </w:r>
      </w:hyperlink>
    </w:p>
  </w:footnote>
  <w:footnote w:id="26">
    <w:p w:rsidR="006014CF" w:rsidRDefault="00AB79FD">
      <w:r>
        <w:rPr>
          <w:rStyle w:val="FootnoteReference"/>
        </w:rPr>
        <w:footnoteRef/>
      </w:r>
      <w:hyperlink r:id="rId26" w:history="1">
        <w:r>
          <w:rPr>
            <w:rStyle w:val="Hyperlink"/>
          </w:rPr>
          <w:t>https://learn.microsoft.com/en-us/purview/legacy/concept-policies-data-owner</w:t>
        </w:r>
      </w:hyperlink>
    </w:p>
  </w:footnote>
  <w:footnote w:id="27">
    <w:p w:rsidR="006014CF" w:rsidRDefault="00AB79FD">
      <w:r>
        <w:rPr>
          <w:rStyle w:val="FootnoteReference"/>
        </w:rPr>
        <w:footnoteRef/>
      </w:r>
      <w:hyperlink r:id="rId27" w:history="1">
        <w:r>
          <w:rPr>
            <w:rStyle w:val="Hyperlink"/>
          </w:rPr>
          <w:t>https://</w:t>
        </w:r>
        <w:r>
          <w:rPr>
            <w:rStyle w:val="Hyperlink"/>
          </w:rPr>
          <w:t>learn.microsoft.com/en-us/purview/how-to-create-protection-policy</w:t>
        </w:r>
      </w:hyperlink>
    </w:p>
  </w:footnote>
  <w:footnote w:id="28">
    <w:p w:rsidR="006014CF" w:rsidRDefault="00AB79FD">
      <w:r>
        <w:rPr>
          <w:rStyle w:val="FootnoteReference"/>
        </w:rPr>
        <w:footnoteRef/>
      </w:r>
      <w:hyperlink r:id="rId28" w:history="1">
        <w:r>
          <w:rPr>
            <w:rStyle w:val="Hyperlink"/>
          </w:rPr>
          <w:t>https://learn.microsoft.com/en-us/purview/purview-portal</w:t>
        </w:r>
      </w:hyperlink>
    </w:p>
  </w:footnote>
  <w:footnote w:id="29">
    <w:p w:rsidR="006014CF" w:rsidRDefault="00AB79FD">
      <w:r>
        <w:rPr>
          <w:rStyle w:val="FootnoteReference"/>
        </w:rPr>
        <w:footnoteRef/>
      </w:r>
      <w:hyperlink r:id="rId29" w:history="1">
        <w:r>
          <w:rPr>
            <w:rStyle w:val="Hyperlink"/>
          </w:rPr>
          <w:t>https://learn.microsoft.com/en-us/purview/data-map</w:t>
        </w:r>
      </w:hyperlink>
    </w:p>
  </w:footnote>
  <w:footnote w:id="30">
    <w:p w:rsidR="006014CF" w:rsidRDefault="00AB79FD">
      <w:r>
        <w:rPr>
          <w:rStyle w:val="FootnoteReference"/>
        </w:rPr>
        <w:footnoteRef/>
      </w:r>
      <w:hyperlink r:id="rId30" w:history="1">
        <w:r>
          <w:rPr>
            <w:rStyle w:val="Hyperlink"/>
          </w:rPr>
          <w:t>https://learn.microsoft.com/en-us/purview/data-governance-overview</w:t>
        </w:r>
      </w:hyperlink>
    </w:p>
  </w:footnote>
  <w:footnote w:id="31">
    <w:p w:rsidR="006014CF" w:rsidRDefault="00AB79FD">
      <w:r>
        <w:rPr>
          <w:rStyle w:val="FootnoteReference"/>
        </w:rPr>
        <w:footnoteRef/>
      </w:r>
      <w:hyperlink r:id="rId31" w:history="1">
        <w:r>
          <w:rPr>
            <w:rStyle w:val="Hyperlink"/>
          </w:rPr>
          <w:t>https://learn.microsoft.com/en-us/purview/data-map-scan-ingestion</w:t>
        </w:r>
      </w:hyperlink>
    </w:p>
  </w:footnote>
  <w:footnote w:id="32">
    <w:p w:rsidR="006014CF" w:rsidRDefault="00AB79FD">
      <w:r>
        <w:rPr>
          <w:rStyle w:val="FootnoteReference"/>
        </w:rPr>
        <w:footnoteRef/>
      </w:r>
      <w:hyperlink r:id="rId32" w:history="1">
        <w:r>
          <w:rPr>
            <w:rStyle w:val="Hyperlink"/>
          </w:rPr>
          <w:t>https://learn.microsoft.com/en-us/purview/data-map-classification</w:t>
        </w:r>
      </w:hyperlink>
    </w:p>
  </w:footnote>
  <w:footnote w:id="33">
    <w:p w:rsidR="006014CF" w:rsidRDefault="00AB79FD">
      <w:r>
        <w:rPr>
          <w:rStyle w:val="FootnoteReference"/>
        </w:rPr>
        <w:footnoteRef/>
      </w:r>
      <w:hyperlink r:id="rId33" w:history="1">
        <w:r>
          <w:rPr>
            <w:rStyle w:val="Hyperlink"/>
          </w:rPr>
          <w:t>https://learn.microsoft.com/en-us/purview/unified-catalog-glossary-terms</w:t>
        </w:r>
      </w:hyperlink>
    </w:p>
  </w:footnote>
  <w:footnote w:id="34">
    <w:p w:rsidR="006014CF" w:rsidRDefault="00AB79FD">
      <w:r>
        <w:rPr>
          <w:rStyle w:val="FootnoteReference"/>
        </w:rPr>
        <w:footnoteRef/>
      </w:r>
      <w:hyperlink r:id="rId34" w:history="1">
        <w:r>
          <w:rPr>
            <w:rStyle w:val="Hyperlink"/>
          </w:rPr>
          <w:t>https://learn.microsoft.com/en-us/purview/sensitivity-labels</w:t>
        </w:r>
      </w:hyperlink>
    </w:p>
  </w:footnote>
  <w:footnote w:id="35">
    <w:p w:rsidR="006014CF" w:rsidRDefault="00AB79FD">
      <w:r>
        <w:rPr>
          <w:rStyle w:val="FootnoteReference"/>
        </w:rPr>
        <w:footnoteRef/>
      </w:r>
      <w:hyperlink r:id="rId35" w:history="1">
        <w:r>
          <w:rPr>
            <w:rStyle w:val="Hyperlink"/>
          </w:rPr>
          <w:t>https://learn.microsoft.com/en-us/purview/create-sensitivity-labels</w:t>
        </w:r>
      </w:hyperlink>
    </w:p>
  </w:footnote>
  <w:footnote w:id="36">
    <w:p w:rsidR="006014CF" w:rsidRDefault="00AB79FD">
      <w:r>
        <w:rPr>
          <w:rStyle w:val="FootnoteReference"/>
        </w:rPr>
        <w:footnoteRef/>
      </w:r>
      <w:hyperlink r:id="rId36" w:history="1">
        <w:r>
          <w:rPr>
            <w:rStyle w:val="Hyperlink"/>
          </w:rPr>
          <w:t>https://learn.microsoft.com/en-us/purview/purview-security</w:t>
        </w:r>
      </w:hyperlink>
    </w:p>
  </w:footnote>
  <w:footnote w:id="37">
    <w:p w:rsidR="006014CF" w:rsidRDefault="00AB79FD">
      <w:r>
        <w:rPr>
          <w:rStyle w:val="FootnoteReference"/>
        </w:rPr>
        <w:footnoteRef/>
      </w:r>
      <w:hyperlink r:id="rId37" w:history="1">
        <w:r>
          <w:rPr>
            <w:rStyle w:val="Hyperlink"/>
          </w:rPr>
          <w:t>https://learn.microsoft.com/en-us/purview/insider-risk-manag</w:t>
        </w:r>
        <w:r>
          <w:rPr>
            <w:rStyle w:val="Hyperlink"/>
          </w:rPr>
          <w:t>ement-adaptive-protection</w:t>
        </w:r>
      </w:hyperlink>
    </w:p>
  </w:footnote>
  <w:footnote w:id="38">
    <w:p w:rsidR="006014CF" w:rsidRDefault="00AB79FD">
      <w:r>
        <w:rPr>
          <w:rStyle w:val="FootnoteReference"/>
        </w:rPr>
        <w:footnoteRef/>
      </w:r>
      <w:hyperlink r:id="rId38" w:history="1">
        <w:r>
          <w:rPr>
            <w:rStyle w:val="Hyperlink"/>
          </w:rPr>
          <w:t>https://learn.microsoft.com/en-us/purview/purview</w:t>
        </w:r>
      </w:hyperlink>
    </w:p>
  </w:footnote>
  <w:footnote w:id="39">
    <w:p w:rsidR="006014CF" w:rsidRDefault="00AB79FD">
      <w:r>
        <w:rPr>
          <w:rStyle w:val="FootnoteReference"/>
        </w:rPr>
        <w:footnoteRef/>
      </w:r>
      <w:hyperlink r:id="rId39" w:history="1">
        <w:r>
          <w:rPr>
            <w:rStyle w:val="Hyperlink"/>
          </w:rPr>
          <w:t>https://learn.microsoft.com/en-</w:t>
        </w:r>
        <w:r>
          <w:rPr>
            <w:rStyle w:val="Hyperlink"/>
          </w:rPr>
          <w:t>us/purview/manage-data-governance</w:t>
        </w:r>
      </w:hyperlink>
    </w:p>
  </w:footnote>
  <w:footnote w:id="40">
    <w:p w:rsidR="006014CF" w:rsidRDefault="00AB79FD">
      <w:r>
        <w:rPr>
          <w:rStyle w:val="FootnoteReference"/>
        </w:rPr>
        <w:footnoteRef/>
      </w:r>
      <w:hyperlink r:id="rId40" w:history="1">
        <w:r>
          <w:rPr>
            <w:rStyle w:val="Hyperlink"/>
          </w:rPr>
          <w:t>https://learn.microsoft.com/en-us/purview/edisc</w:t>
        </w:r>
      </w:hyperlink>
    </w:p>
  </w:footnote>
  <w:footnote w:id="41">
    <w:p w:rsidR="006014CF" w:rsidRDefault="00AB79FD">
      <w:r>
        <w:rPr>
          <w:rStyle w:val="FootnoteReference"/>
        </w:rPr>
        <w:footnoteRef/>
      </w:r>
      <w:hyperlink r:id="rId41" w:history="1">
        <w:r>
          <w:rPr>
            <w:rStyle w:val="Hyperlink"/>
          </w:rPr>
          <w:t>https://learn.microsoft.com/en-us/office365/servicedescriptions/microsoft-365-service-descriptions/microsoft-365-tenantlevel-services-licensing-guidance/micr</w:t>
        </w:r>
        <w:r>
          <w:rPr>
            <w:rStyle w:val="Hyperlink"/>
          </w:rPr>
          <w:t>osoft-purview-service-description</w:t>
        </w:r>
      </w:hyperlink>
    </w:p>
  </w:footnote>
  <w:footnote w:id="42">
    <w:p w:rsidR="006014CF" w:rsidRDefault="00AB79FD">
      <w:r>
        <w:rPr>
          <w:rStyle w:val="FootnoteReference"/>
        </w:rPr>
        <w:footnoteRef/>
      </w:r>
      <w:hyperlink r:id="rId42" w:history="1">
        <w:r>
          <w:rPr>
            <w:rStyle w:val="Hyperlink"/>
          </w:rPr>
          <w:t>https://learn.microsoft.com/en-us/purview/register-scan-fabric-tenant</w:t>
        </w:r>
      </w:hyperlink>
    </w:p>
  </w:footnote>
  <w:footnote w:id="43">
    <w:p w:rsidR="006014CF" w:rsidRDefault="00AB79FD">
      <w:r>
        <w:rPr>
          <w:rStyle w:val="FootnoteReference"/>
        </w:rPr>
        <w:footnoteRef/>
      </w:r>
      <w:hyperlink r:id="rId43" w:history="1">
        <w:r>
          <w:rPr>
            <w:rStyle w:val="Hyperlink"/>
          </w:rPr>
          <w:t>https://learn.microsoft.com/en-us/purview/data-map-lineage-fabric</w:t>
        </w:r>
      </w:hyperlink>
    </w:p>
  </w:footnote>
  <w:footnote w:id="44">
    <w:p w:rsidR="006014CF" w:rsidRDefault="00AB79FD">
      <w:r>
        <w:rPr>
          <w:rStyle w:val="FootnoteReference"/>
        </w:rPr>
        <w:footnoteRef/>
      </w:r>
      <w:hyperlink r:id="rId44" w:history="1">
        <w:r>
          <w:rPr>
            <w:rStyle w:val="Hyperlink"/>
          </w:rPr>
          <w:t>https://learn.microsoft.com/en-us/azure/s</w:t>
        </w:r>
        <w:r>
          <w:rPr>
            <w:rStyle w:val="Hyperlink"/>
          </w:rPr>
          <w:t>ynapse-analytics/catalog-and-governance/quickstart-connect-azure-purview</w:t>
        </w:r>
      </w:hyperlink>
    </w:p>
  </w:footnote>
  <w:footnote w:id="45">
    <w:p w:rsidR="006014CF" w:rsidRDefault="00AB79FD">
      <w:r>
        <w:rPr>
          <w:rStyle w:val="FootnoteReference"/>
        </w:rPr>
        <w:footnoteRef/>
      </w:r>
      <w:hyperlink r:id="rId45" w:history="1">
        <w:r>
          <w:rPr>
            <w:rStyle w:val="Hyperlink"/>
          </w:rPr>
          <w:t>https://learn.microsoft.com/en-us/purview/legacy/concept-policies-data-owner</w:t>
        </w:r>
      </w:hyperlink>
    </w:p>
  </w:footnote>
  <w:footnote w:id="46">
    <w:p w:rsidR="006014CF" w:rsidRDefault="00AB79FD">
      <w:r>
        <w:rPr>
          <w:rStyle w:val="FootnoteReference"/>
        </w:rPr>
        <w:footnoteRef/>
      </w:r>
      <w:hyperlink r:id="rId46" w:history="1">
        <w:r>
          <w:rPr>
            <w:rStyle w:val="Hyperlink"/>
          </w:rPr>
          <w:t>https://learn.microsoft.com/en-us/purview/how-to-create-protection-policy</w:t>
        </w:r>
      </w:hyperlink>
    </w:p>
  </w:footnote>
  <w:footnote w:id="47">
    <w:p w:rsidR="006014CF" w:rsidRDefault="00AB79FD">
      <w:r>
        <w:rPr>
          <w:rStyle w:val="FootnoteReference"/>
        </w:rPr>
        <w:footnoteRef/>
      </w:r>
      <w:hyperlink r:id="rId47" w:history="1">
        <w:r>
          <w:rPr>
            <w:rStyle w:val="Hyperlink"/>
          </w:rPr>
          <w:t>https://learn.micros</w:t>
        </w:r>
        <w:r>
          <w:rPr>
            <w:rStyle w:val="Hyperlink"/>
          </w:rPr>
          <w:t>oft.com/en-us/purview/data-map-scan-ingestion</w:t>
        </w:r>
      </w:hyperlink>
    </w:p>
  </w:footnote>
  <w:footnote w:id="48">
    <w:p w:rsidR="006014CF" w:rsidRDefault="00AB79FD">
      <w:r>
        <w:rPr>
          <w:rStyle w:val="FootnoteReference"/>
        </w:rPr>
        <w:footnoteRef/>
      </w:r>
      <w:hyperlink r:id="rId48" w:history="1">
        <w:r>
          <w:rPr>
            <w:rStyle w:val="Hyperlink"/>
          </w:rPr>
          <w:t>https://learn.microsoft.com/en-us/purview/data-governance-overview</w:t>
        </w:r>
      </w:hyperlink>
    </w:p>
  </w:footnote>
  <w:footnote w:id="49">
    <w:p w:rsidR="006014CF" w:rsidRDefault="00AB79FD">
      <w:r>
        <w:rPr>
          <w:rStyle w:val="FootnoteReference"/>
        </w:rPr>
        <w:footnoteRef/>
      </w:r>
      <w:hyperlink r:id="rId49" w:history="1">
        <w:r>
          <w:rPr>
            <w:rStyle w:val="Hyperlink"/>
          </w:rPr>
          <w:t>https://learn.microsoft.com/en-us/purview/purview-security</w:t>
        </w:r>
      </w:hyperlink>
    </w:p>
  </w:footnote>
  <w:footnote w:id="50">
    <w:p w:rsidR="006014CF" w:rsidRDefault="00AB79FD">
      <w:r>
        <w:rPr>
          <w:rStyle w:val="FootnoteReference"/>
        </w:rPr>
        <w:footnoteRef/>
      </w:r>
      <w:hyperlink r:id="rId50" w:history="1">
        <w:r>
          <w:rPr>
            <w:rStyle w:val="Hyperlink"/>
          </w:rPr>
          <w:t>https://learn.microsoft.com/en</w:t>
        </w:r>
        <w:r>
          <w:rPr>
            <w:rStyle w:val="Hyperlink"/>
          </w:rPr>
          <w:t>-us/purview/legacy/concept-policies-data-owner</w:t>
        </w:r>
      </w:hyperlink>
    </w:p>
  </w:footnote>
  <w:footnote w:id="51">
    <w:p w:rsidR="006014CF" w:rsidRDefault="00AB79FD">
      <w:r>
        <w:rPr>
          <w:rStyle w:val="FootnoteReference"/>
        </w:rPr>
        <w:footnoteRef/>
      </w:r>
      <w:hyperlink r:id="rId51" w:history="1">
        <w:r>
          <w:rPr>
            <w:rStyle w:val="Hyperlink"/>
          </w:rPr>
          <w:t>https://learn.microsoft.com/en-us/purview/data-map-integration-runtime-choose</w:t>
        </w:r>
      </w:hyperlink>
    </w:p>
  </w:footnote>
  <w:footnote w:id="52">
    <w:p w:rsidR="006014CF" w:rsidRDefault="00AB79FD">
      <w:r>
        <w:rPr>
          <w:rStyle w:val="FootnoteReference"/>
        </w:rPr>
        <w:footnoteRef/>
      </w:r>
      <w:hyperlink r:id="rId52" w:history="1">
        <w:r>
          <w:rPr>
            <w:rStyle w:val="Hyperlink"/>
          </w:rPr>
          <w:t>https://learn.microsoft.com/en-us/purview/data-map-integration-runtime-self-hosted</w:t>
        </w:r>
      </w:hyperlink>
    </w:p>
  </w:footnote>
  <w:footnote w:id="53">
    <w:p w:rsidR="006014CF" w:rsidRDefault="00AB79FD">
      <w:r>
        <w:rPr>
          <w:rStyle w:val="FootnoteReference"/>
        </w:rPr>
        <w:footnoteRef/>
      </w:r>
      <w:hyperlink r:id="rId53" w:history="1">
        <w:r>
          <w:rPr>
            <w:rStyle w:val="Hyperlink"/>
          </w:rPr>
          <w:t>https://learn.microsoft.com/en-us/purview/data-map-integration-runtime-kubernetes</w:t>
        </w:r>
      </w:hyperlink>
    </w:p>
  </w:footnote>
  <w:footnote w:id="54">
    <w:p w:rsidR="006014CF" w:rsidRDefault="00AB79FD">
      <w:r>
        <w:rPr>
          <w:rStyle w:val="FootnoteReference"/>
        </w:rPr>
        <w:footnoteRef/>
      </w:r>
      <w:hyperlink r:id="rId54" w:history="1">
        <w:r>
          <w:rPr>
            <w:rStyle w:val="Hyperlink"/>
          </w:rPr>
          <w:t>https://learn.microsoft.com/en-us/purview/legacy/conce</w:t>
        </w:r>
        <w:r>
          <w:rPr>
            <w:rStyle w:val="Hyperlink"/>
          </w:rPr>
          <w:t>pt-best-practices-network</w:t>
        </w:r>
      </w:hyperlink>
    </w:p>
  </w:footnote>
  <w:footnote w:id="55">
    <w:p w:rsidR="006014CF" w:rsidRDefault="00AB79FD">
      <w:r>
        <w:rPr>
          <w:rStyle w:val="FootnoteReference"/>
        </w:rPr>
        <w:footnoteRef/>
      </w:r>
      <w:hyperlink r:id="rId55" w:history="1">
        <w:r>
          <w:rPr>
            <w:rStyle w:val="Hyperlink"/>
          </w:rPr>
          <w:t>https://learn.microsoft.com/en-us/purview/data-map</w:t>
        </w:r>
      </w:hyperlink>
    </w:p>
  </w:footnote>
  <w:footnote w:id="56">
    <w:p w:rsidR="006014CF" w:rsidRDefault="00AB79FD">
      <w:r>
        <w:rPr>
          <w:rStyle w:val="FootnoteReference"/>
        </w:rPr>
        <w:footnoteRef/>
      </w:r>
      <w:hyperlink r:id="rId56" w:history="1">
        <w:r>
          <w:rPr>
            <w:rStyle w:val="Hyperlink"/>
          </w:rPr>
          <w:t>https://learn.microsoft.com</w:t>
        </w:r>
        <w:r>
          <w:rPr>
            <w:rStyle w:val="Hyperlink"/>
          </w:rPr>
          <w:t>/en-us/purview/data-governance-overview</w:t>
        </w:r>
      </w:hyperlink>
    </w:p>
  </w:footnote>
  <w:footnote w:id="57">
    <w:p w:rsidR="006014CF" w:rsidRDefault="00AB79FD">
      <w:r>
        <w:rPr>
          <w:rStyle w:val="FootnoteReference"/>
        </w:rPr>
        <w:footnoteRef/>
      </w:r>
      <w:hyperlink r:id="rId57" w:history="1">
        <w:r>
          <w:rPr>
            <w:rStyle w:val="Hyperlink"/>
          </w:rPr>
          <w:t>https://learn.microsoft.com/en-us/purview/create-sensitivity-labels</w:t>
        </w:r>
      </w:hyperlink>
    </w:p>
  </w:footnote>
  <w:footnote w:id="58">
    <w:p w:rsidR="006014CF" w:rsidRDefault="00AB79FD">
      <w:r>
        <w:rPr>
          <w:rStyle w:val="FootnoteReference"/>
        </w:rPr>
        <w:footnoteRef/>
      </w:r>
      <w:hyperlink r:id="rId58" w:history="1">
        <w:r>
          <w:rPr>
            <w:rStyle w:val="Hyperlink"/>
          </w:rPr>
          <w:t>https://learn.microsoft.com/en-us/purview/sensitivity-labels</w:t>
        </w:r>
      </w:hyperlink>
    </w:p>
  </w:footnote>
  <w:footnote w:id="59">
    <w:p w:rsidR="006014CF" w:rsidRDefault="00AB79FD">
      <w:r>
        <w:rPr>
          <w:rStyle w:val="FootnoteReference"/>
        </w:rPr>
        <w:footnoteRef/>
      </w:r>
      <w:hyperlink r:id="rId59" w:history="1">
        <w:r>
          <w:rPr>
            <w:rStyle w:val="Hyperlink"/>
          </w:rPr>
          <w:t>https://learn.microsoft.com/en-us/purview/purview-security</w:t>
        </w:r>
      </w:hyperlink>
    </w:p>
  </w:footnote>
  <w:footnote w:id="60">
    <w:p w:rsidR="006014CF" w:rsidRDefault="00AB79FD">
      <w:r>
        <w:rPr>
          <w:rStyle w:val="FootnoteReference"/>
        </w:rPr>
        <w:footnoteRef/>
      </w:r>
      <w:hyperlink r:id="rId60" w:history="1">
        <w:r>
          <w:rPr>
            <w:rStyle w:val="Hyperlink"/>
          </w:rPr>
          <w:t>https://learn.microsoft.com/en-us/purview/dlp-adaptive-protection-learn</w:t>
        </w:r>
      </w:hyperlink>
    </w:p>
  </w:footnote>
  <w:footnote w:id="61">
    <w:p w:rsidR="006014CF" w:rsidRDefault="00AB79FD">
      <w:r>
        <w:rPr>
          <w:rStyle w:val="FootnoteReference"/>
        </w:rPr>
        <w:footnoteRef/>
      </w:r>
      <w:hyperlink r:id="rId61" w:history="1">
        <w:r>
          <w:rPr>
            <w:rStyle w:val="Hyperlink"/>
          </w:rPr>
          <w:t>https://learn.microsoft.com/en-us/purview/how-to-</w:t>
        </w:r>
        <w:r>
          <w:rPr>
            <w:rStyle w:val="Hyperlink"/>
          </w:rPr>
          <w:t>create-protection-policy</w:t>
        </w:r>
      </w:hyperlink>
    </w:p>
  </w:footnote>
  <w:footnote w:id="62">
    <w:p w:rsidR="006014CF" w:rsidRDefault="00AB79FD">
      <w:r>
        <w:rPr>
          <w:rStyle w:val="FootnoteReference"/>
        </w:rPr>
        <w:footnoteRef/>
      </w:r>
      <w:hyperlink r:id="rId62" w:history="1">
        <w:r>
          <w:rPr>
            <w:rStyle w:val="Hyperlink"/>
          </w:rPr>
          <w:t>https://learn.microsoft.com/en-us/purview/legacy/concept-policies-data-owner</w:t>
        </w:r>
      </w:hyperlink>
    </w:p>
  </w:footnote>
  <w:footnote w:id="63">
    <w:p w:rsidR="006014CF" w:rsidRDefault="00AB79FD">
      <w:r>
        <w:rPr>
          <w:rStyle w:val="FootnoteReference"/>
        </w:rPr>
        <w:footnoteRef/>
      </w:r>
      <w:hyperlink r:id="rId63" w:history="1">
        <w:r>
          <w:rPr>
            <w:rStyle w:val="Hyperlink"/>
          </w:rPr>
          <w:t>https://learn.microsoft.com/en-us/purview/legacy/how-to-policies-data-owner-storage</w:t>
        </w:r>
      </w:hyperlink>
    </w:p>
  </w:footnote>
  <w:footnote w:id="64">
    <w:p w:rsidR="006014CF" w:rsidRDefault="00AB79FD">
      <w:r>
        <w:rPr>
          <w:rStyle w:val="FootnoteReference"/>
        </w:rPr>
        <w:footnoteRef/>
      </w:r>
      <w:hyperlink r:id="rId64" w:history="1">
        <w:r>
          <w:rPr>
            <w:rStyle w:val="Hyperlink"/>
          </w:rPr>
          <w:t>https://learn.microsoft.com/en-us/purview/data-</w:t>
        </w:r>
        <w:r>
          <w:rPr>
            <w:rStyle w:val="Hyperlink"/>
          </w:rPr>
          <w:t>gov-classic-lineage</w:t>
        </w:r>
      </w:hyperlink>
    </w:p>
  </w:footnote>
  <w:footnote w:id="65">
    <w:p w:rsidR="006014CF" w:rsidRDefault="00AB79FD">
      <w:r>
        <w:rPr>
          <w:rStyle w:val="FootnoteReference"/>
        </w:rPr>
        <w:footnoteRef/>
      </w:r>
      <w:hyperlink r:id="rId65" w:history="1">
        <w:r>
          <w:rPr>
            <w:rStyle w:val="Hyperlink"/>
          </w:rPr>
          <w:t>https://learn.microsoft.com/en-us/purview/data-map-lineage-fabric</w:t>
        </w:r>
      </w:hyperlink>
    </w:p>
  </w:footnote>
  <w:footnote w:id="66">
    <w:p w:rsidR="006014CF" w:rsidRDefault="00AB79FD">
      <w:r>
        <w:rPr>
          <w:rStyle w:val="FootnoteReference"/>
        </w:rPr>
        <w:footnoteRef/>
      </w:r>
      <w:hyperlink r:id="rId66" w:history="1">
        <w:r>
          <w:rPr>
            <w:rStyle w:val="Hyperlink"/>
          </w:rPr>
          <w:t>https://learn.microsoft.com/en-us/purview/register-scan-fabric-tenant</w:t>
        </w:r>
      </w:hyperlink>
    </w:p>
  </w:footnote>
  <w:footnote w:id="67">
    <w:p w:rsidR="006014CF" w:rsidRDefault="00AB79FD">
      <w:r>
        <w:rPr>
          <w:rStyle w:val="FootnoteReference"/>
        </w:rPr>
        <w:footnoteRef/>
      </w:r>
      <w:hyperlink r:id="rId67" w:history="1">
        <w:r>
          <w:rPr>
            <w:rStyle w:val="Hyperlink"/>
          </w:rPr>
          <w:t>https://learn.microsoft.com/en-us/purview/data-map-lineage-fabric</w:t>
        </w:r>
      </w:hyperlink>
    </w:p>
  </w:footnote>
  <w:footnote w:id="68">
    <w:p w:rsidR="006014CF" w:rsidRDefault="00AB79FD">
      <w:r>
        <w:rPr>
          <w:rStyle w:val="FootnoteReference"/>
        </w:rPr>
        <w:footnoteRef/>
      </w:r>
      <w:hyperlink r:id="rId68" w:history="1">
        <w:r>
          <w:rPr>
            <w:rStyle w:val="Hyperlink"/>
          </w:rPr>
          <w:t>https://learn.microsoft.com/en-us/fabric/governance/use-microsoft-purview-hub</w:t>
        </w:r>
      </w:hyperlink>
    </w:p>
  </w:footnote>
  <w:footnote w:id="69">
    <w:p w:rsidR="006014CF" w:rsidRDefault="00AB79FD">
      <w:r>
        <w:rPr>
          <w:rStyle w:val="FootnoteReference"/>
        </w:rPr>
        <w:footnoteRef/>
      </w:r>
      <w:hyperlink r:id="rId69" w:history="1">
        <w:r>
          <w:rPr>
            <w:rStyle w:val="Hyperlink"/>
          </w:rPr>
          <w:t>https://learn.microsoft.com/en-us/purview/purv</w:t>
        </w:r>
        <w:r>
          <w:rPr>
            <w:rStyle w:val="Hyperlink"/>
          </w:rPr>
          <w:t>iew-portal</w:t>
        </w:r>
      </w:hyperlink>
    </w:p>
  </w:footnote>
  <w:footnote w:id="70">
    <w:p w:rsidR="006014CF" w:rsidRDefault="00AB79FD">
      <w:r>
        <w:rPr>
          <w:rStyle w:val="FootnoteReference"/>
        </w:rPr>
        <w:footnoteRef/>
      </w:r>
      <w:hyperlink r:id="rId70" w:history="1">
        <w:r>
          <w:rPr>
            <w:rStyle w:val="Hyperlink"/>
          </w:rPr>
          <w:t>https://learn.microsoft.com/en-us/purview/purview-portal</w:t>
        </w:r>
      </w:hyperlink>
    </w:p>
  </w:footnote>
  <w:footnote w:id="71">
    <w:p w:rsidR="006014CF" w:rsidRDefault="00AB79FD">
      <w:r>
        <w:rPr>
          <w:rStyle w:val="FootnoteReference"/>
        </w:rPr>
        <w:footnoteRef/>
      </w:r>
      <w:hyperlink r:id="rId71" w:history="1">
        <w:r>
          <w:rPr>
            <w:rStyle w:val="Hyperlink"/>
          </w:rPr>
          <w:t>https://learn.micro</w:t>
        </w:r>
        <w:r>
          <w:rPr>
            <w:rStyle w:val="Hyperlink"/>
          </w:rPr>
          <w:t>soft.com/en-us/purview/data-map-integration-runtime-choose</w:t>
        </w:r>
      </w:hyperlink>
    </w:p>
  </w:footnote>
  <w:footnote w:id="72">
    <w:p w:rsidR="006014CF" w:rsidRDefault="00AB79FD">
      <w:r>
        <w:rPr>
          <w:rStyle w:val="FootnoteReference"/>
        </w:rPr>
        <w:footnoteRef/>
      </w:r>
      <w:hyperlink r:id="rId72" w:history="1">
        <w:r>
          <w:rPr>
            <w:rStyle w:val="Hyperlink"/>
          </w:rPr>
          <w:t>https://learn.microsoft.com/en-us/purview/data-map-integration-runtime-self-hosted</w:t>
        </w:r>
      </w:hyperlink>
    </w:p>
  </w:footnote>
  <w:footnote w:id="73">
    <w:p w:rsidR="006014CF" w:rsidRDefault="00AB79FD">
      <w:r>
        <w:rPr>
          <w:rStyle w:val="FootnoteReference"/>
        </w:rPr>
        <w:footnoteRef/>
      </w:r>
      <w:hyperlink r:id="rId73" w:history="1">
        <w:r>
          <w:rPr>
            <w:rStyle w:val="Hyperlink"/>
          </w:rPr>
          <w:t>https://learn.microsoft.com/en-us/purview/data-map-integration-runtime-kubernetes</w:t>
        </w:r>
      </w:hyperlink>
    </w:p>
  </w:footnote>
  <w:footnote w:id="74">
    <w:p w:rsidR="006014CF" w:rsidRDefault="00AB79FD">
      <w:r>
        <w:rPr>
          <w:rStyle w:val="FootnoteReference"/>
        </w:rPr>
        <w:footnoteRef/>
      </w:r>
      <w:hyperlink r:id="rId74" w:history="1">
        <w:r>
          <w:rPr>
            <w:rStyle w:val="Hyperlink"/>
          </w:rPr>
          <w:t>https:</w:t>
        </w:r>
        <w:r>
          <w:rPr>
            <w:rStyle w:val="Hyperlink"/>
          </w:rPr>
          <w:t>//learn.microsoft.com/en-us/purview/data-map-scan-ingestion</w:t>
        </w:r>
      </w:hyperlink>
    </w:p>
  </w:footnote>
  <w:footnote w:id="75">
    <w:p w:rsidR="006014CF" w:rsidRDefault="00AB79FD">
      <w:r>
        <w:rPr>
          <w:rStyle w:val="FootnoteReference"/>
        </w:rPr>
        <w:footnoteRef/>
      </w:r>
      <w:hyperlink r:id="rId75" w:history="1">
        <w:r>
          <w:rPr>
            <w:rStyle w:val="Hyperlink"/>
          </w:rPr>
          <w:t>https://learn.microsoft.com/en-us/purview/data-map-classification</w:t>
        </w:r>
      </w:hyperlink>
    </w:p>
  </w:footnote>
  <w:footnote w:id="76">
    <w:p w:rsidR="006014CF" w:rsidRDefault="00AB79FD">
      <w:r>
        <w:rPr>
          <w:rStyle w:val="FootnoteReference"/>
        </w:rPr>
        <w:footnoteRef/>
      </w:r>
      <w:hyperlink r:id="rId76" w:history="1">
        <w:r>
          <w:rPr>
            <w:rStyle w:val="Hyperlink"/>
          </w:rPr>
          <w:t>https://learn.microsoft.com/en-us/purview/sensitivity-labels</w:t>
        </w:r>
      </w:hyperlink>
    </w:p>
  </w:footnote>
  <w:footnote w:id="77">
    <w:p w:rsidR="006014CF" w:rsidRDefault="00AB79FD">
      <w:r>
        <w:rPr>
          <w:rStyle w:val="FootnoteReference"/>
        </w:rPr>
        <w:footnoteRef/>
      </w:r>
      <w:hyperlink r:id="rId77" w:history="1">
        <w:r>
          <w:rPr>
            <w:rStyle w:val="Hyperlink"/>
          </w:rPr>
          <w:t>https://learn.microsoft.com/en-us/purview/get-started-with-sensitivit</w:t>
        </w:r>
        <w:r>
          <w:rPr>
            <w:rStyle w:val="Hyperlink"/>
          </w:rPr>
          <w:t>y-labels</w:t>
        </w:r>
      </w:hyperlink>
    </w:p>
  </w:footnote>
  <w:footnote w:id="78">
    <w:p w:rsidR="006014CF" w:rsidRDefault="00AB79FD">
      <w:r>
        <w:rPr>
          <w:rStyle w:val="FootnoteReference"/>
        </w:rPr>
        <w:footnoteRef/>
      </w:r>
      <w:hyperlink r:id="rId78" w:history="1">
        <w:r>
          <w:rPr>
            <w:rStyle w:val="Hyperlink"/>
          </w:rPr>
          <w:t>https://learn.microsoft.com/en-us/purview/purview-security</w:t>
        </w:r>
      </w:hyperlink>
    </w:p>
  </w:footnote>
  <w:footnote w:id="79">
    <w:p w:rsidR="006014CF" w:rsidRDefault="00AB79FD">
      <w:r>
        <w:rPr>
          <w:rStyle w:val="FootnoteReference"/>
        </w:rPr>
        <w:footnoteRef/>
      </w:r>
      <w:hyperlink r:id="rId79" w:history="1">
        <w:r>
          <w:rPr>
            <w:rStyle w:val="Hyperlink"/>
          </w:rPr>
          <w:t>https://learn.microsoft</w:t>
        </w:r>
        <w:r>
          <w:rPr>
            <w:rStyle w:val="Hyperlink"/>
          </w:rPr>
          <w:t>.com/en-us/purview/dlp-adaptive-protection-learn</w:t>
        </w:r>
      </w:hyperlink>
    </w:p>
  </w:footnote>
  <w:footnote w:id="80">
    <w:p w:rsidR="006014CF" w:rsidRDefault="00AB79FD">
      <w:r>
        <w:rPr>
          <w:rStyle w:val="FootnoteReference"/>
        </w:rPr>
        <w:footnoteRef/>
      </w:r>
      <w:hyperlink r:id="rId80" w:history="1">
        <w:r>
          <w:rPr>
            <w:rStyle w:val="Hyperlink"/>
          </w:rPr>
          <w:t>https://learn.microsoft.com/en-us/purview/manage-data-governance</w:t>
        </w:r>
      </w:hyperlink>
    </w:p>
  </w:footnote>
  <w:footnote w:id="81">
    <w:p w:rsidR="006014CF" w:rsidRDefault="00AB79FD">
      <w:r>
        <w:rPr>
          <w:rStyle w:val="FootnoteReference"/>
        </w:rPr>
        <w:footnoteRef/>
      </w:r>
      <w:hyperlink r:id="rId81" w:history="1">
        <w:r>
          <w:rPr>
            <w:rStyle w:val="Hyperlink"/>
          </w:rPr>
          <w:t>https://learn.microsoft.com/en-us/purview/edisc</w:t>
        </w:r>
      </w:hyperlink>
    </w:p>
  </w:footnote>
  <w:footnote w:id="82">
    <w:p w:rsidR="006014CF" w:rsidRDefault="00AB79FD">
      <w:r>
        <w:rPr>
          <w:rStyle w:val="FootnoteReference"/>
        </w:rPr>
        <w:footnoteRef/>
      </w:r>
      <w:hyperlink r:id="rId82" w:history="1">
        <w:r>
          <w:rPr>
            <w:rStyle w:val="Hyperlink"/>
          </w:rPr>
          <w:t>https://learn.microsoft.com/en-us/purview/register-scan-fab</w:t>
        </w:r>
        <w:r>
          <w:rPr>
            <w:rStyle w:val="Hyperlink"/>
          </w:rPr>
          <w:t>ric-tenant</w:t>
        </w:r>
      </w:hyperlink>
    </w:p>
  </w:footnote>
  <w:footnote w:id="83">
    <w:p w:rsidR="006014CF" w:rsidRDefault="00AB79FD">
      <w:r>
        <w:rPr>
          <w:rStyle w:val="FootnoteReference"/>
        </w:rPr>
        <w:footnoteRef/>
      </w:r>
      <w:hyperlink r:id="rId83" w:history="1">
        <w:r>
          <w:rPr>
            <w:rStyle w:val="Hyperlink"/>
          </w:rPr>
          <w:t>https://learn.microsoft.com/en-us/fabric/governance/use-microsoft-purview-hub</w:t>
        </w:r>
      </w:hyperlink>
    </w:p>
  </w:footnote>
  <w:footnote w:id="84">
    <w:p w:rsidR="006014CF" w:rsidRDefault="00AB79FD">
      <w:r>
        <w:rPr>
          <w:rStyle w:val="FootnoteReference"/>
        </w:rPr>
        <w:footnoteRef/>
      </w:r>
      <w:hyperlink r:id="rId84" w:history="1">
        <w:r>
          <w:rPr>
            <w:rStyle w:val="Hyperlink"/>
          </w:rPr>
          <w:t>https://learn.microsoft.com/en-us/purview/how-to-create-protection-policy</w:t>
        </w:r>
      </w:hyperlink>
    </w:p>
  </w:footnote>
  <w:footnote w:id="85">
    <w:p w:rsidR="006014CF" w:rsidRDefault="00AB79FD">
      <w:r>
        <w:rPr>
          <w:rStyle w:val="FootnoteReference"/>
        </w:rPr>
        <w:footnoteRef/>
      </w:r>
      <w:hyperlink r:id="rId85" w:history="1">
        <w:r>
          <w:rPr>
            <w:rStyle w:val="Hyperlink"/>
          </w:rPr>
          <w:t>https://learn.microsoft.com/en-us/purview/legacy/concept-policies-dat</w:t>
        </w:r>
        <w:r>
          <w:rPr>
            <w:rStyle w:val="Hyperlink"/>
          </w:rPr>
          <w:t>a-owner</w:t>
        </w:r>
      </w:hyperlink>
    </w:p>
  </w:footnote>
  <w:footnote w:id="86">
    <w:p w:rsidR="006014CF" w:rsidRDefault="00AB79FD">
      <w:r>
        <w:rPr>
          <w:rStyle w:val="FootnoteReference"/>
        </w:rPr>
        <w:footnoteRef/>
      </w:r>
      <w:hyperlink r:id="rId86" w:history="1">
        <w:r>
          <w:rPr>
            <w:rStyle w:val="Hyperlink"/>
          </w:rPr>
          <w:t>https://learn.microsoft.com/en-us/purview/legacy/concept-best-practices-network</w:t>
        </w:r>
      </w:hyperlink>
    </w:p>
  </w:footnote>
  <w:footnote w:id="87">
    <w:p w:rsidR="006014CF" w:rsidRDefault="00AB79FD">
      <w:r>
        <w:rPr>
          <w:rStyle w:val="FootnoteReference"/>
        </w:rPr>
        <w:footnoteRef/>
      </w:r>
      <w:hyperlink r:id="rId87" w:history="1">
        <w:r>
          <w:rPr>
            <w:rStyle w:val="Hyperlink"/>
          </w:rPr>
          <w:t>https://learn.microsoft.com/en-us/office365/servicedescriptions/microsoft-365-service-descriptions/microsoft-365-tenant</w:t>
        </w:r>
        <w:r>
          <w:rPr>
            <w:rStyle w:val="Hyperlink"/>
          </w:rPr>
          <w:t>level-services-licensing-guidance/microsoft-purview-service-description</w:t>
        </w:r>
      </w:hyperlink>
    </w:p>
  </w:footnote>
  <w:footnote w:id="88">
    <w:p w:rsidR="006014CF" w:rsidRDefault="00AB79FD">
      <w:r>
        <w:rPr>
          <w:rStyle w:val="FootnoteReference"/>
        </w:rPr>
        <w:footnoteRef/>
      </w:r>
      <w:hyperlink r:id="rId88" w:history="1">
        <w:r>
          <w:rPr>
            <w:rStyle w:val="Hyperlink"/>
          </w:rPr>
          <w:t>https://learn.microsoft.com/en-us/purview/data-governance-overview</w:t>
        </w:r>
      </w:hyperlink>
    </w:p>
  </w:footnote>
  <w:footnote w:id="89">
    <w:p w:rsidR="006014CF" w:rsidRDefault="00AB79FD">
      <w:r>
        <w:rPr>
          <w:rStyle w:val="FootnoteReference"/>
        </w:rPr>
        <w:footnoteRef/>
      </w:r>
      <w:hyperlink r:id="rId89" w:history="1">
        <w:r>
          <w:rPr>
            <w:rStyle w:val="Hyperlink"/>
          </w:rPr>
          <w:t>https://learn.microsoft.com/en-us/purview/purview-security</w:t>
        </w:r>
      </w:hyperlink>
    </w:p>
  </w:footnote>
  <w:footnote w:id="90">
    <w:p w:rsidR="006014CF" w:rsidRDefault="00AB79FD">
      <w:r>
        <w:rPr>
          <w:rStyle w:val="FootnoteReference"/>
        </w:rPr>
        <w:footnoteRef/>
      </w:r>
      <w:hyperlink r:id="rId90" w:history="1">
        <w:r>
          <w:rPr>
            <w:rStyle w:val="Hyperlink"/>
          </w:rPr>
          <w:t>https://learn.microsoft.com/en-us/purview/purview</w:t>
        </w:r>
      </w:hyperlink>
    </w:p>
  </w:footnote>
  <w:footnote w:id="91">
    <w:p w:rsidR="006014CF" w:rsidRDefault="00AB79FD">
      <w:r>
        <w:rPr>
          <w:rStyle w:val="FootnoteReference"/>
        </w:rPr>
        <w:footnoteRef/>
      </w:r>
      <w:hyperlink r:id="rId91" w:history="1">
        <w:r>
          <w:rPr>
            <w:rStyle w:val="Hyperlink"/>
          </w:rPr>
          <w:t>https://learn.microsoft.com/en-us/purview/manage-data-governance</w:t>
        </w:r>
      </w:hyperlink>
    </w:p>
  </w:footnote>
  <w:footnote w:id="92">
    <w:p w:rsidR="006014CF" w:rsidRDefault="00AB79FD">
      <w:r>
        <w:rPr>
          <w:rStyle w:val="FootnoteReference"/>
        </w:rPr>
        <w:footnoteRef/>
      </w:r>
      <w:hyperlink r:id="rId92" w:history="1">
        <w:r>
          <w:rPr>
            <w:rStyle w:val="Hyperlink"/>
          </w:rPr>
          <w:t>https://learn.microsoft.com/en-us/office365/servicedescriptions/microsoft-365-service-descriptions/microsoft-365-tenantlevel-services-licensing-guidance/microsoft-purview-service-description</w:t>
        </w:r>
      </w:hyperlink>
    </w:p>
  </w:footnote>
  <w:footnote w:id="93">
    <w:p w:rsidR="006014CF" w:rsidRDefault="00AB79FD">
      <w:r>
        <w:rPr>
          <w:rStyle w:val="FootnoteReference"/>
        </w:rPr>
        <w:footnoteRef/>
      </w:r>
      <w:hyperlink r:id="rId93" w:history="1">
        <w:r>
          <w:rPr>
            <w:rStyle w:val="Hyperlink"/>
          </w:rPr>
          <w:t>https://learn.microsoft.com/en-us/purview/edisc</w:t>
        </w:r>
      </w:hyperlink>
    </w:p>
  </w:footnote>
  <w:footnote w:id="94">
    <w:p w:rsidR="006014CF" w:rsidRDefault="00AB79FD">
      <w:r>
        <w:rPr>
          <w:rStyle w:val="FootnoteReference"/>
        </w:rPr>
        <w:footnoteRef/>
      </w:r>
      <w:hyperlink r:id="rId94" w:history="1">
        <w:r>
          <w:rPr>
            <w:rStyle w:val="Hyperlink"/>
          </w:rPr>
          <w:t>https://learn.microsoft.com/en-us/purview/data-map</w:t>
        </w:r>
      </w:hyperlink>
    </w:p>
  </w:footnote>
  <w:footnote w:id="95">
    <w:p w:rsidR="006014CF" w:rsidRDefault="00AB79FD">
      <w:r>
        <w:rPr>
          <w:rStyle w:val="FootnoteReference"/>
        </w:rPr>
        <w:footnoteRef/>
      </w:r>
      <w:hyperlink r:id="rId95" w:history="1">
        <w:r>
          <w:rPr>
            <w:rStyle w:val="Hyperlink"/>
          </w:rPr>
          <w:t>https://learn.microsoft.com/en-us/purview/data-governance-overview</w:t>
        </w:r>
      </w:hyperlink>
    </w:p>
  </w:footnote>
  <w:footnote w:id="96">
    <w:p w:rsidR="006014CF" w:rsidRDefault="00AB79FD">
      <w:r>
        <w:rPr>
          <w:rStyle w:val="FootnoteReference"/>
        </w:rPr>
        <w:footnoteRef/>
      </w:r>
      <w:hyperlink r:id="rId96" w:history="1">
        <w:r>
          <w:rPr>
            <w:rStyle w:val="Hyperlink"/>
          </w:rPr>
          <w:t>https://learn.microsoft.com/en-us/purview/data-map-classification</w:t>
        </w:r>
      </w:hyperlink>
    </w:p>
  </w:footnote>
  <w:footnote w:id="97">
    <w:p w:rsidR="006014CF" w:rsidRDefault="00AB79FD">
      <w:r>
        <w:rPr>
          <w:rStyle w:val="FootnoteReference"/>
        </w:rPr>
        <w:footnoteRef/>
      </w:r>
      <w:hyperlink r:id="rId97" w:history="1">
        <w:r>
          <w:rPr>
            <w:rStyle w:val="Hyperlink"/>
          </w:rPr>
          <w:t>https://learn.microsoft.com/en-us/purview/sensitivity-labels</w:t>
        </w:r>
      </w:hyperlink>
    </w:p>
  </w:footnote>
  <w:footnote w:id="98">
    <w:p w:rsidR="006014CF" w:rsidRDefault="00AB79FD">
      <w:r>
        <w:rPr>
          <w:rStyle w:val="FootnoteReference"/>
        </w:rPr>
        <w:footnoteRef/>
      </w:r>
      <w:hyperlink r:id="rId98" w:history="1">
        <w:r>
          <w:rPr>
            <w:rStyle w:val="Hyperlink"/>
          </w:rPr>
          <w:t>https://learn.microsoft.com/en-us/purview/purview-security</w:t>
        </w:r>
      </w:hyperlink>
    </w:p>
  </w:footnote>
  <w:footnote w:id="99">
    <w:p w:rsidR="006014CF" w:rsidRDefault="00AB79FD">
      <w:r>
        <w:rPr>
          <w:rStyle w:val="FootnoteReference"/>
        </w:rPr>
        <w:footnoteRef/>
      </w:r>
      <w:hyperlink r:id="rId99" w:history="1">
        <w:r>
          <w:rPr>
            <w:rStyle w:val="Hyperlink"/>
          </w:rPr>
          <w:t>https://learn.microsoft.com/en-us/purview/data-classification-overview</w:t>
        </w:r>
      </w:hyperlink>
    </w:p>
  </w:footnote>
  <w:footnote w:id="100">
    <w:p w:rsidR="006014CF" w:rsidRDefault="00AB79FD">
      <w:r>
        <w:rPr>
          <w:rStyle w:val="FootnoteReference"/>
        </w:rPr>
        <w:footnoteRef/>
      </w:r>
      <w:hyperlink r:id="rId100" w:history="1">
        <w:r>
          <w:rPr>
            <w:rStyle w:val="Hyperlink"/>
          </w:rPr>
          <w:t>https://learn.microsoft.com/en-us/purview/data-gov-classic-lineage</w:t>
        </w:r>
      </w:hyperlink>
    </w:p>
  </w:footnote>
  <w:footnote w:id="101">
    <w:p w:rsidR="006014CF" w:rsidRDefault="00AB79FD">
      <w:r>
        <w:rPr>
          <w:rStyle w:val="FootnoteReference"/>
        </w:rPr>
        <w:footnoteRef/>
      </w:r>
      <w:hyperlink r:id="rId101" w:history="1">
        <w:r>
          <w:rPr>
            <w:rStyle w:val="Hyperlink"/>
          </w:rPr>
          <w:t>https://learn.microsoft.com/en-us/p</w:t>
        </w:r>
        <w:r>
          <w:rPr>
            <w:rStyle w:val="Hyperlink"/>
          </w:rPr>
          <w:t>urview/data-map-lineage-fabric</w:t>
        </w:r>
      </w:hyperlink>
    </w:p>
  </w:footnote>
  <w:footnote w:id="102">
    <w:p w:rsidR="006014CF" w:rsidRDefault="00AB79FD">
      <w:r>
        <w:rPr>
          <w:rStyle w:val="FootnoteReference"/>
        </w:rPr>
        <w:footnoteRef/>
      </w:r>
      <w:hyperlink r:id="rId102" w:history="1">
        <w:r>
          <w:rPr>
            <w:rStyle w:val="Hyperlink"/>
          </w:rPr>
          <w:t>https://learn.microsoft.com/en-us/purview/dlp-adaptive-protection-learn</w:t>
        </w:r>
      </w:hyperlink>
    </w:p>
  </w:footnote>
  <w:footnote w:id="103">
    <w:p w:rsidR="006014CF" w:rsidRDefault="00AB79FD">
      <w:r>
        <w:rPr>
          <w:rStyle w:val="FootnoteReference"/>
        </w:rPr>
        <w:footnoteRef/>
      </w:r>
      <w:hyperlink r:id="rId103" w:history="1">
        <w:r>
          <w:rPr>
            <w:rStyle w:val="Hyperlink"/>
          </w:rPr>
          <w:t>https://learn.microsoft.com/en-us/purview/insider-risk-management-adaptive-protection</w:t>
        </w:r>
      </w:hyperlink>
    </w:p>
  </w:footnote>
  <w:footnote w:id="104">
    <w:p w:rsidR="006014CF" w:rsidRDefault="00AB79FD">
      <w:r>
        <w:rPr>
          <w:rStyle w:val="FootnoteReference"/>
        </w:rPr>
        <w:footnoteRef/>
      </w:r>
      <w:hyperlink r:id="rId104" w:history="1">
        <w:r>
          <w:rPr>
            <w:rStyle w:val="Hyperlink"/>
          </w:rPr>
          <w:t>https://learn.microsoft.com/en-us/fa</w:t>
        </w:r>
        <w:r>
          <w:rPr>
            <w:rStyle w:val="Hyperlink"/>
          </w:rPr>
          <w:t>bric/governance/use-microsoft-purview-hub</w:t>
        </w:r>
      </w:hyperlink>
    </w:p>
  </w:footnote>
  <w:footnote w:id="105">
    <w:p w:rsidR="006014CF" w:rsidRDefault="00AB79FD">
      <w:r>
        <w:rPr>
          <w:rStyle w:val="FootnoteReference"/>
        </w:rPr>
        <w:footnoteRef/>
      </w:r>
      <w:hyperlink r:id="rId105" w:history="1">
        <w:r>
          <w:rPr>
            <w:rStyle w:val="Hyperlink"/>
          </w:rPr>
          <w:t>http</w:t>
        </w:r>
        <w:bookmarkStart w:id="0" w:name="_GoBack"/>
        <w:bookmarkEnd w:id="0"/>
        <w:r>
          <w:rPr>
            <w:rStyle w:val="Hyperlink"/>
          </w:rPr>
          <w:t>s://learn.microsoft.com/en-us/purview/data-map-scan-ingestion</w:t>
        </w:r>
      </w:hyperlink>
    </w:p>
  </w:footnote>
  <w:footnote w:id="106">
    <w:p w:rsidR="006014CF" w:rsidRDefault="00AB79FD">
      <w:r>
        <w:rPr>
          <w:rStyle w:val="FootnoteReference"/>
        </w:rPr>
        <w:footnoteRef/>
      </w:r>
      <w:hyperlink r:id="rId106" w:history="1">
        <w:r>
          <w:rPr>
            <w:rStyle w:val="Hyperlink"/>
          </w:rPr>
          <w:t>https://learn.microsoft.com/en-us/purview/data-governance-plan</w:t>
        </w:r>
      </w:hyperlink>
    </w:p>
  </w:footnote>
  <w:footnote w:id="107">
    <w:p w:rsidR="006014CF" w:rsidRDefault="00AB79FD">
      <w:r>
        <w:rPr>
          <w:rStyle w:val="FootnoteReference"/>
        </w:rPr>
        <w:footnoteRef/>
      </w:r>
      <w:hyperlink r:id="rId107" w:history="1">
        <w:r>
          <w:rPr>
            <w:rStyle w:val="Hyperlink"/>
          </w:rPr>
          <w:t>https://learn.microsoft.com/en-us/purview/unified-catalog-glossary-terms</w:t>
        </w:r>
      </w:hyperlink>
    </w:p>
  </w:footnote>
  <w:footnote w:id="108">
    <w:p w:rsidR="006014CF" w:rsidRDefault="00AB79FD">
      <w:r>
        <w:rPr>
          <w:rStyle w:val="FootnoteReference"/>
        </w:rPr>
        <w:footnoteRef/>
      </w:r>
      <w:hyperlink r:id="rId108" w:history="1">
        <w:r>
          <w:rPr>
            <w:rStyle w:val="Hyperlink"/>
          </w:rPr>
          <w:t>https://learn.microsoft.com/en-us/purview/data-map-integration-runtime-self-hosted</w:t>
        </w:r>
      </w:hyperlink>
    </w:p>
  </w:footnote>
  <w:footnote w:id="109">
    <w:p w:rsidR="006014CF" w:rsidRDefault="00AB79FD">
      <w:r>
        <w:rPr>
          <w:rStyle w:val="FootnoteReference"/>
        </w:rPr>
        <w:footnoteRef/>
      </w:r>
      <w:hyperlink r:id="rId109" w:history="1">
        <w:r>
          <w:rPr>
            <w:rStyle w:val="Hyperlink"/>
          </w:rPr>
          <w:t>https://learn.microsoft.com/en-us/purview/data-map-integration-runtime-kubernetes</w:t>
        </w:r>
      </w:hyperlink>
    </w:p>
  </w:footnote>
  <w:footnote w:id="110">
    <w:p w:rsidR="006014CF" w:rsidRDefault="00AB79FD">
      <w:r>
        <w:rPr>
          <w:rStyle w:val="FootnoteReference"/>
        </w:rPr>
        <w:footnoteRef/>
      </w:r>
      <w:hyperlink r:id="rId110" w:history="1">
        <w:r>
          <w:rPr>
            <w:rStyle w:val="Hyperlink"/>
          </w:rPr>
          <w:t>https://learn.microsoft.com/en-us/purview/legacy/concept-policies-data-owner</w:t>
        </w:r>
      </w:hyperlink>
    </w:p>
  </w:footnote>
  <w:footnote w:id="111">
    <w:p w:rsidR="006014CF" w:rsidRDefault="00AB79FD">
      <w:r>
        <w:rPr>
          <w:rStyle w:val="FootnoteReference"/>
        </w:rPr>
        <w:footnoteRef/>
      </w:r>
      <w:hyperlink r:id="rId111" w:history="1">
        <w:r>
          <w:rPr>
            <w:rStyle w:val="Hyperlink"/>
          </w:rPr>
          <w:t>https://learn.microsoft.com/en-us/purview/how-to-create-protection-policy</w:t>
        </w:r>
      </w:hyperlink>
    </w:p>
  </w:footnote>
  <w:footnote w:id="112">
    <w:p w:rsidR="006014CF" w:rsidRDefault="00AB79FD">
      <w:r>
        <w:rPr>
          <w:rStyle w:val="FootnoteReference"/>
        </w:rPr>
        <w:footnoteRef/>
      </w:r>
      <w:hyperlink r:id="rId112" w:history="1">
        <w:r>
          <w:rPr>
            <w:rStyle w:val="Hyperlink"/>
          </w:rPr>
          <w:t>https://learn.microsoft.com/en-us/purview/register-scan-fabric-tenant</w:t>
        </w:r>
      </w:hyperlink>
    </w:p>
  </w:footnote>
  <w:footnote w:id="113">
    <w:p w:rsidR="006014CF" w:rsidRDefault="00AB79FD">
      <w:r>
        <w:rPr>
          <w:rStyle w:val="FootnoteReference"/>
        </w:rPr>
        <w:footnoteRef/>
      </w:r>
      <w:hyperlink r:id="rId113" w:history="1">
        <w:r>
          <w:rPr>
            <w:rStyle w:val="Hyperlink"/>
          </w:rPr>
          <w:t>https://learn.micro</w:t>
        </w:r>
        <w:r>
          <w:rPr>
            <w:rStyle w:val="Hyperlink"/>
          </w:rPr>
          <w:t>soft.com/en-us/purview/data-map-lineage-fabric</w:t>
        </w:r>
      </w:hyperlink>
    </w:p>
  </w:footnote>
  <w:footnote w:id="114">
    <w:p w:rsidR="006014CF" w:rsidRDefault="00AB79FD">
      <w:r>
        <w:rPr>
          <w:rStyle w:val="FootnoteReference"/>
        </w:rPr>
        <w:footnoteRef/>
      </w:r>
      <w:hyperlink r:id="rId114" w:history="1">
        <w:r>
          <w:rPr>
            <w:rStyle w:val="Hyperlink"/>
          </w:rPr>
          <w:t>https://learn.microsoft.com/en-us/purview/unified-catalog-data-quality-fabric-lakehouse</w:t>
        </w:r>
      </w:hyperlink>
    </w:p>
  </w:footnote>
  <w:footnote w:id="115">
    <w:p w:rsidR="006014CF" w:rsidRDefault="00AB79FD">
      <w:r>
        <w:rPr>
          <w:rStyle w:val="FootnoteReference"/>
        </w:rPr>
        <w:footnoteRef/>
      </w:r>
      <w:hyperlink r:id="rId115" w:history="1">
        <w:r>
          <w:rPr>
            <w:rStyle w:val="Hyperlink"/>
          </w:rPr>
          <w:t>https://learn.microsoft.com/en-us/fabric/governance/microsoft-purview-fabric</w:t>
        </w:r>
      </w:hyperlink>
    </w:p>
  </w:footnote>
  <w:footnote w:id="116">
    <w:p w:rsidR="006014CF" w:rsidRDefault="00AB79FD">
      <w:r>
        <w:rPr>
          <w:rStyle w:val="FootnoteReference"/>
        </w:rPr>
        <w:footnoteRef/>
      </w:r>
      <w:hyperlink r:id="rId116" w:history="1">
        <w:r>
          <w:rPr>
            <w:rStyle w:val="Hyperlink"/>
          </w:rPr>
          <w:t>https</w:t>
        </w:r>
        <w:r>
          <w:rPr>
            <w:rStyle w:val="Hyperlink"/>
          </w:rPr>
          <w:t>://azure.microsoft.com/en-us/blog/azure-purview-is-now-microsoft-purview/</w:t>
        </w:r>
      </w:hyperlink>
    </w:p>
  </w:footnote>
  <w:footnote w:id="117">
    <w:p w:rsidR="006014CF" w:rsidRDefault="00AB79FD">
      <w:r>
        <w:rPr>
          <w:rStyle w:val="FootnoteReference"/>
        </w:rPr>
        <w:footnoteRef/>
      </w:r>
      <w:hyperlink r:id="rId117" w:history="1">
        <w:r>
          <w:rPr>
            <w:rStyle w:val="Hyperlink"/>
          </w:rPr>
          <w:t>https://www.zdnet.com/article/microsoft-rebrands-i</w:t>
        </w:r>
        <w:r>
          <w:rPr>
            <w:rStyle w:val="Hyperlink"/>
          </w:rPr>
          <w:t>ts-compliance-and-data-governance-products-as-microsoft-purview/</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64226"/>
    <w:multiLevelType w:val="hybridMultilevel"/>
    <w:tmpl w:val="FF74BC7A"/>
    <w:lvl w:ilvl="0" w:tplc="339AEA8E">
      <w:start w:val="1"/>
      <w:numFmt w:val="bullet"/>
      <w:lvlText w:val=""/>
      <w:lvlJc w:val="left"/>
      <w:pPr>
        <w:ind w:left="720" w:hanging="360"/>
      </w:pPr>
      <w:rPr>
        <w:rFonts w:ascii="Symbol" w:eastAsia="Symbol" w:hAnsi="Symbol" w:cs="Symbol"/>
      </w:rPr>
    </w:lvl>
    <w:lvl w:ilvl="1" w:tplc="C9A42AB2">
      <w:start w:val="1"/>
      <w:numFmt w:val="bullet"/>
      <w:lvlText w:val="o"/>
      <w:lvlJc w:val="left"/>
      <w:pPr>
        <w:ind w:left="1440" w:hanging="360"/>
      </w:pPr>
      <w:rPr>
        <w:rFonts w:ascii="Courier New" w:eastAsia="Courier New" w:hAnsi="Courier New" w:cs="Courier New"/>
      </w:rPr>
    </w:lvl>
    <w:lvl w:ilvl="2" w:tplc="73202E8C">
      <w:start w:val="1"/>
      <w:numFmt w:val="bullet"/>
      <w:lvlText w:val=""/>
      <w:lvlJc w:val="left"/>
      <w:pPr>
        <w:ind w:left="2160" w:hanging="360"/>
      </w:pPr>
      <w:rPr>
        <w:rFonts w:ascii="Wingdings" w:eastAsia="Wingdings" w:hAnsi="Wingdings" w:cs="Wingdings"/>
      </w:rPr>
    </w:lvl>
    <w:lvl w:ilvl="3" w:tplc="0A944C08">
      <w:start w:val="1"/>
      <w:numFmt w:val="bullet"/>
      <w:lvlText w:val=""/>
      <w:lvlJc w:val="left"/>
      <w:pPr>
        <w:ind w:left="2880" w:hanging="360"/>
      </w:pPr>
      <w:rPr>
        <w:rFonts w:ascii="Symbol" w:eastAsia="Symbol" w:hAnsi="Symbol" w:cs="Symbol"/>
      </w:rPr>
    </w:lvl>
    <w:lvl w:ilvl="4" w:tplc="45F8A9C6">
      <w:start w:val="1"/>
      <w:numFmt w:val="bullet"/>
      <w:lvlText w:val="o"/>
      <w:lvlJc w:val="left"/>
      <w:pPr>
        <w:ind w:left="3600" w:hanging="360"/>
      </w:pPr>
      <w:rPr>
        <w:rFonts w:ascii="Courier New" w:eastAsia="Courier New" w:hAnsi="Courier New" w:cs="Courier New"/>
      </w:rPr>
    </w:lvl>
    <w:lvl w:ilvl="5" w:tplc="98A8CA94">
      <w:start w:val="1"/>
      <w:numFmt w:val="bullet"/>
      <w:lvlText w:val=""/>
      <w:lvlJc w:val="left"/>
      <w:pPr>
        <w:ind w:left="4320" w:hanging="360"/>
      </w:pPr>
      <w:rPr>
        <w:rFonts w:ascii="Wingdings" w:eastAsia="Wingdings" w:hAnsi="Wingdings" w:cs="Wingdings"/>
      </w:rPr>
    </w:lvl>
    <w:lvl w:ilvl="6" w:tplc="36C0B500">
      <w:start w:val="1"/>
      <w:numFmt w:val="bullet"/>
      <w:lvlText w:val=""/>
      <w:lvlJc w:val="left"/>
      <w:pPr>
        <w:ind w:left="5040" w:hanging="360"/>
      </w:pPr>
      <w:rPr>
        <w:rFonts w:ascii="Symbol" w:eastAsia="Symbol" w:hAnsi="Symbol" w:cs="Symbol"/>
      </w:rPr>
    </w:lvl>
    <w:lvl w:ilvl="7" w:tplc="419208D4">
      <w:start w:val="1"/>
      <w:numFmt w:val="bullet"/>
      <w:lvlText w:val="o"/>
      <w:lvlJc w:val="left"/>
      <w:pPr>
        <w:ind w:left="5760" w:hanging="360"/>
      </w:pPr>
      <w:rPr>
        <w:rFonts w:ascii="Courier New" w:eastAsia="Courier New" w:hAnsi="Courier New" w:cs="Courier New"/>
      </w:rPr>
    </w:lvl>
    <w:lvl w:ilvl="8" w:tplc="EE444248">
      <w:start w:val="1"/>
      <w:numFmt w:val="bullet"/>
      <w:lvlText w:val=""/>
      <w:lvlJc w:val="left"/>
      <w:pPr>
        <w:ind w:left="6480" w:hanging="360"/>
      </w:pPr>
      <w:rPr>
        <w:rFonts w:ascii="Wingdings" w:eastAsia="Wingdings" w:hAnsi="Wingdings" w:cs="Wingdings"/>
      </w:rPr>
    </w:lvl>
  </w:abstractNum>
  <w:abstractNum w:abstractNumId="1">
    <w:nsid w:val="0594213F"/>
    <w:multiLevelType w:val="hybridMultilevel"/>
    <w:tmpl w:val="67F6DB26"/>
    <w:lvl w:ilvl="0" w:tplc="D9866F54">
      <w:start w:val="1"/>
      <w:numFmt w:val="decimal"/>
      <w:lvlText w:val="%1."/>
      <w:lvlJc w:val="left"/>
      <w:pPr>
        <w:ind w:left="720" w:hanging="360"/>
      </w:pPr>
    </w:lvl>
    <w:lvl w:ilvl="1" w:tplc="5FA82670">
      <w:start w:val="1"/>
      <w:numFmt w:val="lowerLetter"/>
      <w:lvlText w:val="%2."/>
      <w:lvlJc w:val="left"/>
      <w:pPr>
        <w:ind w:left="1440" w:hanging="360"/>
      </w:pPr>
    </w:lvl>
    <w:lvl w:ilvl="2" w:tplc="EDFA184C">
      <w:start w:val="1"/>
      <w:numFmt w:val="lowerRoman"/>
      <w:lvlText w:val="%3."/>
      <w:lvlJc w:val="right"/>
      <w:pPr>
        <w:ind w:left="2160" w:hanging="180"/>
      </w:pPr>
    </w:lvl>
    <w:lvl w:ilvl="3" w:tplc="89D65FCA">
      <w:start w:val="1"/>
      <w:numFmt w:val="decimal"/>
      <w:lvlText w:val="%4."/>
      <w:lvlJc w:val="left"/>
      <w:pPr>
        <w:ind w:left="2880" w:hanging="360"/>
      </w:pPr>
    </w:lvl>
    <w:lvl w:ilvl="4" w:tplc="33EC4C32">
      <w:start w:val="1"/>
      <w:numFmt w:val="lowerLetter"/>
      <w:lvlText w:val="%5."/>
      <w:lvlJc w:val="left"/>
      <w:pPr>
        <w:ind w:left="3600" w:hanging="360"/>
      </w:pPr>
    </w:lvl>
    <w:lvl w:ilvl="5" w:tplc="98B84F28">
      <w:start w:val="1"/>
      <w:numFmt w:val="lowerRoman"/>
      <w:lvlText w:val="%6."/>
      <w:lvlJc w:val="right"/>
      <w:pPr>
        <w:ind w:left="4320" w:hanging="180"/>
      </w:pPr>
    </w:lvl>
    <w:lvl w:ilvl="6" w:tplc="3244C05A">
      <w:start w:val="1"/>
      <w:numFmt w:val="decimal"/>
      <w:lvlText w:val="%7."/>
      <w:lvlJc w:val="left"/>
      <w:pPr>
        <w:ind w:left="5040" w:hanging="360"/>
      </w:pPr>
    </w:lvl>
    <w:lvl w:ilvl="7" w:tplc="B4C44D68">
      <w:start w:val="1"/>
      <w:numFmt w:val="lowerLetter"/>
      <w:lvlText w:val="%8."/>
      <w:lvlJc w:val="left"/>
      <w:pPr>
        <w:ind w:left="5760" w:hanging="360"/>
      </w:pPr>
    </w:lvl>
    <w:lvl w:ilvl="8" w:tplc="0B30A530">
      <w:start w:val="1"/>
      <w:numFmt w:val="lowerRoman"/>
      <w:lvlText w:val="%9."/>
      <w:lvlJc w:val="right"/>
      <w:pPr>
        <w:ind w:left="6480" w:hanging="180"/>
      </w:pPr>
    </w:lvl>
  </w:abstractNum>
  <w:abstractNum w:abstractNumId="2">
    <w:nsid w:val="0BBB3412"/>
    <w:multiLevelType w:val="hybridMultilevel"/>
    <w:tmpl w:val="AFE0BFB4"/>
    <w:lvl w:ilvl="0" w:tplc="FB2C8626">
      <w:start w:val="1"/>
      <w:numFmt w:val="bullet"/>
      <w:lvlText w:val=""/>
      <w:lvlJc w:val="left"/>
      <w:pPr>
        <w:ind w:left="720" w:hanging="360"/>
      </w:pPr>
      <w:rPr>
        <w:rFonts w:ascii="Symbol" w:eastAsia="Symbol" w:hAnsi="Symbol" w:cs="Symbol"/>
      </w:rPr>
    </w:lvl>
    <w:lvl w:ilvl="1" w:tplc="D2C2FC9E">
      <w:start w:val="1"/>
      <w:numFmt w:val="bullet"/>
      <w:lvlText w:val="o"/>
      <w:lvlJc w:val="left"/>
      <w:pPr>
        <w:ind w:left="1440" w:hanging="360"/>
      </w:pPr>
      <w:rPr>
        <w:rFonts w:ascii="Courier New" w:eastAsia="Courier New" w:hAnsi="Courier New" w:cs="Courier New"/>
      </w:rPr>
    </w:lvl>
    <w:lvl w:ilvl="2" w:tplc="051674BA">
      <w:start w:val="1"/>
      <w:numFmt w:val="bullet"/>
      <w:lvlText w:val=""/>
      <w:lvlJc w:val="left"/>
      <w:pPr>
        <w:ind w:left="2160" w:hanging="360"/>
      </w:pPr>
      <w:rPr>
        <w:rFonts w:ascii="Wingdings" w:eastAsia="Wingdings" w:hAnsi="Wingdings" w:cs="Wingdings"/>
      </w:rPr>
    </w:lvl>
    <w:lvl w:ilvl="3" w:tplc="5E0C7F82">
      <w:start w:val="1"/>
      <w:numFmt w:val="bullet"/>
      <w:lvlText w:val=""/>
      <w:lvlJc w:val="left"/>
      <w:pPr>
        <w:ind w:left="2880" w:hanging="360"/>
      </w:pPr>
      <w:rPr>
        <w:rFonts w:ascii="Symbol" w:eastAsia="Symbol" w:hAnsi="Symbol" w:cs="Symbol"/>
      </w:rPr>
    </w:lvl>
    <w:lvl w:ilvl="4" w:tplc="18409266">
      <w:start w:val="1"/>
      <w:numFmt w:val="bullet"/>
      <w:lvlText w:val="o"/>
      <w:lvlJc w:val="left"/>
      <w:pPr>
        <w:ind w:left="3600" w:hanging="360"/>
      </w:pPr>
      <w:rPr>
        <w:rFonts w:ascii="Courier New" w:eastAsia="Courier New" w:hAnsi="Courier New" w:cs="Courier New"/>
      </w:rPr>
    </w:lvl>
    <w:lvl w:ilvl="5" w:tplc="C3EAA4A6">
      <w:start w:val="1"/>
      <w:numFmt w:val="bullet"/>
      <w:lvlText w:val=""/>
      <w:lvlJc w:val="left"/>
      <w:pPr>
        <w:ind w:left="4320" w:hanging="360"/>
      </w:pPr>
      <w:rPr>
        <w:rFonts w:ascii="Wingdings" w:eastAsia="Wingdings" w:hAnsi="Wingdings" w:cs="Wingdings"/>
      </w:rPr>
    </w:lvl>
    <w:lvl w:ilvl="6" w:tplc="13EEEDD0">
      <w:start w:val="1"/>
      <w:numFmt w:val="bullet"/>
      <w:lvlText w:val=""/>
      <w:lvlJc w:val="left"/>
      <w:pPr>
        <w:ind w:left="5040" w:hanging="360"/>
      </w:pPr>
      <w:rPr>
        <w:rFonts w:ascii="Symbol" w:eastAsia="Symbol" w:hAnsi="Symbol" w:cs="Symbol"/>
      </w:rPr>
    </w:lvl>
    <w:lvl w:ilvl="7" w:tplc="EC7A83A4">
      <w:start w:val="1"/>
      <w:numFmt w:val="bullet"/>
      <w:lvlText w:val="o"/>
      <w:lvlJc w:val="left"/>
      <w:pPr>
        <w:ind w:left="5760" w:hanging="360"/>
      </w:pPr>
      <w:rPr>
        <w:rFonts w:ascii="Courier New" w:eastAsia="Courier New" w:hAnsi="Courier New" w:cs="Courier New"/>
      </w:rPr>
    </w:lvl>
    <w:lvl w:ilvl="8" w:tplc="BA24A5D0">
      <w:start w:val="1"/>
      <w:numFmt w:val="bullet"/>
      <w:lvlText w:val=""/>
      <w:lvlJc w:val="left"/>
      <w:pPr>
        <w:ind w:left="6480" w:hanging="360"/>
      </w:pPr>
      <w:rPr>
        <w:rFonts w:ascii="Wingdings" w:eastAsia="Wingdings" w:hAnsi="Wingdings" w:cs="Wingdings"/>
      </w:rPr>
    </w:lvl>
  </w:abstractNum>
  <w:abstractNum w:abstractNumId="3">
    <w:nsid w:val="0C0420E4"/>
    <w:multiLevelType w:val="hybridMultilevel"/>
    <w:tmpl w:val="0CDCC17C"/>
    <w:lvl w:ilvl="0" w:tplc="2CE6FE12">
      <w:start w:val="1"/>
      <w:numFmt w:val="bullet"/>
      <w:lvlText w:val=""/>
      <w:lvlJc w:val="left"/>
      <w:pPr>
        <w:ind w:left="720" w:hanging="360"/>
      </w:pPr>
      <w:rPr>
        <w:rFonts w:ascii="Symbol" w:eastAsia="Symbol" w:hAnsi="Symbol" w:cs="Symbol"/>
      </w:rPr>
    </w:lvl>
    <w:lvl w:ilvl="1" w:tplc="C49E8964">
      <w:start w:val="1"/>
      <w:numFmt w:val="bullet"/>
      <w:lvlText w:val="o"/>
      <w:lvlJc w:val="left"/>
      <w:pPr>
        <w:ind w:left="1440" w:hanging="360"/>
      </w:pPr>
      <w:rPr>
        <w:rFonts w:ascii="Courier New" w:eastAsia="Courier New" w:hAnsi="Courier New" w:cs="Courier New"/>
      </w:rPr>
    </w:lvl>
    <w:lvl w:ilvl="2" w:tplc="3A181E76">
      <w:start w:val="1"/>
      <w:numFmt w:val="bullet"/>
      <w:lvlText w:val=""/>
      <w:lvlJc w:val="left"/>
      <w:pPr>
        <w:ind w:left="2160" w:hanging="360"/>
      </w:pPr>
      <w:rPr>
        <w:rFonts w:ascii="Wingdings" w:eastAsia="Wingdings" w:hAnsi="Wingdings" w:cs="Wingdings"/>
      </w:rPr>
    </w:lvl>
    <w:lvl w:ilvl="3" w:tplc="D9040022">
      <w:start w:val="1"/>
      <w:numFmt w:val="bullet"/>
      <w:lvlText w:val=""/>
      <w:lvlJc w:val="left"/>
      <w:pPr>
        <w:ind w:left="2880" w:hanging="360"/>
      </w:pPr>
      <w:rPr>
        <w:rFonts w:ascii="Symbol" w:eastAsia="Symbol" w:hAnsi="Symbol" w:cs="Symbol"/>
      </w:rPr>
    </w:lvl>
    <w:lvl w:ilvl="4" w:tplc="8EC0CF30">
      <w:start w:val="1"/>
      <w:numFmt w:val="bullet"/>
      <w:lvlText w:val="o"/>
      <w:lvlJc w:val="left"/>
      <w:pPr>
        <w:ind w:left="3600" w:hanging="360"/>
      </w:pPr>
      <w:rPr>
        <w:rFonts w:ascii="Courier New" w:eastAsia="Courier New" w:hAnsi="Courier New" w:cs="Courier New"/>
      </w:rPr>
    </w:lvl>
    <w:lvl w:ilvl="5" w:tplc="10CEEBF2">
      <w:start w:val="1"/>
      <w:numFmt w:val="bullet"/>
      <w:lvlText w:val=""/>
      <w:lvlJc w:val="left"/>
      <w:pPr>
        <w:ind w:left="4320" w:hanging="360"/>
      </w:pPr>
      <w:rPr>
        <w:rFonts w:ascii="Wingdings" w:eastAsia="Wingdings" w:hAnsi="Wingdings" w:cs="Wingdings"/>
      </w:rPr>
    </w:lvl>
    <w:lvl w:ilvl="6" w:tplc="52D88730">
      <w:start w:val="1"/>
      <w:numFmt w:val="bullet"/>
      <w:lvlText w:val=""/>
      <w:lvlJc w:val="left"/>
      <w:pPr>
        <w:ind w:left="5040" w:hanging="360"/>
      </w:pPr>
      <w:rPr>
        <w:rFonts w:ascii="Symbol" w:eastAsia="Symbol" w:hAnsi="Symbol" w:cs="Symbol"/>
      </w:rPr>
    </w:lvl>
    <w:lvl w:ilvl="7" w:tplc="9B14BDFE">
      <w:start w:val="1"/>
      <w:numFmt w:val="bullet"/>
      <w:lvlText w:val="o"/>
      <w:lvlJc w:val="left"/>
      <w:pPr>
        <w:ind w:left="5760" w:hanging="360"/>
      </w:pPr>
      <w:rPr>
        <w:rFonts w:ascii="Courier New" w:eastAsia="Courier New" w:hAnsi="Courier New" w:cs="Courier New"/>
      </w:rPr>
    </w:lvl>
    <w:lvl w:ilvl="8" w:tplc="4F68B944">
      <w:start w:val="1"/>
      <w:numFmt w:val="bullet"/>
      <w:lvlText w:val=""/>
      <w:lvlJc w:val="left"/>
      <w:pPr>
        <w:ind w:left="6480" w:hanging="360"/>
      </w:pPr>
      <w:rPr>
        <w:rFonts w:ascii="Wingdings" w:eastAsia="Wingdings" w:hAnsi="Wingdings" w:cs="Wingdings"/>
      </w:rPr>
    </w:lvl>
  </w:abstractNum>
  <w:abstractNum w:abstractNumId="4">
    <w:nsid w:val="185A739D"/>
    <w:multiLevelType w:val="hybridMultilevel"/>
    <w:tmpl w:val="4824E928"/>
    <w:lvl w:ilvl="0" w:tplc="24C64B20">
      <w:start w:val="1"/>
      <w:numFmt w:val="bullet"/>
      <w:lvlText w:val=""/>
      <w:lvlJc w:val="left"/>
      <w:pPr>
        <w:ind w:left="720" w:hanging="360"/>
      </w:pPr>
      <w:rPr>
        <w:rFonts w:ascii="Symbol" w:eastAsia="Symbol" w:hAnsi="Symbol" w:cs="Symbol"/>
      </w:rPr>
    </w:lvl>
    <w:lvl w:ilvl="1" w:tplc="89A64938">
      <w:start w:val="1"/>
      <w:numFmt w:val="bullet"/>
      <w:lvlText w:val="o"/>
      <w:lvlJc w:val="left"/>
      <w:pPr>
        <w:ind w:left="1440" w:hanging="360"/>
      </w:pPr>
      <w:rPr>
        <w:rFonts w:ascii="Courier New" w:eastAsia="Courier New" w:hAnsi="Courier New" w:cs="Courier New"/>
      </w:rPr>
    </w:lvl>
    <w:lvl w:ilvl="2" w:tplc="388CE5A0">
      <w:start w:val="1"/>
      <w:numFmt w:val="bullet"/>
      <w:lvlText w:val=""/>
      <w:lvlJc w:val="left"/>
      <w:pPr>
        <w:ind w:left="2160" w:hanging="360"/>
      </w:pPr>
      <w:rPr>
        <w:rFonts w:ascii="Wingdings" w:eastAsia="Wingdings" w:hAnsi="Wingdings" w:cs="Wingdings"/>
      </w:rPr>
    </w:lvl>
    <w:lvl w:ilvl="3" w:tplc="C372657A">
      <w:start w:val="1"/>
      <w:numFmt w:val="bullet"/>
      <w:lvlText w:val=""/>
      <w:lvlJc w:val="left"/>
      <w:pPr>
        <w:ind w:left="2880" w:hanging="360"/>
      </w:pPr>
      <w:rPr>
        <w:rFonts w:ascii="Symbol" w:eastAsia="Symbol" w:hAnsi="Symbol" w:cs="Symbol"/>
      </w:rPr>
    </w:lvl>
    <w:lvl w:ilvl="4" w:tplc="7D96810C">
      <w:start w:val="1"/>
      <w:numFmt w:val="bullet"/>
      <w:lvlText w:val="o"/>
      <w:lvlJc w:val="left"/>
      <w:pPr>
        <w:ind w:left="3600" w:hanging="360"/>
      </w:pPr>
      <w:rPr>
        <w:rFonts w:ascii="Courier New" w:eastAsia="Courier New" w:hAnsi="Courier New" w:cs="Courier New"/>
      </w:rPr>
    </w:lvl>
    <w:lvl w:ilvl="5" w:tplc="454CCC9E">
      <w:start w:val="1"/>
      <w:numFmt w:val="bullet"/>
      <w:lvlText w:val=""/>
      <w:lvlJc w:val="left"/>
      <w:pPr>
        <w:ind w:left="4320" w:hanging="360"/>
      </w:pPr>
      <w:rPr>
        <w:rFonts w:ascii="Wingdings" w:eastAsia="Wingdings" w:hAnsi="Wingdings" w:cs="Wingdings"/>
      </w:rPr>
    </w:lvl>
    <w:lvl w:ilvl="6" w:tplc="42B6B224">
      <w:start w:val="1"/>
      <w:numFmt w:val="bullet"/>
      <w:lvlText w:val=""/>
      <w:lvlJc w:val="left"/>
      <w:pPr>
        <w:ind w:left="5040" w:hanging="360"/>
      </w:pPr>
      <w:rPr>
        <w:rFonts w:ascii="Symbol" w:eastAsia="Symbol" w:hAnsi="Symbol" w:cs="Symbol"/>
      </w:rPr>
    </w:lvl>
    <w:lvl w:ilvl="7" w:tplc="C3EA9AFA">
      <w:start w:val="1"/>
      <w:numFmt w:val="bullet"/>
      <w:lvlText w:val="o"/>
      <w:lvlJc w:val="left"/>
      <w:pPr>
        <w:ind w:left="5760" w:hanging="360"/>
      </w:pPr>
      <w:rPr>
        <w:rFonts w:ascii="Courier New" w:eastAsia="Courier New" w:hAnsi="Courier New" w:cs="Courier New"/>
      </w:rPr>
    </w:lvl>
    <w:lvl w:ilvl="8" w:tplc="185A81AA">
      <w:start w:val="1"/>
      <w:numFmt w:val="bullet"/>
      <w:lvlText w:val=""/>
      <w:lvlJc w:val="left"/>
      <w:pPr>
        <w:ind w:left="6480" w:hanging="360"/>
      </w:pPr>
      <w:rPr>
        <w:rFonts w:ascii="Wingdings" w:eastAsia="Wingdings" w:hAnsi="Wingdings" w:cs="Wingdings"/>
      </w:rPr>
    </w:lvl>
  </w:abstractNum>
  <w:abstractNum w:abstractNumId="5">
    <w:nsid w:val="1C163DD9"/>
    <w:multiLevelType w:val="hybridMultilevel"/>
    <w:tmpl w:val="D96A6DAC"/>
    <w:lvl w:ilvl="0" w:tplc="D902C782">
      <w:start w:val="1"/>
      <w:numFmt w:val="bullet"/>
      <w:lvlText w:val=""/>
      <w:lvlJc w:val="left"/>
      <w:pPr>
        <w:ind w:left="720" w:hanging="360"/>
      </w:pPr>
      <w:rPr>
        <w:rFonts w:ascii="Symbol" w:eastAsia="Symbol" w:hAnsi="Symbol" w:cs="Symbol"/>
      </w:rPr>
    </w:lvl>
    <w:lvl w:ilvl="1" w:tplc="836A03BC">
      <w:start w:val="1"/>
      <w:numFmt w:val="bullet"/>
      <w:lvlText w:val="o"/>
      <w:lvlJc w:val="left"/>
      <w:pPr>
        <w:ind w:left="1440" w:hanging="360"/>
      </w:pPr>
      <w:rPr>
        <w:rFonts w:ascii="Courier New" w:eastAsia="Courier New" w:hAnsi="Courier New" w:cs="Courier New"/>
      </w:rPr>
    </w:lvl>
    <w:lvl w:ilvl="2" w:tplc="7C1CCD34">
      <w:start w:val="1"/>
      <w:numFmt w:val="bullet"/>
      <w:lvlText w:val=""/>
      <w:lvlJc w:val="left"/>
      <w:pPr>
        <w:ind w:left="2160" w:hanging="360"/>
      </w:pPr>
      <w:rPr>
        <w:rFonts w:ascii="Wingdings" w:eastAsia="Wingdings" w:hAnsi="Wingdings" w:cs="Wingdings"/>
      </w:rPr>
    </w:lvl>
    <w:lvl w:ilvl="3" w:tplc="C240900A">
      <w:start w:val="1"/>
      <w:numFmt w:val="bullet"/>
      <w:lvlText w:val=""/>
      <w:lvlJc w:val="left"/>
      <w:pPr>
        <w:ind w:left="2880" w:hanging="360"/>
      </w:pPr>
      <w:rPr>
        <w:rFonts w:ascii="Symbol" w:eastAsia="Symbol" w:hAnsi="Symbol" w:cs="Symbol"/>
      </w:rPr>
    </w:lvl>
    <w:lvl w:ilvl="4" w:tplc="48A0B41A">
      <w:start w:val="1"/>
      <w:numFmt w:val="bullet"/>
      <w:lvlText w:val="o"/>
      <w:lvlJc w:val="left"/>
      <w:pPr>
        <w:ind w:left="3600" w:hanging="360"/>
      </w:pPr>
      <w:rPr>
        <w:rFonts w:ascii="Courier New" w:eastAsia="Courier New" w:hAnsi="Courier New" w:cs="Courier New"/>
      </w:rPr>
    </w:lvl>
    <w:lvl w:ilvl="5" w:tplc="C85AE296">
      <w:start w:val="1"/>
      <w:numFmt w:val="bullet"/>
      <w:lvlText w:val=""/>
      <w:lvlJc w:val="left"/>
      <w:pPr>
        <w:ind w:left="4320" w:hanging="360"/>
      </w:pPr>
      <w:rPr>
        <w:rFonts w:ascii="Wingdings" w:eastAsia="Wingdings" w:hAnsi="Wingdings" w:cs="Wingdings"/>
      </w:rPr>
    </w:lvl>
    <w:lvl w:ilvl="6" w:tplc="21807F00">
      <w:start w:val="1"/>
      <w:numFmt w:val="bullet"/>
      <w:lvlText w:val=""/>
      <w:lvlJc w:val="left"/>
      <w:pPr>
        <w:ind w:left="5040" w:hanging="360"/>
      </w:pPr>
      <w:rPr>
        <w:rFonts w:ascii="Symbol" w:eastAsia="Symbol" w:hAnsi="Symbol" w:cs="Symbol"/>
      </w:rPr>
    </w:lvl>
    <w:lvl w:ilvl="7" w:tplc="9AA8B28C">
      <w:start w:val="1"/>
      <w:numFmt w:val="bullet"/>
      <w:lvlText w:val="o"/>
      <w:lvlJc w:val="left"/>
      <w:pPr>
        <w:ind w:left="5760" w:hanging="360"/>
      </w:pPr>
      <w:rPr>
        <w:rFonts w:ascii="Courier New" w:eastAsia="Courier New" w:hAnsi="Courier New" w:cs="Courier New"/>
      </w:rPr>
    </w:lvl>
    <w:lvl w:ilvl="8" w:tplc="3F70FEAC">
      <w:start w:val="1"/>
      <w:numFmt w:val="bullet"/>
      <w:lvlText w:val=""/>
      <w:lvlJc w:val="left"/>
      <w:pPr>
        <w:ind w:left="6480" w:hanging="360"/>
      </w:pPr>
      <w:rPr>
        <w:rFonts w:ascii="Wingdings" w:eastAsia="Wingdings" w:hAnsi="Wingdings" w:cs="Wingdings"/>
      </w:rPr>
    </w:lvl>
  </w:abstractNum>
  <w:abstractNum w:abstractNumId="6">
    <w:nsid w:val="1FC2023F"/>
    <w:multiLevelType w:val="hybridMultilevel"/>
    <w:tmpl w:val="AD4AA25E"/>
    <w:lvl w:ilvl="0" w:tplc="5E787D68">
      <w:start w:val="1"/>
      <w:numFmt w:val="bullet"/>
      <w:lvlText w:val="●"/>
      <w:lvlJc w:val="left"/>
      <w:pPr>
        <w:ind w:left="720" w:hanging="360"/>
      </w:pPr>
    </w:lvl>
    <w:lvl w:ilvl="1" w:tplc="782CC3A6">
      <w:start w:val="1"/>
      <w:numFmt w:val="bullet"/>
      <w:lvlText w:val="○"/>
      <w:lvlJc w:val="left"/>
      <w:pPr>
        <w:ind w:left="1440" w:hanging="360"/>
      </w:pPr>
    </w:lvl>
    <w:lvl w:ilvl="2" w:tplc="6ADE24B0">
      <w:start w:val="1"/>
      <w:numFmt w:val="bullet"/>
      <w:lvlText w:val="■"/>
      <w:lvlJc w:val="left"/>
      <w:pPr>
        <w:ind w:left="2160" w:hanging="360"/>
      </w:pPr>
    </w:lvl>
    <w:lvl w:ilvl="3" w:tplc="E9C031F6">
      <w:start w:val="1"/>
      <w:numFmt w:val="bullet"/>
      <w:lvlText w:val="●"/>
      <w:lvlJc w:val="left"/>
      <w:pPr>
        <w:ind w:left="2880" w:hanging="360"/>
      </w:pPr>
    </w:lvl>
    <w:lvl w:ilvl="4" w:tplc="056C7AFA">
      <w:start w:val="1"/>
      <w:numFmt w:val="bullet"/>
      <w:lvlText w:val="○"/>
      <w:lvlJc w:val="left"/>
      <w:pPr>
        <w:ind w:left="3600" w:hanging="360"/>
      </w:pPr>
    </w:lvl>
    <w:lvl w:ilvl="5" w:tplc="675214AA">
      <w:start w:val="1"/>
      <w:numFmt w:val="bullet"/>
      <w:lvlText w:val="■"/>
      <w:lvlJc w:val="left"/>
      <w:pPr>
        <w:ind w:left="4320" w:hanging="360"/>
      </w:pPr>
    </w:lvl>
    <w:lvl w:ilvl="6" w:tplc="09ECFCDA">
      <w:start w:val="1"/>
      <w:numFmt w:val="bullet"/>
      <w:lvlText w:val="●"/>
      <w:lvlJc w:val="left"/>
      <w:pPr>
        <w:ind w:left="5040" w:hanging="360"/>
      </w:pPr>
    </w:lvl>
    <w:lvl w:ilvl="7" w:tplc="DDD256C2">
      <w:start w:val="1"/>
      <w:numFmt w:val="bullet"/>
      <w:lvlText w:val="●"/>
      <w:lvlJc w:val="left"/>
      <w:pPr>
        <w:ind w:left="5760" w:hanging="360"/>
      </w:pPr>
    </w:lvl>
    <w:lvl w:ilvl="8" w:tplc="B344B18A">
      <w:start w:val="1"/>
      <w:numFmt w:val="bullet"/>
      <w:lvlText w:val="●"/>
      <w:lvlJc w:val="left"/>
      <w:pPr>
        <w:ind w:left="6480" w:hanging="360"/>
      </w:pPr>
    </w:lvl>
  </w:abstractNum>
  <w:abstractNum w:abstractNumId="7">
    <w:nsid w:val="207A1694"/>
    <w:multiLevelType w:val="hybridMultilevel"/>
    <w:tmpl w:val="B9A8F09E"/>
    <w:lvl w:ilvl="0" w:tplc="879E5832">
      <w:start w:val="1"/>
      <w:numFmt w:val="bullet"/>
      <w:lvlText w:val=""/>
      <w:lvlJc w:val="left"/>
      <w:pPr>
        <w:ind w:left="720" w:hanging="360"/>
      </w:pPr>
      <w:rPr>
        <w:rFonts w:ascii="Symbol" w:eastAsia="Symbol" w:hAnsi="Symbol" w:cs="Symbol"/>
      </w:rPr>
    </w:lvl>
    <w:lvl w:ilvl="1" w:tplc="CA5CD062">
      <w:start w:val="1"/>
      <w:numFmt w:val="bullet"/>
      <w:lvlText w:val="o"/>
      <w:lvlJc w:val="left"/>
      <w:pPr>
        <w:ind w:left="1440" w:hanging="360"/>
      </w:pPr>
      <w:rPr>
        <w:rFonts w:ascii="Courier New" w:eastAsia="Courier New" w:hAnsi="Courier New" w:cs="Courier New"/>
      </w:rPr>
    </w:lvl>
    <w:lvl w:ilvl="2" w:tplc="F8E27BDC">
      <w:start w:val="1"/>
      <w:numFmt w:val="bullet"/>
      <w:lvlText w:val=""/>
      <w:lvlJc w:val="left"/>
      <w:pPr>
        <w:ind w:left="2160" w:hanging="360"/>
      </w:pPr>
      <w:rPr>
        <w:rFonts w:ascii="Wingdings" w:eastAsia="Wingdings" w:hAnsi="Wingdings" w:cs="Wingdings"/>
      </w:rPr>
    </w:lvl>
    <w:lvl w:ilvl="3" w:tplc="040A4F1C">
      <w:start w:val="1"/>
      <w:numFmt w:val="bullet"/>
      <w:lvlText w:val=""/>
      <w:lvlJc w:val="left"/>
      <w:pPr>
        <w:ind w:left="2880" w:hanging="360"/>
      </w:pPr>
      <w:rPr>
        <w:rFonts w:ascii="Symbol" w:eastAsia="Symbol" w:hAnsi="Symbol" w:cs="Symbol"/>
      </w:rPr>
    </w:lvl>
    <w:lvl w:ilvl="4" w:tplc="4D40E906">
      <w:start w:val="1"/>
      <w:numFmt w:val="bullet"/>
      <w:lvlText w:val="o"/>
      <w:lvlJc w:val="left"/>
      <w:pPr>
        <w:ind w:left="3600" w:hanging="360"/>
      </w:pPr>
      <w:rPr>
        <w:rFonts w:ascii="Courier New" w:eastAsia="Courier New" w:hAnsi="Courier New" w:cs="Courier New"/>
      </w:rPr>
    </w:lvl>
    <w:lvl w:ilvl="5" w:tplc="0C847CD2">
      <w:start w:val="1"/>
      <w:numFmt w:val="bullet"/>
      <w:lvlText w:val=""/>
      <w:lvlJc w:val="left"/>
      <w:pPr>
        <w:ind w:left="4320" w:hanging="360"/>
      </w:pPr>
      <w:rPr>
        <w:rFonts w:ascii="Wingdings" w:eastAsia="Wingdings" w:hAnsi="Wingdings" w:cs="Wingdings"/>
      </w:rPr>
    </w:lvl>
    <w:lvl w:ilvl="6" w:tplc="EA0EDFFA">
      <w:start w:val="1"/>
      <w:numFmt w:val="bullet"/>
      <w:lvlText w:val=""/>
      <w:lvlJc w:val="left"/>
      <w:pPr>
        <w:ind w:left="5040" w:hanging="360"/>
      </w:pPr>
      <w:rPr>
        <w:rFonts w:ascii="Symbol" w:eastAsia="Symbol" w:hAnsi="Symbol" w:cs="Symbol"/>
      </w:rPr>
    </w:lvl>
    <w:lvl w:ilvl="7" w:tplc="3482B142">
      <w:start w:val="1"/>
      <w:numFmt w:val="bullet"/>
      <w:lvlText w:val="o"/>
      <w:lvlJc w:val="left"/>
      <w:pPr>
        <w:ind w:left="5760" w:hanging="360"/>
      </w:pPr>
      <w:rPr>
        <w:rFonts w:ascii="Courier New" w:eastAsia="Courier New" w:hAnsi="Courier New" w:cs="Courier New"/>
      </w:rPr>
    </w:lvl>
    <w:lvl w:ilvl="8" w:tplc="D00ABE0C">
      <w:start w:val="1"/>
      <w:numFmt w:val="bullet"/>
      <w:lvlText w:val=""/>
      <w:lvlJc w:val="left"/>
      <w:pPr>
        <w:ind w:left="6480" w:hanging="360"/>
      </w:pPr>
      <w:rPr>
        <w:rFonts w:ascii="Wingdings" w:eastAsia="Wingdings" w:hAnsi="Wingdings" w:cs="Wingdings"/>
      </w:rPr>
    </w:lvl>
  </w:abstractNum>
  <w:abstractNum w:abstractNumId="8">
    <w:nsid w:val="23620D2E"/>
    <w:multiLevelType w:val="hybridMultilevel"/>
    <w:tmpl w:val="84507606"/>
    <w:lvl w:ilvl="0" w:tplc="2F9CBA60">
      <w:start w:val="1"/>
      <w:numFmt w:val="bullet"/>
      <w:lvlText w:val=""/>
      <w:lvlJc w:val="left"/>
      <w:pPr>
        <w:ind w:left="720" w:hanging="360"/>
      </w:pPr>
      <w:rPr>
        <w:rFonts w:ascii="Symbol" w:eastAsia="Symbol" w:hAnsi="Symbol" w:cs="Symbol"/>
      </w:rPr>
    </w:lvl>
    <w:lvl w:ilvl="1" w:tplc="88968CF6">
      <w:start w:val="1"/>
      <w:numFmt w:val="bullet"/>
      <w:lvlText w:val="o"/>
      <w:lvlJc w:val="left"/>
      <w:pPr>
        <w:ind w:left="1440" w:hanging="360"/>
      </w:pPr>
      <w:rPr>
        <w:rFonts w:ascii="Courier New" w:eastAsia="Courier New" w:hAnsi="Courier New" w:cs="Courier New"/>
      </w:rPr>
    </w:lvl>
    <w:lvl w:ilvl="2" w:tplc="6218A8CC">
      <w:start w:val="1"/>
      <w:numFmt w:val="bullet"/>
      <w:lvlText w:val=""/>
      <w:lvlJc w:val="left"/>
      <w:pPr>
        <w:ind w:left="2160" w:hanging="360"/>
      </w:pPr>
      <w:rPr>
        <w:rFonts w:ascii="Wingdings" w:eastAsia="Wingdings" w:hAnsi="Wingdings" w:cs="Wingdings"/>
      </w:rPr>
    </w:lvl>
    <w:lvl w:ilvl="3" w:tplc="42ECE2BA">
      <w:start w:val="1"/>
      <w:numFmt w:val="bullet"/>
      <w:lvlText w:val=""/>
      <w:lvlJc w:val="left"/>
      <w:pPr>
        <w:ind w:left="2880" w:hanging="360"/>
      </w:pPr>
      <w:rPr>
        <w:rFonts w:ascii="Symbol" w:eastAsia="Symbol" w:hAnsi="Symbol" w:cs="Symbol"/>
      </w:rPr>
    </w:lvl>
    <w:lvl w:ilvl="4" w:tplc="B8E81466">
      <w:start w:val="1"/>
      <w:numFmt w:val="bullet"/>
      <w:lvlText w:val="o"/>
      <w:lvlJc w:val="left"/>
      <w:pPr>
        <w:ind w:left="3600" w:hanging="360"/>
      </w:pPr>
      <w:rPr>
        <w:rFonts w:ascii="Courier New" w:eastAsia="Courier New" w:hAnsi="Courier New" w:cs="Courier New"/>
      </w:rPr>
    </w:lvl>
    <w:lvl w:ilvl="5" w:tplc="09B4B6E0">
      <w:start w:val="1"/>
      <w:numFmt w:val="bullet"/>
      <w:lvlText w:val=""/>
      <w:lvlJc w:val="left"/>
      <w:pPr>
        <w:ind w:left="4320" w:hanging="360"/>
      </w:pPr>
      <w:rPr>
        <w:rFonts w:ascii="Wingdings" w:eastAsia="Wingdings" w:hAnsi="Wingdings" w:cs="Wingdings"/>
      </w:rPr>
    </w:lvl>
    <w:lvl w:ilvl="6" w:tplc="5912627C">
      <w:start w:val="1"/>
      <w:numFmt w:val="bullet"/>
      <w:lvlText w:val=""/>
      <w:lvlJc w:val="left"/>
      <w:pPr>
        <w:ind w:left="5040" w:hanging="360"/>
      </w:pPr>
      <w:rPr>
        <w:rFonts w:ascii="Symbol" w:eastAsia="Symbol" w:hAnsi="Symbol" w:cs="Symbol"/>
      </w:rPr>
    </w:lvl>
    <w:lvl w:ilvl="7" w:tplc="A4FE4472">
      <w:start w:val="1"/>
      <w:numFmt w:val="bullet"/>
      <w:lvlText w:val="o"/>
      <w:lvlJc w:val="left"/>
      <w:pPr>
        <w:ind w:left="5760" w:hanging="360"/>
      </w:pPr>
      <w:rPr>
        <w:rFonts w:ascii="Courier New" w:eastAsia="Courier New" w:hAnsi="Courier New" w:cs="Courier New"/>
      </w:rPr>
    </w:lvl>
    <w:lvl w:ilvl="8" w:tplc="4D9CCAA8">
      <w:start w:val="1"/>
      <w:numFmt w:val="bullet"/>
      <w:lvlText w:val=""/>
      <w:lvlJc w:val="left"/>
      <w:pPr>
        <w:ind w:left="6480" w:hanging="360"/>
      </w:pPr>
      <w:rPr>
        <w:rFonts w:ascii="Wingdings" w:eastAsia="Wingdings" w:hAnsi="Wingdings" w:cs="Wingdings"/>
      </w:rPr>
    </w:lvl>
  </w:abstractNum>
  <w:abstractNum w:abstractNumId="9">
    <w:nsid w:val="3F1428F1"/>
    <w:multiLevelType w:val="hybridMultilevel"/>
    <w:tmpl w:val="B380AA2C"/>
    <w:lvl w:ilvl="0" w:tplc="E6305004">
      <w:start w:val="1"/>
      <w:numFmt w:val="bullet"/>
      <w:lvlText w:val=""/>
      <w:lvlJc w:val="left"/>
      <w:pPr>
        <w:ind w:left="720" w:hanging="360"/>
      </w:pPr>
      <w:rPr>
        <w:rFonts w:ascii="Symbol" w:eastAsia="Symbol" w:hAnsi="Symbol" w:cs="Symbol"/>
      </w:rPr>
    </w:lvl>
    <w:lvl w:ilvl="1" w:tplc="2CE49FCC">
      <w:start w:val="1"/>
      <w:numFmt w:val="bullet"/>
      <w:lvlText w:val="o"/>
      <w:lvlJc w:val="left"/>
      <w:pPr>
        <w:ind w:left="1440" w:hanging="360"/>
      </w:pPr>
      <w:rPr>
        <w:rFonts w:ascii="Courier New" w:eastAsia="Courier New" w:hAnsi="Courier New" w:cs="Courier New"/>
      </w:rPr>
    </w:lvl>
    <w:lvl w:ilvl="2" w:tplc="C3484528">
      <w:start w:val="1"/>
      <w:numFmt w:val="bullet"/>
      <w:lvlText w:val=""/>
      <w:lvlJc w:val="left"/>
      <w:pPr>
        <w:ind w:left="2160" w:hanging="360"/>
      </w:pPr>
      <w:rPr>
        <w:rFonts w:ascii="Wingdings" w:eastAsia="Wingdings" w:hAnsi="Wingdings" w:cs="Wingdings"/>
      </w:rPr>
    </w:lvl>
    <w:lvl w:ilvl="3" w:tplc="79341C7A">
      <w:start w:val="1"/>
      <w:numFmt w:val="bullet"/>
      <w:lvlText w:val=""/>
      <w:lvlJc w:val="left"/>
      <w:pPr>
        <w:ind w:left="2880" w:hanging="360"/>
      </w:pPr>
      <w:rPr>
        <w:rFonts w:ascii="Symbol" w:eastAsia="Symbol" w:hAnsi="Symbol" w:cs="Symbol"/>
      </w:rPr>
    </w:lvl>
    <w:lvl w:ilvl="4" w:tplc="B9EAE676">
      <w:start w:val="1"/>
      <w:numFmt w:val="bullet"/>
      <w:lvlText w:val="o"/>
      <w:lvlJc w:val="left"/>
      <w:pPr>
        <w:ind w:left="3600" w:hanging="360"/>
      </w:pPr>
      <w:rPr>
        <w:rFonts w:ascii="Courier New" w:eastAsia="Courier New" w:hAnsi="Courier New" w:cs="Courier New"/>
      </w:rPr>
    </w:lvl>
    <w:lvl w:ilvl="5" w:tplc="C52EF1F0">
      <w:start w:val="1"/>
      <w:numFmt w:val="bullet"/>
      <w:lvlText w:val=""/>
      <w:lvlJc w:val="left"/>
      <w:pPr>
        <w:ind w:left="4320" w:hanging="360"/>
      </w:pPr>
      <w:rPr>
        <w:rFonts w:ascii="Wingdings" w:eastAsia="Wingdings" w:hAnsi="Wingdings" w:cs="Wingdings"/>
      </w:rPr>
    </w:lvl>
    <w:lvl w:ilvl="6" w:tplc="37DC760C">
      <w:start w:val="1"/>
      <w:numFmt w:val="bullet"/>
      <w:lvlText w:val=""/>
      <w:lvlJc w:val="left"/>
      <w:pPr>
        <w:ind w:left="5040" w:hanging="360"/>
      </w:pPr>
      <w:rPr>
        <w:rFonts w:ascii="Symbol" w:eastAsia="Symbol" w:hAnsi="Symbol" w:cs="Symbol"/>
      </w:rPr>
    </w:lvl>
    <w:lvl w:ilvl="7" w:tplc="46ACC89C">
      <w:start w:val="1"/>
      <w:numFmt w:val="bullet"/>
      <w:lvlText w:val="o"/>
      <w:lvlJc w:val="left"/>
      <w:pPr>
        <w:ind w:left="5760" w:hanging="360"/>
      </w:pPr>
      <w:rPr>
        <w:rFonts w:ascii="Courier New" w:eastAsia="Courier New" w:hAnsi="Courier New" w:cs="Courier New"/>
      </w:rPr>
    </w:lvl>
    <w:lvl w:ilvl="8" w:tplc="AC2A4DC8">
      <w:start w:val="1"/>
      <w:numFmt w:val="bullet"/>
      <w:lvlText w:val=""/>
      <w:lvlJc w:val="left"/>
      <w:pPr>
        <w:ind w:left="6480" w:hanging="360"/>
      </w:pPr>
      <w:rPr>
        <w:rFonts w:ascii="Wingdings" w:eastAsia="Wingdings" w:hAnsi="Wingdings" w:cs="Wingdings"/>
      </w:rPr>
    </w:lvl>
  </w:abstractNum>
  <w:abstractNum w:abstractNumId="10">
    <w:nsid w:val="45726752"/>
    <w:multiLevelType w:val="hybridMultilevel"/>
    <w:tmpl w:val="098EDE56"/>
    <w:lvl w:ilvl="0" w:tplc="40045632">
      <w:start w:val="1"/>
      <w:numFmt w:val="bullet"/>
      <w:lvlText w:val=""/>
      <w:lvlJc w:val="left"/>
      <w:pPr>
        <w:ind w:left="720" w:hanging="360"/>
      </w:pPr>
      <w:rPr>
        <w:rFonts w:ascii="Symbol" w:eastAsia="Symbol" w:hAnsi="Symbol" w:cs="Symbol"/>
      </w:rPr>
    </w:lvl>
    <w:lvl w:ilvl="1" w:tplc="3F7A821E">
      <w:start w:val="1"/>
      <w:numFmt w:val="bullet"/>
      <w:lvlText w:val="o"/>
      <w:lvlJc w:val="left"/>
      <w:pPr>
        <w:ind w:left="1440" w:hanging="360"/>
      </w:pPr>
      <w:rPr>
        <w:rFonts w:ascii="Courier New" w:eastAsia="Courier New" w:hAnsi="Courier New" w:cs="Courier New"/>
      </w:rPr>
    </w:lvl>
    <w:lvl w:ilvl="2" w:tplc="615A1628">
      <w:start w:val="1"/>
      <w:numFmt w:val="bullet"/>
      <w:lvlText w:val=""/>
      <w:lvlJc w:val="left"/>
      <w:pPr>
        <w:ind w:left="2160" w:hanging="360"/>
      </w:pPr>
      <w:rPr>
        <w:rFonts w:ascii="Wingdings" w:eastAsia="Wingdings" w:hAnsi="Wingdings" w:cs="Wingdings"/>
      </w:rPr>
    </w:lvl>
    <w:lvl w:ilvl="3" w:tplc="6ABE8E38">
      <w:start w:val="1"/>
      <w:numFmt w:val="bullet"/>
      <w:lvlText w:val=""/>
      <w:lvlJc w:val="left"/>
      <w:pPr>
        <w:ind w:left="2880" w:hanging="360"/>
      </w:pPr>
      <w:rPr>
        <w:rFonts w:ascii="Symbol" w:eastAsia="Symbol" w:hAnsi="Symbol" w:cs="Symbol"/>
      </w:rPr>
    </w:lvl>
    <w:lvl w:ilvl="4" w:tplc="A6FCA678">
      <w:start w:val="1"/>
      <w:numFmt w:val="bullet"/>
      <w:lvlText w:val="o"/>
      <w:lvlJc w:val="left"/>
      <w:pPr>
        <w:ind w:left="3600" w:hanging="360"/>
      </w:pPr>
      <w:rPr>
        <w:rFonts w:ascii="Courier New" w:eastAsia="Courier New" w:hAnsi="Courier New" w:cs="Courier New"/>
      </w:rPr>
    </w:lvl>
    <w:lvl w:ilvl="5" w:tplc="BF349FC0">
      <w:start w:val="1"/>
      <w:numFmt w:val="bullet"/>
      <w:lvlText w:val=""/>
      <w:lvlJc w:val="left"/>
      <w:pPr>
        <w:ind w:left="4320" w:hanging="360"/>
      </w:pPr>
      <w:rPr>
        <w:rFonts w:ascii="Wingdings" w:eastAsia="Wingdings" w:hAnsi="Wingdings" w:cs="Wingdings"/>
      </w:rPr>
    </w:lvl>
    <w:lvl w:ilvl="6" w:tplc="20DC1C44">
      <w:start w:val="1"/>
      <w:numFmt w:val="bullet"/>
      <w:lvlText w:val=""/>
      <w:lvlJc w:val="left"/>
      <w:pPr>
        <w:ind w:left="5040" w:hanging="360"/>
      </w:pPr>
      <w:rPr>
        <w:rFonts w:ascii="Symbol" w:eastAsia="Symbol" w:hAnsi="Symbol" w:cs="Symbol"/>
      </w:rPr>
    </w:lvl>
    <w:lvl w:ilvl="7" w:tplc="C218A554">
      <w:start w:val="1"/>
      <w:numFmt w:val="bullet"/>
      <w:lvlText w:val="o"/>
      <w:lvlJc w:val="left"/>
      <w:pPr>
        <w:ind w:left="5760" w:hanging="360"/>
      </w:pPr>
      <w:rPr>
        <w:rFonts w:ascii="Courier New" w:eastAsia="Courier New" w:hAnsi="Courier New" w:cs="Courier New"/>
      </w:rPr>
    </w:lvl>
    <w:lvl w:ilvl="8" w:tplc="1A3A6DCE">
      <w:start w:val="1"/>
      <w:numFmt w:val="bullet"/>
      <w:lvlText w:val=""/>
      <w:lvlJc w:val="left"/>
      <w:pPr>
        <w:ind w:left="6480" w:hanging="360"/>
      </w:pPr>
      <w:rPr>
        <w:rFonts w:ascii="Wingdings" w:eastAsia="Wingdings" w:hAnsi="Wingdings" w:cs="Wingdings"/>
      </w:rPr>
    </w:lvl>
  </w:abstractNum>
  <w:abstractNum w:abstractNumId="11">
    <w:nsid w:val="46340853"/>
    <w:multiLevelType w:val="hybridMultilevel"/>
    <w:tmpl w:val="14EA925A"/>
    <w:lvl w:ilvl="0" w:tplc="FDFC312E">
      <w:start w:val="1"/>
      <w:numFmt w:val="decimal"/>
      <w:lvlText w:val="%1."/>
      <w:lvlJc w:val="left"/>
      <w:pPr>
        <w:ind w:left="720" w:hanging="360"/>
      </w:pPr>
    </w:lvl>
    <w:lvl w:ilvl="1" w:tplc="3F5E5A82">
      <w:start w:val="1"/>
      <w:numFmt w:val="lowerLetter"/>
      <w:lvlText w:val="%2."/>
      <w:lvlJc w:val="left"/>
      <w:pPr>
        <w:ind w:left="1440" w:hanging="360"/>
      </w:pPr>
    </w:lvl>
    <w:lvl w:ilvl="2" w:tplc="A926B304">
      <w:start w:val="1"/>
      <w:numFmt w:val="lowerRoman"/>
      <w:lvlText w:val="%3."/>
      <w:lvlJc w:val="right"/>
      <w:pPr>
        <w:ind w:left="2160" w:hanging="180"/>
      </w:pPr>
    </w:lvl>
    <w:lvl w:ilvl="3" w:tplc="3DCAC3AE">
      <w:start w:val="1"/>
      <w:numFmt w:val="decimal"/>
      <w:lvlText w:val="%4."/>
      <w:lvlJc w:val="left"/>
      <w:pPr>
        <w:ind w:left="2880" w:hanging="360"/>
      </w:pPr>
    </w:lvl>
    <w:lvl w:ilvl="4" w:tplc="9BBC293C">
      <w:start w:val="1"/>
      <w:numFmt w:val="lowerLetter"/>
      <w:lvlText w:val="%5."/>
      <w:lvlJc w:val="left"/>
      <w:pPr>
        <w:ind w:left="3600" w:hanging="360"/>
      </w:pPr>
    </w:lvl>
    <w:lvl w:ilvl="5" w:tplc="370E5EB0">
      <w:start w:val="1"/>
      <w:numFmt w:val="lowerRoman"/>
      <w:lvlText w:val="%6."/>
      <w:lvlJc w:val="right"/>
      <w:pPr>
        <w:ind w:left="4320" w:hanging="180"/>
      </w:pPr>
    </w:lvl>
    <w:lvl w:ilvl="6" w:tplc="2084C1CA">
      <w:start w:val="1"/>
      <w:numFmt w:val="decimal"/>
      <w:lvlText w:val="%7."/>
      <w:lvlJc w:val="left"/>
      <w:pPr>
        <w:ind w:left="5040" w:hanging="360"/>
      </w:pPr>
    </w:lvl>
    <w:lvl w:ilvl="7" w:tplc="E7BEE702">
      <w:start w:val="1"/>
      <w:numFmt w:val="lowerLetter"/>
      <w:lvlText w:val="%8."/>
      <w:lvlJc w:val="left"/>
      <w:pPr>
        <w:ind w:left="5760" w:hanging="360"/>
      </w:pPr>
    </w:lvl>
    <w:lvl w:ilvl="8" w:tplc="ED3A8E4A">
      <w:start w:val="1"/>
      <w:numFmt w:val="lowerRoman"/>
      <w:lvlText w:val="%9."/>
      <w:lvlJc w:val="right"/>
      <w:pPr>
        <w:ind w:left="6480" w:hanging="180"/>
      </w:pPr>
    </w:lvl>
  </w:abstractNum>
  <w:abstractNum w:abstractNumId="12">
    <w:nsid w:val="4E282730"/>
    <w:multiLevelType w:val="hybridMultilevel"/>
    <w:tmpl w:val="0B4E235E"/>
    <w:lvl w:ilvl="0" w:tplc="17404122">
      <w:start w:val="1"/>
      <w:numFmt w:val="bullet"/>
      <w:lvlText w:val=""/>
      <w:lvlJc w:val="left"/>
      <w:pPr>
        <w:ind w:left="720" w:hanging="360"/>
      </w:pPr>
      <w:rPr>
        <w:rFonts w:ascii="Symbol" w:eastAsia="Symbol" w:hAnsi="Symbol" w:cs="Symbol"/>
      </w:rPr>
    </w:lvl>
    <w:lvl w:ilvl="1" w:tplc="258E0784">
      <w:start w:val="1"/>
      <w:numFmt w:val="bullet"/>
      <w:lvlText w:val="o"/>
      <w:lvlJc w:val="left"/>
      <w:pPr>
        <w:ind w:left="1440" w:hanging="360"/>
      </w:pPr>
      <w:rPr>
        <w:rFonts w:ascii="Courier New" w:eastAsia="Courier New" w:hAnsi="Courier New" w:cs="Courier New"/>
      </w:rPr>
    </w:lvl>
    <w:lvl w:ilvl="2" w:tplc="C8808726">
      <w:start w:val="1"/>
      <w:numFmt w:val="bullet"/>
      <w:lvlText w:val=""/>
      <w:lvlJc w:val="left"/>
      <w:pPr>
        <w:ind w:left="2160" w:hanging="360"/>
      </w:pPr>
      <w:rPr>
        <w:rFonts w:ascii="Wingdings" w:eastAsia="Wingdings" w:hAnsi="Wingdings" w:cs="Wingdings"/>
      </w:rPr>
    </w:lvl>
    <w:lvl w:ilvl="3" w:tplc="3022F028">
      <w:start w:val="1"/>
      <w:numFmt w:val="bullet"/>
      <w:lvlText w:val=""/>
      <w:lvlJc w:val="left"/>
      <w:pPr>
        <w:ind w:left="2880" w:hanging="360"/>
      </w:pPr>
      <w:rPr>
        <w:rFonts w:ascii="Symbol" w:eastAsia="Symbol" w:hAnsi="Symbol" w:cs="Symbol"/>
      </w:rPr>
    </w:lvl>
    <w:lvl w:ilvl="4" w:tplc="CDAE3C7C">
      <w:start w:val="1"/>
      <w:numFmt w:val="bullet"/>
      <w:lvlText w:val="o"/>
      <w:lvlJc w:val="left"/>
      <w:pPr>
        <w:ind w:left="3600" w:hanging="360"/>
      </w:pPr>
      <w:rPr>
        <w:rFonts w:ascii="Courier New" w:eastAsia="Courier New" w:hAnsi="Courier New" w:cs="Courier New"/>
      </w:rPr>
    </w:lvl>
    <w:lvl w:ilvl="5" w:tplc="B46E8FFC">
      <w:start w:val="1"/>
      <w:numFmt w:val="bullet"/>
      <w:lvlText w:val=""/>
      <w:lvlJc w:val="left"/>
      <w:pPr>
        <w:ind w:left="4320" w:hanging="360"/>
      </w:pPr>
      <w:rPr>
        <w:rFonts w:ascii="Wingdings" w:eastAsia="Wingdings" w:hAnsi="Wingdings" w:cs="Wingdings"/>
      </w:rPr>
    </w:lvl>
    <w:lvl w:ilvl="6" w:tplc="49D4D716">
      <w:start w:val="1"/>
      <w:numFmt w:val="bullet"/>
      <w:lvlText w:val=""/>
      <w:lvlJc w:val="left"/>
      <w:pPr>
        <w:ind w:left="5040" w:hanging="360"/>
      </w:pPr>
      <w:rPr>
        <w:rFonts w:ascii="Symbol" w:eastAsia="Symbol" w:hAnsi="Symbol" w:cs="Symbol"/>
      </w:rPr>
    </w:lvl>
    <w:lvl w:ilvl="7" w:tplc="29E23F76">
      <w:start w:val="1"/>
      <w:numFmt w:val="bullet"/>
      <w:lvlText w:val="o"/>
      <w:lvlJc w:val="left"/>
      <w:pPr>
        <w:ind w:left="5760" w:hanging="360"/>
      </w:pPr>
      <w:rPr>
        <w:rFonts w:ascii="Courier New" w:eastAsia="Courier New" w:hAnsi="Courier New" w:cs="Courier New"/>
      </w:rPr>
    </w:lvl>
    <w:lvl w:ilvl="8" w:tplc="012E9A54">
      <w:start w:val="1"/>
      <w:numFmt w:val="bullet"/>
      <w:lvlText w:val=""/>
      <w:lvlJc w:val="left"/>
      <w:pPr>
        <w:ind w:left="6480" w:hanging="360"/>
      </w:pPr>
      <w:rPr>
        <w:rFonts w:ascii="Wingdings" w:eastAsia="Wingdings" w:hAnsi="Wingdings" w:cs="Wingdings"/>
      </w:rPr>
    </w:lvl>
  </w:abstractNum>
  <w:abstractNum w:abstractNumId="13">
    <w:nsid w:val="50B738FD"/>
    <w:multiLevelType w:val="hybridMultilevel"/>
    <w:tmpl w:val="FCDE9348"/>
    <w:lvl w:ilvl="0" w:tplc="D278F830">
      <w:start w:val="1"/>
      <w:numFmt w:val="decimal"/>
      <w:lvlText w:val="%1."/>
      <w:lvlJc w:val="left"/>
      <w:pPr>
        <w:ind w:left="720" w:hanging="360"/>
      </w:pPr>
    </w:lvl>
    <w:lvl w:ilvl="1" w:tplc="F0F6B2C6">
      <w:start w:val="1"/>
      <w:numFmt w:val="lowerLetter"/>
      <w:lvlText w:val="%2."/>
      <w:lvlJc w:val="left"/>
      <w:pPr>
        <w:ind w:left="1440" w:hanging="360"/>
      </w:pPr>
    </w:lvl>
    <w:lvl w:ilvl="2" w:tplc="F44CC4E6">
      <w:start w:val="1"/>
      <w:numFmt w:val="lowerRoman"/>
      <w:lvlText w:val="%3."/>
      <w:lvlJc w:val="right"/>
      <w:pPr>
        <w:ind w:left="2160" w:hanging="180"/>
      </w:pPr>
    </w:lvl>
    <w:lvl w:ilvl="3" w:tplc="632AC15A">
      <w:start w:val="1"/>
      <w:numFmt w:val="decimal"/>
      <w:lvlText w:val="%4."/>
      <w:lvlJc w:val="left"/>
      <w:pPr>
        <w:ind w:left="2880" w:hanging="360"/>
      </w:pPr>
    </w:lvl>
    <w:lvl w:ilvl="4" w:tplc="27C03CB8">
      <w:start w:val="1"/>
      <w:numFmt w:val="lowerLetter"/>
      <w:lvlText w:val="%5."/>
      <w:lvlJc w:val="left"/>
      <w:pPr>
        <w:ind w:left="3600" w:hanging="360"/>
      </w:pPr>
    </w:lvl>
    <w:lvl w:ilvl="5" w:tplc="C42C4468">
      <w:start w:val="1"/>
      <w:numFmt w:val="lowerRoman"/>
      <w:lvlText w:val="%6."/>
      <w:lvlJc w:val="right"/>
      <w:pPr>
        <w:ind w:left="4320" w:hanging="180"/>
      </w:pPr>
    </w:lvl>
    <w:lvl w:ilvl="6" w:tplc="CB00477A">
      <w:start w:val="1"/>
      <w:numFmt w:val="decimal"/>
      <w:lvlText w:val="%7."/>
      <w:lvlJc w:val="left"/>
      <w:pPr>
        <w:ind w:left="5040" w:hanging="360"/>
      </w:pPr>
    </w:lvl>
    <w:lvl w:ilvl="7" w:tplc="74C04F4C">
      <w:start w:val="1"/>
      <w:numFmt w:val="lowerLetter"/>
      <w:lvlText w:val="%8."/>
      <w:lvlJc w:val="left"/>
      <w:pPr>
        <w:ind w:left="5760" w:hanging="360"/>
      </w:pPr>
    </w:lvl>
    <w:lvl w:ilvl="8" w:tplc="A6E2C150">
      <w:start w:val="1"/>
      <w:numFmt w:val="lowerRoman"/>
      <w:lvlText w:val="%9."/>
      <w:lvlJc w:val="right"/>
      <w:pPr>
        <w:ind w:left="6480" w:hanging="180"/>
      </w:pPr>
    </w:lvl>
  </w:abstractNum>
  <w:abstractNum w:abstractNumId="14">
    <w:nsid w:val="53A102E5"/>
    <w:multiLevelType w:val="hybridMultilevel"/>
    <w:tmpl w:val="54B2B428"/>
    <w:lvl w:ilvl="0" w:tplc="09DA3558">
      <w:start w:val="1"/>
      <w:numFmt w:val="bullet"/>
      <w:lvlText w:val=""/>
      <w:lvlJc w:val="left"/>
      <w:pPr>
        <w:ind w:left="720" w:hanging="360"/>
      </w:pPr>
      <w:rPr>
        <w:rFonts w:ascii="Symbol" w:eastAsia="Symbol" w:hAnsi="Symbol" w:cs="Symbol"/>
      </w:rPr>
    </w:lvl>
    <w:lvl w:ilvl="1" w:tplc="FF4CD512">
      <w:start w:val="1"/>
      <w:numFmt w:val="bullet"/>
      <w:lvlText w:val="o"/>
      <w:lvlJc w:val="left"/>
      <w:pPr>
        <w:ind w:left="1440" w:hanging="360"/>
      </w:pPr>
      <w:rPr>
        <w:rFonts w:ascii="Courier New" w:eastAsia="Courier New" w:hAnsi="Courier New" w:cs="Courier New"/>
      </w:rPr>
    </w:lvl>
    <w:lvl w:ilvl="2" w:tplc="AB160F30">
      <w:start w:val="1"/>
      <w:numFmt w:val="bullet"/>
      <w:lvlText w:val=""/>
      <w:lvlJc w:val="left"/>
      <w:pPr>
        <w:ind w:left="2160" w:hanging="360"/>
      </w:pPr>
      <w:rPr>
        <w:rFonts w:ascii="Wingdings" w:eastAsia="Wingdings" w:hAnsi="Wingdings" w:cs="Wingdings"/>
      </w:rPr>
    </w:lvl>
    <w:lvl w:ilvl="3" w:tplc="F14A4D0E">
      <w:start w:val="1"/>
      <w:numFmt w:val="bullet"/>
      <w:lvlText w:val=""/>
      <w:lvlJc w:val="left"/>
      <w:pPr>
        <w:ind w:left="2880" w:hanging="360"/>
      </w:pPr>
      <w:rPr>
        <w:rFonts w:ascii="Symbol" w:eastAsia="Symbol" w:hAnsi="Symbol" w:cs="Symbol"/>
      </w:rPr>
    </w:lvl>
    <w:lvl w:ilvl="4" w:tplc="A2646E22">
      <w:start w:val="1"/>
      <w:numFmt w:val="bullet"/>
      <w:lvlText w:val="o"/>
      <w:lvlJc w:val="left"/>
      <w:pPr>
        <w:ind w:left="3600" w:hanging="360"/>
      </w:pPr>
      <w:rPr>
        <w:rFonts w:ascii="Courier New" w:eastAsia="Courier New" w:hAnsi="Courier New" w:cs="Courier New"/>
      </w:rPr>
    </w:lvl>
    <w:lvl w:ilvl="5" w:tplc="96C466D2">
      <w:start w:val="1"/>
      <w:numFmt w:val="bullet"/>
      <w:lvlText w:val=""/>
      <w:lvlJc w:val="left"/>
      <w:pPr>
        <w:ind w:left="4320" w:hanging="360"/>
      </w:pPr>
      <w:rPr>
        <w:rFonts w:ascii="Wingdings" w:eastAsia="Wingdings" w:hAnsi="Wingdings" w:cs="Wingdings"/>
      </w:rPr>
    </w:lvl>
    <w:lvl w:ilvl="6" w:tplc="27985CF8">
      <w:start w:val="1"/>
      <w:numFmt w:val="bullet"/>
      <w:lvlText w:val=""/>
      <w:lvlJc w:val="left"/>
      <w:pPr>
        <w:ind w:left="5040" w:hanging="360"/>
      </w:pPr>
      <w:rPr>
        <w:rFonts w:ascii="Symbol" w:eastAsia="Symbol" w:hAnsi="Symbol" w:cs="Symbol"/>
      </w:rPr>
    </w:lvl>
    <w:lvl w:ilvl="7" w:tplc="0B287400">
      <w:start w:val="1"/>
      <w:numFmt w:val="bullet"/>
      <w:lvlText w:val="o"/>
      <w:lvlJc w:val="left"/>
      <w:pPr>
        <w:ind w:left="5760" w:hanging="360"/>
      </w:pPr>
      <w:rPr>
        <w:rFonts w:ascii="Courier New" w:eastAsia="Courier New" w:hAnsi="Courier New" w:cs="Courier New"/>
      </w:rPr>
    </w:lvl>
    <w:lvl w:ilvl="8" w:tplc="898E8B2C">
      <w:start w:val="1"/>
      <w:numFmt w:val="bullet"/>
      <w:lvlText w:val=""/>
      <w:lvlJc w:val="left"/>
      <w:pPr>
        <w:ind w:left="6480" w:hanging="360"/>
      </w:pPr>
      <w:rPr>
        <w:rFonts w:ascii="Wingdings" w:eastAsia="Wingdings" w:hAnsi="Wingdings" w:cs="Wingdings"/>
      </w:rPr>
    </w:lvl>
  </w:abstractNum>
  <w:abstractNum w:abstractNumId="15">
    <w:nsid w:val="57E53688"/>
    <w:multiLevelType w:val="hybridMultilevel"/>
    <w:tmpl w:val="826C0684"/>
    <w:lvl w:ilvl="0" w:tplc="3ACC3532">
      <w:start w:val="1"/>
      <w:numFmt w:val="bullet"/>
      <w:lvlText w:val=""/>
      <w:lvlJc w:val="left"/>
      <w:pPr>
        <w:ind w:left="720" w:hanging="360"/>
      </w:pPr>
      <w:rPr>
        <w:rFonts w:ascii="Symbol" w:eastAsia="Symbol" w:hAnsi="Symbol" w:cs="Symbol"/>
      </w:rPr>
    </w:lvl>
    <w:lvl w:ilvl="1" w:tplc="377637F8">
      <w:start w:val="1"/>
      <w:numFmt w:val="bullet"/>
      <w:lvlText w:val="o"/>
      <w:lvlJc w:val="left"/>
      <w:pPr>
        <w:ind w:left="1440" w:hanging="360"/>
      </w:pPr>
      <w:rPr>
        <w:rFonts w:ascii="Courier New" w:eastAsia="Courier New" w:hAnsi="Courier New" w:cs="Courier New"/>
      </w:rPr>
    </w:lvl>
    <w:lvl w:ilvl="2" w:tplc="A03A6320">
      <w:start w:val="1"/>
      <w:numFmt w:val="bullet"/>
      <w:lvlText w:val=""/>
      <w:lvlJc w:val="left"/>
      <w:pPr>
        <w:ind w:left="2160" w:hanging="360"/>
      </w:pPr>
      <w:rPr>
        <w:rFonts w:ascii="Wingdings" w:eastAsia="Wingdings" w:hAnsi="Wingdings" w:cs="Wingdings"/>
      </w:rPr>
    </w:lvl>
    <w:lvl w:ilvl="3" w:tplc="47560178">
      <w:start w:val="1"/>
      <w:numFmt w:val="bullet"/>
      <w:lvlText w:val=""/>
      <w:lvlJc w:val="left"/>
      <w:pPr>
        <w:ind w:left="2880" w:hanging="360"/>
      </w:pPr>
      <w:rPr>
        <w:rFonts w:ascii="Symbol" w:eastAsia="Symbol" w:hAnsi="Symbol" w:cs="Symbol"/>
      </w:rPr>
    </w:lvl>
    <w:lvl w:ilvl="4" w:tplc="97BA48D2">
      <w:start w:val="1"/>
      <w:numFmt w:val="bullet"/>
      <w:lvlText w:val="o"/>
      <w:lvlJc w:val="left"/>
      <w:pPr>
        <w:ind w:left="3600" w:hanging="360"/>
      </w:pPr>
      <w:rPr>
        <w:rFonts w:ascii="Courier New" w:eastAsia="Courier New" w:hAnsi="Courier New" w:cs="Courier New"/>
      </w:rPr>
    </w:lvl>
    <w:lvl w:ilvl="5" w:tplc="369C883C">
      <w:start w:val="1"/>
      <w:numFmt w:val="bullet"/>
      <w:lvlText w:val=""/>
      <w:lvlJc w:val="left"/>
      <w:pPr>
        <w:ind w:left="4320" w:hanging="360"/>
      </w:pPr>
      <w:rPr>
        <w:rFonts w:ascii="Wingdings" w:eastAsia="Wingdings" w:hAnsi="Wingdings" w:cs="Wingdings"/>
      </w:rPr>
    </w:lvl>
    <w:lvl w:ilvl="6" w:tplc="DF2C3DC0">
      <w:start w:val="1"/>
      <w:numFmt w:val="bullet"/>
      <w:lvlText w:val=""/>
      <w:lvlJc w:val="left"/>
      <w:pPr>
        <w:ind w:left="5040" w:hanging="360"/>
      </w:pPr>
      <w:rPr>
        <w:rFonts w:ascii="Symbol" w:eastAsia="Symbol" w:hAnsi="Symbol" w:cs="Symbol"/>
      </w:rPr>
    </w:lvl>
    <w:lvl w:ilvl="7" w:tplc="67CC8898">
      <w:start w:val="1"/>
      <w:numFmt w:val="bullet"/>
      <w:lvlText w:val="o"/>
      <w:lvlJc w:val="left"/>
      <w:pPr>
        <w:ind w:left="5760" w:hanging="360"/>
      </w:pPr>
      <w:rPr>
        <w:rFonts w:ascii="Courier New" w:eastAsia="Courier New" w:hAnsi="Courier New" w:cs="Courier New"/>
      </w:rPr>
    </w:lvl>
    <w:lvl w:ilvl="8" w:tplc="9648B688">
      <w:start w:val="1"/>
      <w:numFmt w:val="bullet"/>
      <w:lvlText w:val=""/>
      <w:lvlJc w:val="left"/>
      <w:pPr>
        <w:ind w:left="6480" w:hanging="360"/>
      </w:pPr>
      <w:rPr>
        <w:rFonts w:ascii="Wingdings" w:eastAsia="Wingdings" w:hAnsi="Wingdings" w:cs="Wingdings"/>
      </w:rPr>
    </w:lvl>
  </w:abstractNum>
  <w:abstractNum w:abstractNumId="16">
    <w:nsid w:val="5B2033F1"/>
    <w:multiLevelType w:val="hybridMultilevel"/>
    <w:tmpl w:val="A560D7BE"/>
    <w:lvl w:ilvl="0" w:tplc="358CBFBE">
      <w:start w:val="1"/>
      <w:numFmt w:val="bullet"/>
      <w:lvlText w:val=""/>
      <w:lvlJc w:val="left"/>
      <w:pPr>
        <w:ind w:left="720" w:hanging="360"/>
      </w:pPr>
      <w:rPr>
        <w:rFonts w:ascii="Symbol" w:eastAsia="Symbol" w:hAnsi="Symbol" w:cs="Symbol"/>
      </w:rPr>
    </w:lvl>
    <w:lvl w:ilvl="1" w:tplc="594C3B9C">
      <w:start w:val="1"/>
      <w:numFmt w:val="bullet"/>
      <w:lvlText w:val="o"/>
      <w:lvlJc w:val="left"/>
      <w:pPr>
        <w:ind w:left="1440" w:hanging="360"/>
      </w:pPr>
      <w:rPr>
        <w:rFonts w:ascii="Courier New" w:eastAsia="Courier New" w:hAnsi="Courier New" w:cs="Courier New"/>
      </w:rPr>
    </w:lvl>
    <w:lvl w:ilvl="2" w:tplc="3AC069D8">
      <w:start w:val="1"/>
      <w:numFmt w:val="bullet"/>
      <w:lvlText w:val=""/>
      <w:lvlJc w:val="left"/>
      <w:pPr>
        <w:ind w:left="2160" w:hanging="360"/>
      </w:pPr>
      <w:rPr>
        <w:rFonts w:ascii="Wingdings" w:eastAsia="Wingdings" w:hAnsi="Wingdings" w:cs="Wingdings"/>
      </w:rPr>
    </w:lvl>
    <w:lvl w:ilvl="3" w:tplc="02003446">
      <w:start w:val="1"/>
      <w:numFmt w:val="bullet"/>
      <w:lvlText w:val=""/>
      <w:lvlJc w:val="left"/>
      <w:pPr>
        <w:ind w:left="2880" w:hanging="360"/>
      </w:pPr>
      <w:rPr>
        <w:rFonts w:ascii="Symbol" w:eastAsia="Symbol" w:hAnsi="Symbol" w:cs="Symbol"/>
      </w:rPr>
    </w:lvl>
    <w:lvl w:ilvl="4" w:tplc="BE041F5A">
      <w:start w:val="1"/>
      <w:numFmt w:val="bullet"/>
      <w:lvlText w:val="o"/>
      <w:lvlJc w:val="left"/>
      <w:pPr>
        <w:ind w:left="3600" w:hanging="360"/>
      </w:pPr>
      <w:rPr>
        <w:rFonts w:ascii="Courier New" w:eastAsia="Courier New" w:hAnsi="Courier New" w:cs="Courier New"/>
      </w:rPr>
    </w:lvl>
    <w:lvl w:ilvl="5" w:tplc="2556DF0E">
      <w:start w:val="1"/>
      <w:numFmt w:val="bullet"/>
      <w:lvlText w:val=""/>
      <w:lvlJc w:val="left"/>
      <w:pPr>
        <w:ind w:left="4320" w:hanging="360"/>
      </w:pPr>
      <w:rPr>
        <w:rFonts w:ascii="Wingdings" w:eastAsia="Wingdings" w:hAnsi="Wingdings" w:cs="Wingdings"/>
      </w:rPr>
    </w:lvl>
    <w:lvl w:ilvl="6" w:tplc="AA76ECC2">
      <w:start w:val="1"/>
      <w:numFmt w:val="bullet"/>
      <w:lvlText w:val=""/>
      <w:lvlJc w:val="left"/>
      <w:pPr>
        <w:ind w:left="5040" w:hanging="360"/>
      </w:pPr>
      <w:rPr>
        <w:rFonts w:ascii="Symbol" w:eastAsia="Symbol" w:hAnsi="Symbol" w:cs="Symbol"/>
      </w:rPr>
    </w:lvl>
    <w:lvl w:ilvl="7" w:tplc="96164E9A">
      <w:start w:val="1"/>
      <w:numFmt w:val="bullet"/>
      <w:lvlText w:val="o"/>
      <w:lvlJc w:val="left"/>
      <w:pPr>
        <w:ind w:left="5760" w:hanging="360"/>
      </w:pPr>
      <w:rPr>
        <w:rFonts w:ascii="Courier New" w:eastAsia="Courier New" w:hAnsi="Courier New" w:cs="Courier New"/>
      </w:rPr>
    </w:lvl>
    <w:lvl w:ilvl="8" w:tplc="DE26E91A">
      <w:start w:val="1"/>
      <w:numFmt w:val="bullet"/>
      <w:lvlText w:val=""/>
      <w:lvlJc w:val="left"/>
      <w:pPr>
        <w:ind w:left="6480" w:hanging="360"/>
      </w:pPr>
      <w:rPr>
        <w:rFonts w:ascii="Wingdings" w:eastAsia="Wingdings" w:hAnsi="Wingdings" w:cs="Wingdings"/>
      </w:rPr>
    </w:lvl>
  </w:abstractNum>
  <w:abstractNum w:abstractNumId="17">
    <w:nsid w:val="5C9B762B"/>
    <w:multiLevelType w:val="hybridMultilevel"/>
    <w:tmpl w:val="2C88B3CA"/>
    <w:lvl w:ilvl="0" w:tplc="C7DE24D4">
      <w:start w:val="1"/>
      <w:numFmt w:val="bullet"/>
      <w:lvlText w:val=""/>
      <w:lvlJc w:val="left"/>
      <w:pPr>
        <w:ind w:left="720" w:hanging="360"/>
      </w:pPr>
      <w:rPr>
        <w:rFonts w:ascii="Symbol" w:eastAsia="Symbol" w:hAnsi="Symbol" w:cs="Symbol"/>
      </w:rPr>
    </w:lvl>
    <w:lvl w:ilvl="1" w:tplc="3820AC5E">
      <w:start w:val="1"/>
      <w:numFmt w:val="bullet"/>
      <w:lvlText w:val="o"/>
      <w:lvlJc w:val="left"/>
      <w:pPr>
        <w:ind w:left="1440" w:hanging="360"/>
      </w:pPr>
      <w:rPr>
        <w:rFonts w:ascii="Courier New" w:eastAsia="Courier New" w:hAnsi="Courier New" w:cs="Courier New"/>
      </w:rPr>
    </w:lvl>
    <w:lvl w:ilvl="2" w:tplc="32101E72">
      <w:start w:val="1"/>
      <w:numFmt w:val="bullet"/>
      <w:lvlText w:val=""/>
      <w:lvlJc w:val="left"/>
      <w:pPr>
        <w:ind w:left="2160" w:hanging="360"/>
      </w:pPr>
      <w:rPr>
        <w:rFonts w:ascii="Wingdings" w:eastAsia="Wingdings" w:hAnsi="Wingdings" w:cs="Wingdings"/>
      </w:rPr>
    </w:lvl>
    <w:lvl w:ilvl="3" w:tplc="73ECC578">
      <w:start w:val="1"/>
      <w:numFmt w:val="bullet"/>
      <w:lvlText w:val=""/>
      <w:lvlJc w:val="left"/>
      <w:pPr>
        <w:ind w:left="2880" w:hanging="360"/>
      </w:pPr>
      <w:rPr>
        <w:rFonts w:ascii="Symbol" w:eastAsia="Symbol" w:hAnsi="Symbol" w:cs="Symbol"/>
      </w:rPr>
    </w:lvl>
    <w:lvl w:ilvl="4" w:tplc="194CD940">
      <w:start w:val="1"/>
      <w:numFmt w:val="bullet"/>
      <w:lvlText w:val="o"/>
      <w:lvlJc w:val="left"/>
      <w:pPr>
        <w:ind w:left="3600" w:hanging="360"/>
      </w:pPr>
      <w:rPr>
        <w:rFonts w:ascii="Courier New" w:eastAsia="Courier New" w:hAnsi="Courier New" w:cs="Courier New"/>
      </w:rPr>
    </w:lvl>
    <w:lvl w:ilvl="5" w:tplc="1ED8A24A">
      <w:start w:val="1"/>
      <w:numFmt w:val="bullet"/>
      <w:lvlText w:val=""/>
      <w:lvlJc w:val="left"/>
      <w:pPr>
        <w:ind w:left="4320" w:hanging="360"/>
      </w:pPr>
      <w:rPr>
        <w:rFonts w:ascii="Wingdings" w:eastAsia="Wingdings" w:hAnsi="Wingdings" w:cs="Wingdings"/>
      </w:rPr>
    </w:lvl>
    <w:lvl w:ilvl="6" w:tplc="8F3C64D8">
      <w:start w:val="1"/>
      <w:numFmt w:val="bullet"/>
      <w:lvlText w:val=""/>
      <w:lvlJc w:val="left"/>
      <w:pPr>
        <w:ind w:left="5040" w:hanging="360"/>
      </w:pPr>
      <w:rPr>
        <w:rFonts w:ascii="Symbol" w:eastAsia="Symbol" w:hAnsi="Symbol" w:cs="Symbol"/>
      </w:rPr>
    </w:lvl>
    <w:lvl w:ilvl="7" w:tplc="1B6C4B82">
      <w:start w:val="1"/>
      <w:numFmt w:val="bullet"/>
      <w:lvlText w:val="o"/>
      <w:lvlJc w:val="left"/>
      <w:pPr>
        <w:ind w:left="5760" w:hanging="360"/>
      </w:pPr>
      <w:rPr>
        <w:rFonts w:ascii="Courier New" w:eastAsia="Courier New" w:hAnsi="Courier New" w:cs="Courier New"/>
      </w:rPr>
    </w:lvl>
    <w:lvl w:ilvl="8" w:tplc="13DAEF8A">
      <w:start w:val="1"/>
      <w:numFmt w:val="bullet"/>
      <w:lvlText w:val=""/>
      <w:lvlJc w:val="left"/>
      <w:pPr>
        <w:ind w:left="6480" w:hanging="360"/>
      </w:pPr>
      <w:rPr>
        <w:rFonts w:ascii="Wingdings" w:eastAsia="Wingdings" w:hAnsi="Wingdings" w:cs="Wingdings"/>
      </w:rPr>
    </w:lvl>
  </w:abstractNum>
  <w:abstractNum w:abstractNumId="18">
    <w:nsid w:val="7D7703DB"/>
    <w:multiLevelType w:val="hybridMultilevel"/>
    <w:tmpl w:val="358227F0"/>
    <w:lvl w:ilvl="0" w:tplc="AF549926">
      <w:start w:val="1"/>
      <w:numFmt w:val="bullet"/>
      <w:lvlText w:val=""/>
      <w:lvlJc w:val="left"/>
      <w:pPr>
        <w:ind w:left="720" w:hanging="360"/>
      </w:pPr>
      <w:rPr>
        <w:rFonts w:ascii="Symbol" w:eastAsia="Symbol" w:hAnsi="Symbol" w:cs="Symbol"/>
      </w:rPr>
    </w:lvl>
    <w:lvl w:ilvl="1" w:tplc="C9FC606A">
      <w:start w:val="1"/>
      <w:numFmt w:val="bullet"/>
      <w:lvlText w:val="o"/>
      <w:lvlJc w:val="left"/>
      <w:pPr>
        <w:ind w:left="1440" w:hanging="360"/>
      </w:pPr>
      <w:rPr>
        <w:rFonts w:ascii="Courier New" w:eastAsia="Courier New" w:hAnsi="Courier New" w:cs="Courier New"/>
      </w:rPr>
    </w:lvl>
    <w:lvl w:ilvl="2" w:tplc="1E7C0032">
      <w:start w:val="1"/>
      <w:numFmt w:val="bullet"/>
      <w:lvlText w:val=""/>
      <w:lvlJc w:val="left"/>
      <w:pPr>
        <w:ind w:left="2160" w:hanging="360"/>
      </w:pPr>
      <w:rPr>
        <w:rFonts w:ascii="Wingdings" w:eastAsia="Wingdings" w:hAnsi="Wingdings" w:cs="Wingdings"/>
      </w:rPr>
    </w:lvl>
    <w:lvl w:ilvl="3" w:tplc="EAAC8FD4">
      <w:start w:val="1"/>
      <w:numFmt w:val="bullet"/>
      <w:lvlText w:val=""/>
      <w:lvlJc w:val="left"/>
      <w:pPr>
        <w:ind w:left="2880" w:hanging="360"/>
      </w:pPr>
      <w:rPr>
        <w:rFonts w:ascii="Symbol" w:eastAsia="Symbol" w:hAnsi="Symbol" w:cs="Symbol"/>
      </w:rPr>
    </w:lvl>
    <w:lvl w:ilvl="4" w:tplc="28BE49D8">
      <w:start w:val="1"/>
      <w:numFmt w:val="bullet"/>
      <w:lvlText w:val="o"/>
      <w:lvlJc w:val="left"/>
      <w:pPr>
        <w:ind w:left="3600" w:hanging="360"/>
      </w:pPr>
      <w:rPr>
        <w:rFonts w:ascii="Courier New" w:eastAsia="Courier New" w:hAnsi="Courier New" w:cs="Courier New"/>
      </w:rPr>
    </w:lvl>
    <w:lvl w:ilvl="5" w:tplc="32569F16">
      <w:start w:val="1"/>
      <w:numFmt w:val="bullet"/>
      <w:lvlText w:val=""/>
      <w:lvlJc w:val="left"/>
      <w:pPr>
        <w:ind w:left="4320" w:hanging="360"/>
      </w:pPr>
      <w:rPr>
        <w:rFonts w:ascii="Wingdings" w:eastAsia="Wingdings" w:hAnsi="Wingdings" w:cs="Wingdings"/>
      </w:rPr>
    </w:lvl>
    <w:lvl w:ilvl="6" w:tplc="89AAC7E2">
      <w:start w:val="1"/>
      <w:numFmt w:val="bullet"/>
      <w:lvlText w:val=""/>
      <w:lvlJc w:val="left"/>
      <w:pPr>
        <w:ind w:left="5040" w:hanging="360"/>
      </w:pPr>
      <w:rPr>
        <w:rFonts w:ascii="Symbol" w:eastAsia="Symbol" w:hAnsi="Symbol" w:cs="Symbol"/>
      </w:rPr>
    </w:lvl>
    <w:lvl w:ilvl="7" w:tplc="BA0C0AC2">
      <w:start w:val="1"/>
      <w:numFmt w:val="bullet"/>
      <w:lvlText w:val="o"/>
      <w:lvlJc w:val="left"/>
      <w:pPr>
        <w:ind w:left="5760" w:hanging="360"/>
      </w:pPr>
      <w:rPr>
        <w:rFonts w:ascii="Courier New" w:eastAsia="Courier New" w:hAnsi="Courier New" w:cs="Courier New"/>
      </w:rPr>
    </w:lvl>
    <w:lvl w:ilvl="8" w:tplc="03C057EE">
      <w:start w:val="1"/>
      <w:numFmt w:val="bullet"/>
      <w:lvlText w:val=""/>
      <w:lvlJc w:val="left"/>
      <w:pPr>
        <w:ind w:left="6480" w:hanging="360"/>
      </w:pPr>
      <w:rPr>
        <w:rFonts w:ascii="Wingdings" w:eastAsia="Wingdings" w:hAnsi="Wingdings" w:cs="Wingdings"/>
      </w:rPr>
    </w:lvl>
  </w:abstractNum>
  <w:num w:numId="1">
    <w:abstractNumId w:val="6"/>
    <w:lvlOverride w:ilvl="0">
      <w:startOverride w:val="1"/>
    </w:lvlOverride>
  </w:num>
  <w:num w:numId="2">
    <w:abstractNumId w:val="12"/>
  </w:num>
  <w:num w:numId="3">
    <w:abstractNumId w:val="1"/>
  </w:num>
  <w:num w:numId="4">
    <w:abstractNumId w:val="16"/>
  </w:num>
  <w:num w:numId="5">
    <w:abstractNumId w:val="8"/>
  </w:num>
  <w:num w:numId="6">
    <w:abstractNumId w:val="7"/>
  </w:num>
  <w:num w:numId="7">
    <w:abstractNumId w:val="9"/>
  </w:num>
  <w:num w:numId="8">
    <w:abstractNumId w:val="10"/>
  </w:num>
  <w:num w:numId="9">
    <w:abstractNumId w:val="0"/>
  </w:num>
  <w:num w:numId="10">
    <w:abstractNumId w:val="4"/>
  </w:num>
  <w:num w:numId="11">
    <w:abstractNumId w:val="17"/>
  </w:num>
  <w:num w:numId="12">
    <w:abstractNumId w:val="2"/>
  </w:num>
  <w:num w:numId="13">
    <w:abstractNumId w:val="13"/>
  </w:num>
  <w:num w:numId="14">
    <w:abstractNumId w:val="11"/>
  </w:num>
  <w:num w:numId="15">
    <w:abstractNumId w:val="5"/>
  </w:num>
  <w:num w:numId="16">
    <w:abstractNumId w:val="14"/>
  </w:num>
  <w:num w:numId="17">
    <w:abstractNumId w:val="15"/>
  </w:num>
  <w:num w:numId="18">
    <w:abstractNumId w:val="3"/>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4CF"/>
    <w:rsid w:val="006014CF"/>
    <w:rsid w:val="00AB79FD"/>
    <w:rsid w:val="00DF3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51AC24D-18EA-4184-9655-E6616AB87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GridTable4-Accent1">
    <w:name w:val="Grid Table 4 Accent 1"/>
    <w:basedOn w:val="TableNormal"/>
    <w:uiPriority w:val="49"/>
    <w:pPr>
      <w:spacing w:after="0" w:line="240" w:lineRule="auto"/>
    </w:pPr>
    <w:tblPr>
      <w:tblStyleRowBandSize w:val="1"/>
      <w:tblStyleColBandSize w:val="1"/>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6" Type="http://schemas.openxmlformats.org/officeDocument/2006/relationships/hyperlink" Target="https://learn.microsoft.com/en-us/purview/legacy/concept-policies-data-owner" TargetMode="External"/><Relationship Id="rId117" Type="http://schemas.openxmlformats.org/officeDocument/2006/relationships/hyperlink" Target="https://www.zdnet.com/article/microsoft-rebrands-its-compliance-and-data-governance-products-as-microsoft-purview/" TargetMode="External"/><Relationship Id="rId21" Type="http://schemas.openxmlformats.org/officeDocument/2006/relationships/hyperlink" Target="https://learn.microsoft.com/en-us/purview/data-map-lineage-fabric" TargetMode="External"/><Relationship Id="rId42" Type="http://schemas.openxmlformats.org/officeDocument/2006/relationships/hyperlink" Target="https://learn.microsoft.com/en-us/purview/register-scan-fabric-tenant" TargetMode="External"/><Relationship Id="rId47" Type="http://schemas.openxmlformats.org/officeDocument/2006/relationships/hyperlink" Target="https://learn.microsoft.com/en-us/purview/data-map-scan-ingestion" TargetMode="External"/><Relationship Id="rId63" Type="http://schemas.openxmlformats.org/officeDocument/2006/relationships/hyperlink" Target="https://learn.microsoft.com/en-us/purview/legacy/how-to-policies-data-owner-storage" TargetMode="External"/><Relationship Id="rId68" Type="http://schemas.openxmlformats.org/officeDocument/2006/relationships/hyperlink" Target="https://learn.microsoft.com/en-us/fabric/governance/use-microsoft-purview-hub" TargetMode="External"/><Relationship Id="rId84" Type="http://schemas.openxmlformats.org/officeDocument/2006/relationships/hyperlink" Target="https://learn.microsoft.com/en-us/purview/how-to-create-protection-policy" TargetMode="External"/><Relationship Id="rId89" Type="http://schemas.openxmlformats.org/officeDocument/2006/relationships/hyperlink" Target="https://learn.microsoft.com/en-us/purview/purview-security" TargetMode="External"/><Relationship Id="rId112" Type="http://schemas.openxmlformats.org/officeDocument/2006/relationships/hyperlink" Target="https://learn.microsoft.com/en-us/purview/register-scan-fabric-tenant" TargetMode="External"/><Relationship Id="rId16" Type="http://schemas.openxmlformats.org/officeDocument/2006/relationships/hyperlink" Target="https://learn.microsoft.com/en-us/purview/sensitivity-labels" TargetMode="External"/><Relationship Id="rId107" Type="http://schemas.openxmlformats.org/officeDocument/2006/relationships/hyperlink" Target="https://learn.microsoft.com/en-us/purview/unified-catalog-glossary-terms" TargetMode="External"/><Relationship Id="rId11" Type="http://schemas.openxmlformats.org/officeDocument/2006/relationships/hyperlink" Target="https://learn.microsoft.com/en-us/purview/edisc" TargetMode="External"/><Relationship Id="rId24" Type="http://schemas.openxmlformats.org/officeDocument/2006/relationships/hyperlink" Target="https://learn.microsoft.com/en-us/purview/register-scan-fabric-tenant" TargetMode="External"/><Relationship Id="rId32" Type="http://schemas.openxmlformats.org/officeDocument/2006/relationships/hyperlink" Target="https://learn.microsoft.com/en-us/purview/data-map-classification" TargetMode="External"/><Relationship Id="rId37" Type="http://schemas.openxmlformats.org/officeDocument/2006/relationships/hyperlink" Target="https://learn.microsoft.com/en-us/purview/insider-risk-management-adaptive-protection" TargetMode="External"/><Relationship Id="rId40" Type="http://schemas.openxmlformats.org/officeDocument/2006/relationships/hyperlink" Target="https://learn.microsoft.com/en-us/purview/edisc" TargetMode="External"/><Relationship Id="rId45" Type="http://schemas.openxmlformats.org/officeDocument/2006/relationships/hyperlink" Target="https://learn.microsoft.com/en-us/purview/legacy/concept-policies-data-owner" TargetMode="External"/><Relationship Id="rId53" Type="http://schemas.openxmlformats.org/officeDocument/2006/relationships/hyperlink" Target="https://learn.microsoft.com/en-us/purview/data-map-integration-runtime-kubernetes" TargetMode="External"/><Relationship Id="rId58" Type="http://schemas.openxmlformats.org/officeDocument/2006/relationships/hyperlink" Target="https://learn.microsoft.com/en-us/purview/sensitivity-labels" TargetMode="External"/><Relationship Id="rId66" Type="http://schemas.openxmlformats.org/officeDocument/2006/relationships/hyperlink" Target="https://learn.microsoft.com/en-us/purview/register-scan-fabric-tenant" TargetMode="External"/><Relationship Id="rId74" Type="http://schemas.openxmlformats.org/officeDocument/2006/relationships/hyperlink" Target="https://learn.microsoft.com/en-us/purview/data-map-scan-ingestion" TargetMode="External"/><Relationship Id="rId79" Type="http://schemas.openxmlformats.org/officeDocument/2006/relationships/hyperlink" Target="https://learn.microsoft.com/en-us/purview/dlp-adaptive-protection-learn" TargetMode="External"/><Relationship Id="rId87" Type="http://schemas.openxmlformats.org/officeDocument/2006/relationships/hyperlink" Target="https://learn.microsoft.com/en-us/office365/servicedescriptions/microsoft-365-service-descriptions/microsoft-365-tenantlevel-services-licensing-guidance/microsoft-purview-service-description" TargetMode="External"/><Relationship Id="rId102" Type="http://schemas.openxmlformats.org/officeDocument/2006/relationships/hyperlink" Target="https://learn.microsoft.com/en-us/purview/dlp-adaptive-protection-learn" TargetMode="External"/><Relationship Id="rId110" Type="http://schemas.openxmlformats.org/officeDocument/2006/relationships/hyperlink" Target="https://learn.microsoft.com/en-us/purview/legacy/concept-policies-data-owner" TargetMode="External"/><Relationship Id="rId115" Type="http://schemas.openxmlformats.org/officeDocument/2006/relationships/hyperlink" Target="https://learn.microsoft.com/en-us/fabric/governance/microsoft-purview-fabric" TargetMode="External"/><Relationship Id="rId5" Type="http://schemas.openxmlformats.org/officeDocument/2006/relationships/hyperlink" Target="https://www.zdnet.com/article/microsoft-rebrands-its-compliance-and-data-governance-products-as-microsoft-purview/" TargetMode="External"/><Relationship Id="rId61" Type="http://schemas.openxmlformats.org/officeDocument/2006/relationships/hyperlink" Target="https://learn.microsoft.com/en-us/purview/how-to-create-protection-policy" TargetMode="External"/><Relationship Id="rId82" Type="http://schemas.openxmlformats.org/officeDocument/2006/relationships/hyperlink" Target="https://learn.microsoft.com/en-us/purview/register-scan-fabric-tenant" TargetMode="External"/><Relationship Id="rId90" Type="http://schemas.openxmlformats.org/officeDocument/2006/relationships/hyperlink" Target="https://learn.microsoft.com/en-us/purview/purview" TargetMode="External"/><Relationship Id="rId95" Type="http://schemas.openxmlformats.org/officeDocument/2006/relationships/hyperlink" Target="https://learn.microsoft.com/en-us/purview/data-governance-overview" TargetMode="External"/><Relationship Id="rId19" Type="http://schemas.openxmlformats.org/officeDocument/2006/relationships/hyperlink" Target="https://learn.microsoft.com/en-us/purview/manage-data-governance" TargetMode="External"/><Relationship Id="rId14" Type="http://schemas.openxmlformats.org/officeDocument/2006/relationships/hyperlink" Target="https://learn.microsoft.com/en-us/purview/data-classification-overview" TargetMode="External"/><Relationship Id="rId22" Type="http://schemas.openxmlformats.org/officeDocument/2006/relationships/hyperlink" Target="https://learn.microsoft.com/en-us/purview/data-gov-classic-lineage" TargetMode="External"/><Relationship Id="rId27" Type="http://schemas.openxmlformats.org/officeDocument/2006/relationships/hyperlink" Target="https://learn.microsoft.com/en-us/purview/how-to-create-protection-policy" TargetMode="External"/><Relationship Id="rId30" Type="http://schemas.openxmlformats.org/officeDocument/2006/relationships/hyperlink" Target="https://learn.microsoft.com/en-us/purview/data-governance-overview" TargetMode="External"/><Relationship Id="rId35" Type="http://schemas.openxmlformats.org/officeDocument/2006/relationships/hyperlink" Target="https://learn.microsoft.com/en-us/purview/create-sensitivity-labels" TargetMode="External"/><Relationship Id="rId43" Type="http://schemas.openxmlformats.org/officeDocument/2006/relationships/hyperlink" Target="https://learn.microsoft.com/en-us/purview/data-map-lineage-fabric" TargetMode="External"/><Relationship Id="rId48" Type="http://schemas.openxmlformats.org/officeDocument/2006/relationships/hyperlink" Target="https://learn.microsoft.com/en-us/purview/data-governance-overview" TargetMode="External"/><Relationship Id="rId56" Type="http://schemas.openxmlformats.org/officeDocument/2006/relationships/hyperlink" Target="https://learn.microsoft.com/en-us/purview/data-governance-overview" TargetMode="External"/><Relationship Id="rId64" Type="http://schemas.openxmlformats.org/officeDocument/2006/relationships/hyperlink" Target="https://learn.microsoft.com/en-us/purview/data-gov-classic-lineage" TargetMode="External"/><Relationship Id="rId69" Type="http://schemas.openxmlformats.org/officeDocument/2006/relationships/hyperlink" Target="https://learn.microsoft.com/en-us/purview/purview-portal" TargetMode="External"/><Relationship Id="rId77" Type="http://schemas.openxmlformats.org/officeDocument/2006/relationships/hyperlink" Target="https://learn.microsoft.com/en-us/purview/get-started-with-sensitivity-labels" TargetMode="External"/><Relationship Id="rId100" Type="http://schemas.openxmlformats.org/officeDocument/2006/relationships/hyperlink" Target="https://learn.microsoft.com/en-us/purview/data-gov-classic-lineage" TargetMode="External"/><Relationship Id="rId105" Type="http://schemas.openxmlformats.org/officeDocument/2006/relationships/hyperlink" Target="https://learn.microsoft.com/en-us/purview/data-map-scan-ingestion" TargetMode="External"/><Relationship Id="rId113" Type="http://schemas.openxmlformats.org/officeDocument/2006/relationships/hyperlink" Target="https://learn.microsoft.com/en-us/purview/data-map-lineage-fabric" TargetMode="External"/><Relationship Id="rId8" Type="http://schemas.openxmlformats.org/officeDocument/2006/relationships/hyperlink" Target="https://learn.microsoft.com/en-us/purview/information-protection" TargetMode="External"/><Relationship Id="rId51" Type="http://schemas.openxmlformats.org/officeDocument/2006/relationships/hyperlink" Target="https://learn.microsoft.com/en-us/purview/data-map-integration-runtime-choose" TargetMode="External"/><Relationship Id="rId72" Type="http://schemas.openxmlformats.org/officeDocument/2006/relationships/hyperlink" Target="https://learn.microsoft.com/en-us/purview/data-map-integration-runtime-self-hosted" TargetMode="External"/><Relationship Id="rId80" Type="http://schemas.openxmlformats.org/officeDocument/2006/relationships/hyperlink" Target="https://learn.microsoft.com/en-us/purview/manage-data-governance" TargetMode="External"/><Relationship Id="rId85" Type="http://schemas.openxmlformats.org/officeDocument/2006/relationships/hyperlink" Target="https://learn.microsoft.com/en-us/purview/legacy/concept-policies-data-owner" TargetMode="External"/><Relationship Id="rId93" Type="http://schemas.openxmlformats.org/officeDocument/2006/relationships/hyperlink" Target="https://learn.microsoft.com/en-us/purview/edisc" TargetMode="External"/><Relationship Id="rId98" Type="http://schemas.openxmlformats.org/officeDocument/2006/relationships/hyperlink" Target="https://learn.microsoft.com/en-us/purview/purview-security" TargetMode="External"/><Relationship Id="rId3" Type="http://schemas.openxmlformats.org/officeDocument/2006/relationships/hyperlink" Target="https://learn.microsoft.com/en-us/purview/purview-portal" TargetMode="External"/><Relationship Id="rId12" Type="http://schemas.openxmlformats.org/officeDocument/2006/relationships/hyperlink" Target="https://learn.microsoft.com/en-us/purview/purview" TargetMode="External"/><Relationship Id="rId17" Type="http://schemas.openxmlformats.org/officeDocument/2006/relationships/hyperlink" Target="https://learn.microsoft.com/en-us/purview/purview-security" TargetMode="External"/><Relationship Id="rId25" Type="http://schemas.openxmlformats.org/officeDocument/2006/relationships/hyperlink" Target="https://learn.microsoft.com/en-us/fabric/governance/use-microsoft-purview-hub" TargetMode="External"/><Relationship Id="rId33" Type="http://schemas.openxmlformats.org/officeDocument/2006/relationships/hyperlink" Target="https://learn.microsoft.com/en-us/purview/unified-catalog-glossary-terms" TargetMode="External"/><Relationship Id="rId38" Type="http://schemas.openxmlformats.org/officeDocument/2006/relationships/hyperlink" Target="https://learn.microsoft.com/en-us/purview/purview" TargetMode="External"/><Relationship Id="rId46" Type="http://schemas.openxmlformats.org/officeDocument/2006/relationships/hyperlink" Target="https://learn.microsoft.com/en-us/purview/how-to-create-protection-policy" TargetMode="External"/><Relationship Id="rId59" Type="http://schemas.openxmlformats.org/officeDocument/2006/relationships/hyperlink" Target="https://learn.microsoft.com/en-us/purview/purview-security" TargetMode="External"/><Relationship Id="rId67" Type="http://schemas.openxmlformats.org/officeDocument/2006/relationships/hyperlink" Target="https://learn.microsoft.com/en-us/purview/data-map-lineage-fabric" TargetMode="External"/><Relationship Id="rId103" Type="http://schemas.openxmlformats.org/officeDocument/2006/relationships/hyperlink" Target="https://learn.microsoft.com/en-us/purview/insider-risk-management-adaptive-protection" TargetMode="External"/><Relationship Id="rId108" Type="http://schemas.openxmlformats.org/officeDocument/2006/relationships/hyperlink" Target="https://learn.microsoft.com/en-us/purview/data-map-integration-runtime-self-hosted" TargetMode="External"/><Relationship Id="rId116" Type="http://schemas.openxmlformats.org/officeDocument/2006/relationships/hyperlink" Target="https://azure.microsoft.com/en-us/blog/azure-purview-is-now-microsoft-purview/" TargetMode="External"/><Relationship Id="rId20" Type="http://schemas.openxmlformats.org/officeDocument/2006/relationships/hyperlink" Target="https://learn.microsoft.com/en-us/purview/edisc" TargetMode="External"/><Relationship Id="rId41" Type="http://schemas.openxmlformats.org/officeDocument/2006/relationships/hyperlink" Target="https://learn.microsoft.com/en-us/office365/servicedescriptions/microsoft-365-service-descriptions/microsoft-365-tenantlevel-services-licensing-guidance/microsoft-purview-service-description" TargetMode="External"/><Relationship Id="rId54" Type="http://schemas.openxmlformats.org/officeDocument/2006/relationships/hyperlink" Target="https://learn.microsoft.com/en-us/purview/legacy/concept-best-practices-network" TargetMode="External"/><Relationship Id="rId62" Type="http://schemas.openxmlformats.org/officeDocument/2006/relationships/hyperlink" Target="https://learn.microsoft.com/en-us/purview/legacy/concept-policies-data-owner" TargetMode="External"/><Relationship Id="rId70" Type="http://schemas.openxmlformats.org/officeDocument/2006/relationships/hyperlink" Target="https://learn.microsoft.com/en-us/purview/purview-portal" TargetMode="External"/><Relationship Id="rId75" Type="http://schemas.openxmlformats.org/officeDocument/2006/relationships/hyperlink" Target="https://learn.microsoft.com/en-us/purview/data-map-classification" TargetMode="External"/><Relationship Id="rId83" Type="http://schemas.openxmlformats.org/officeDocument/2006/relationships/hyperlink" Target="https://learn.microsoft.com/en-us/fabric/governance/use-microsoft-purview-hub" TargetMode="External"/><Relationship Id="rId88" Type="http://schemas.openxmlformats.org/officeDocument/2006/relationships/hyperlink" Target="https://learn.microsoft.com/en-us/purview/data-governance-overview" TargetMode="External"/><Relationship Id="rId91" Type="http://schemas.openxmlformats.org/officeDocument/2006/relationships/hyperlink" Target="https://learn.microsoft.com/en-us/purview/manage-data-governance" TargetMode="External"/><Relationship Id="rId96" Type="http://schemas.openxmlformats.org/officeDocument/2006/relationships/hyperlink" Target="https://learn.microsoft.com/en-us/purview/data-map-classification" TargetMode="External"/><Relationship Id="rId111" Type="http://schemas.openxmlformats.org/officeDocument/2006/relationships/hyperlink" Target="https://learn.microsoft.com/en-us/purview/how-to-create-protection-policy" TargetMode="External"/><Relationship Id="rId1" Type="http://schemas.openxmlformats.org/officeDocument/2006/relationships/hyperlink" Target="https://learn.microsoft.com/en-us/purview/purview" TargetMode="External"/><Relationship Id="rId6" Type="http://schemas.openxmlformats.org/officeDocument/2006/relationships/hyperlink" Target="https://learn.microsoft.com/en-us/purview/data-governance-overview" TargetMode="External"/><Relationship Id="rId15" Type="http://schemas.openxmlformats.org/officeDocument/2006/relationships/hyperlink" Target="https://learn.microsoft.com/en-us/purview/information-protection" TargetMode="External"/><Relationship Id="rId23" Type="http://schemas.openxmlformats.org/officeDocument/2006/relationships/hyperlink" Target="https://learn.microsoft.com/en-us/fabric/governance/microsoft-purview-fabric" TargetMode="External"/><Relationship Id="rId28" Type="http://schemas.openxmlformats.org/officeDocument/2006/relationships/hyperlink" Target="https://learn.microsoft.com/en-us/purview/purview-portal" TargetMode="External"/><Relationship Id="rId36" Type="http://schemas.openxmlformats.org/officeDocument/2006/relationships/hyperlink" Target="https://learn.microsoft.com/en-us/purview/purview-security" TargetMode="External"/><Relationship Id="rId49" Type="http://schemas.openxmlformats.org/officeDocument/2006/relationships/hyperlink" Target="https://learn.microsoft.com/en-us/purview/purview-security" TargetMode="External"/><Relationship Id="rId57" Type="http://schemas.openxmlformats.org/officeDocument/2006/relationships/hyperlink" Target="https://learn.microsoft.com/en-us/purview/create-sensitivity-labels" TargetMode="External"/><Relationship Id="rId106" Type="http://schemas.openxmlformats.org/officeDocument/2006/relationships/hyperlink" Target="https://learn.microsoft.com/en-us/purview/data-governance-plan" TargetMode="External"/><Relationship Id="rId114" Type="http://schemas.openxmlformats.org/officeDocument/2006/relationships/hyperlink" Target="https://learn.microsoft.com/en-us/purview/unified-catalog-data-quality-fabric-lakehouse" TargetMode="External"/><Relationship Id="rId10" Type="http://schemas.openxmlformats.org/officeDocument/2006/relationships/hyperlink" Target="https://learn.microsoft.com/en-us/office365/servicedescriptions/microsoft-365-service-descriptions/microsoft-365-tenantlevel-services-licensing-guidance/microsoft-purview-service-description" TargetMode="External"/><Relationship Id="rId31" Type="http://schemas.openxmlformats.org/officeDocument/2006/relationships/hyperlink" Target="https://learn.microsoft.com/en-us/purview/data-map-scan-ingestion" TargetMode="External"/><Relationship Id="rId44" Type="http://schemas.openxmlformats.org/officeDocument/2006/relationships/hyperlink" Target="https://learn.microsoft.com/en-us/azure/synapse-analytics/catalog-and-governance/quickstart-connect-azure-purview" TargetMode="External"/><Relationship Id="rId52" Type="http://schemas.openxmlformats.org/officeDocument/2006/relationships/hyperlink" Target="https://learn.microsoft.com/en-us/purview/data-map-integration-runtime-self-hosted" TargetMode="External"/><Relationship Id="rId60" Type="http://schemas.openxmlformats.org/officeDocument/2006/relationships/hyperlink" Target="https://learn.microsoft.com/en-us/purview/dlp-adaptive-protection-learn" TargetMode="External"/><Relationship Id="rId65" Type="http://schemas.openxmlformats.org/officeDocument/2006/relationships/hyperlink" Target="https://learn.microsoft.com/en-us/purview/data-map-lineage-fabric" TargetMode="External"/><Relationship Id="rId73" Type="http://schemas.openxmlformats.org/officeDocument/2006/relationships/hyperlink" Target="https://learn.microsoft.com/en-us/purview/data-map-integration-runtime-kubernetes" TargetMode="External"/><Relationship Id="rId78" Type="http://schemas.openxmlformats.org/officeDocument/2006/relationships/hyperlink" Target="https://learn.microsoft.com/en-us/purview/purview-security" TargetMode="External"/><Relationship Id="rId81" Type="http://schemas.openxmlformats.org/officeDocument/2006/relationships/hyperlink" Target="https://learn.microsoft.com/en-us/purview/edisc" TargetMode="External"/><Relationship Id="rId86" Type="http://schemas.openxmlformats.org/officeDocument/2006/relationships/hyperlink" Target="https://learn.microsoft.com/en-us/purview/legacy/concept-best-practices-network" TargetMode="External"/><Relationship Id="rId94" Type="http://schemas.openxmlformats.org/officeDocument/2006/relationships/hyperlink" Target="https://learn.microsoft.com/en-us/purview/data-map" TargetMode="External"/><Relationship Id="rId99" Type="http://schemas.openxmlformats.org/officeDocument/2006/relationships/hyperlink" Target="https://learn.microsoft.com/en-us/purview/data-classification-overview" TargetMode="External"/><Relationship Id="rId101" Type="http://schemas.openxmlformats.org/officeDocument/2006/relationships/hyperlink" Target="https://learn.microsoft.com/en-us/purview/data-map-lineage-fabric" TargetMode="External"/><Relationship Id="rId4" Type="http://schemas.openxmlformats.org/officeDocument/2006/relationships/hyperlink" Target="https://azure.microsoft.com/en-us/blog/azure-purview-is-now-microsoft-purview/" TargetMode="External"/><Relationship Id="rId9" Type="http://schemas.openxmlformats.org/officeDocument/2006/relationships/hyperlink" Target="https://learn.microsoft.com/en-us/purview/manage-data-governance" TargetMode="External"/><Relationship Id="rId13" Type="http://schemas.openxmlformats.org/officeDocument/2006/relationships/hyperlink" Target="https://learn.microsoft.com/en-us/purview/data-governance-overview" TargetMode="External"/><Relationship Id="rId18" Type="http://schemas.openxmlformats.org/officeDocument/2006/relationships/hyperlink" Target="https://learn.microsoft.com/en-us/purview/dlp-adaptive-protection-learn" TargetMode="External"/><Relationship Id="rId39" Type="http://schemas.openxmlformats.org/officeDocument/2006/relationships/hyperlink" Target="https://learn.microsoft.com/en-us/purview/manage-data-governance" TargetMode="External"/><Relationship Id="rId109" Type="http://schemas.openxmlformats.org/officeDocument/2006/relationships/hyperlink" Target="https://learn.microsoft.com/en-us/purview/data-map-integration-runtime-kubernetes" TargetMode="External"/><Relationship Id="rId34" Type="http://schemas.openxmlformats.org/officeDocument/2006/relationships/hyperlink" Target="https://learn.microsoft.com/en-us/purview/sensitivity-labels" TargetMode="External"/><Relationship Id="rId50" Type="http://schemas.openxmlformats.org/officeDocument/2006/relationships/hyperlink" Target="https://learn.microsoft.com/en-us/purview/legacy/concept-policies-data-owner" TargetMode="External"/><Relationship Id="rId55" Type="http://schemas.openxmlformats.org/officeDocument/2006/relationships/hyperlink" Target="https://learn.microsoft.com/en-us/purview/data-map" TargetMode="External"/><Relationship Id="rId76" Type="http://schemas.openxmlformats.org/officeDocument/2006/relationships/hyperlink" Target="https://learn.microsoft.com/en-us/purview/sensitivity-labels" TargetMode="External"/><Relationship Id="rId97" Type="http://schemas.openxmlformats.org/officeDocument/2006/relationships/hyperlink" Target="https://learn.microsoft.com/en-us/purview/sensitivity-labels" TargetMode="External"/><Relationship Id="rId104" Type="http://schemas.openxmlformats.org/officeDocument/2006/relationships/hyperlink" Target="https://learn.microsoft.com/en-us/fabric/governance/use-microsoft-purview-hub" TargetMode="External"/><Relationship Id="rId7" Type="http://schemas.openxmlformats.org/officeDocument/2006/relationships/hyperlink" Target="https://learn.microsoft.com/en-us/purview/purview-security" TargetMode="External"/><Relationship Id="rId71" Type="http://schemas.openxmlformats.org/officeDocument/2006/relationships/hyperlink" Target="https://learn.microsoft.com/en-us/purview/data-map-integration-runtime-choose" TargetMode="External"/><Relationship Id="rId92" Type="http://schemas.openxmlformats.org/officeDocument/2006/relationships/hyperlink" Target="https://learn.microsoft.com/en-us/office365/servicedescriptions/microsoft-365-service-descriptions/microsoft-365-tenantlevel-services-licensing-guidance/microsoft-purview-service-description" TargetMode="External"/><Relationship Id="rId2" Type="http://schemas.openxmlformats.org/officeDocument/2006/relationships/hyperlink" Target="https://learn.microsoft.com/en-us/purview/" TargetMode="External"/><Relationship Id="rId29" Type="http://schemas.openxmlformats.org/officeDocument/2006/relationships/hyperlink" Target="https://learn.microsoft.com/en-us/purview/data-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2066</Words>
  <Characters>11782</Characters>
  <Application>Microsoft Office Word</Application>
  <DocSecurity>0</DocSecurity>
  <Lines>98</Lines>
  <Paragraphs>27</Paragraphs>
  <ScaleCrop>false</ScaleCrop>
  <Company/>
  <LinksUpToDate>false</LinksUpToDate>
  <CharactersWithSpaces>13821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HP</cp:lastModifiedBy>
  <cp:revision>2</cp:revision>
  <dcterms:created xsi:type="dcterms:W3CDTF">2026-02-27T08:43:00Z</dcterms:created>
  <dcterms:modified xsi:type="dcterms:W3CDTF">2026-02-27T09:02:00Z</dcterms:modified>
</cp:coreProperties>
</file>