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727D46B" wp14:textId="77777777">
      <w:r>
        <w:rPr>
          <w:rStyle w:val="Normal"/>
        </w:rPr>
        <w:t xml:space="preserve">Below are </w:t>
      </w:r>
      <w:r>
        <w:rPr>
          <w:b/>
          <w:bCs/>
          <w:rStyle w:val="Normal"/>
        </w:rPr>
        <w:t xml:space="preserve">100 advanced, real‑world Chain‑of‑Thought (CoT) prompts</w:t>
      </w:r>
      <w:r>
        <w:rPr>
          <w:rStyle w:val="Normal"/>
        </w:rPr>
        <w:t xml:space="preserve"> tailored to the </w:t>
      </w:r>
      <w:r>
        <w:rPr>
          <w:b/>
          <w:bCs/>
          <w:rStyle w:val="Normal"/>
        </w:rPr>
        <w:t xml:space="preserve">Pakistan Ministry of Information &amp; Broadcasting (MoIB)</w:t>
      </w:r>
      <w:r>
        <w:rPr>
          <w:rStyle w:val="Normal"/>
        </w:rPr>
        <w:t xml:space="preserve"> ecosystem—covering PID, DEMP, DCD, PTV/PBC/APP, EP Wing, IP Wing, ABC, PCP, and PEMRA‑linked compliance, plus RTI workflows. They reflect MoIB’s structures and policy context so you can drop them straight into ChatGPT/M365 Copilot. </w:t>
      </w:r>
      <w:r>
        <w:rPr>
          <w:rStyle w:val="FootnoteReference"/>
        </w:rPr>
        <w:footnoteReference w:id="1"/>
      </w:r>
      <w:r>
        <w:br/>
      </w:r>
      <w:r>
        <w:rPr>
          <w:rStyle w:val="Normal"/>
        </w:rPr>
        <w:t xml:space="preserve">For attached/associated bodies and contactable divisions, see the MoIB portal’s department listings (PID, DEMP, PBC/Radio Pakistan, PTV, APP, EP Wing, IP Wing, DCD, ABC, PCP, Pakistan Information Commission, CBFC, ITNE). </w:t>
      </w:r>
      <w:r>
        <w:rPr>
          <w:rStyle w:val="FootnoteReference"/>
        </w:rPr>
        <w:footnoteReference w:id="2"/>
      </w:r>
      <w:r>
        <w:br/>
      </w:r>
      <w:r>
        <w:rPr>
          <w:rStyle w:val="Normal"/>
        </w:rPr>
        <w:t xml:space="preserve">For specific mandates and current artifacts you may reference in these prompts: PID’s role in press releases/ads, DEMP’s AI‑enabled media monitoring, DCD’s digital operations (ex‑Cyber Wing), EP Wing’s public diplomacy, ABC’s circulation audits, PEMRA’s ordinance/amendments &amp; regulations, and the Right of Access to Information Act, 2017.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  <w:r>
        <w:t xml:space="preserve">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426D54" wp14:textId="77777777">
      <w:pPr>
        <w:pStyle w:val="Heading2"/>
      </w:pPr>
      <w:r>
        <w:rPr>
          <w:rStyle w:val="Normal"/>
        </w:rPr>
        <w:t xml:space="preserve">How to use these</w:t>
      </w:r>
    </w:p>
    <w:p xmlns:wp14="http://schemas.microsoft.com/office/word/2010/wordml" w14:paraId="7040F6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Each prompt </w:t>
      </w:r>
      <w:r>
        <w:rPr>
          <w:b/>
          <w:bCs/>
          <w:rStyle w:val="Normal"/>
        </w:rPr>
        <w:t xml:space="preserve">explicitly asks for step‑by‑step reasoning</w:t>
      </w:r>
      <w:r>
        <w:rPr>
          <w:rStyle w:val="Normal"/>
        </w:rPr>
        <w:t xml:space="preserve"> (CoT).</w:t>
      </w:r>
    </w:p>
    <w:p xmlns:wp14="http://schemas.microsoft.com/office/word/2010/wordml" w14:paraId="7862AC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Many leverage </w:t>
      </w:r>
      <w:r>
        <w:rPr>
          <w:b/>
          <w:bCs/>
          <w:rStyle w:val="Normal"/>
        </w:rPr>
        <w:t xml:space="preserve">Least‑to‑Most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Self‑Consistency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ReAct</w:t>
      </w:r>
      <w:r>
        <w:rPr>
          <w:rStyle w:val="Normal"/>
        </w:rPr>
        <w:t xml:space="preserve"> (reason + act with tools), </w:t>
      </w:r>
      <w:r>
        <w:rPr>
          <w:b/>
          <w:bCs/>
          <w:rStyle w:val="Normal"/>
        </w:rPr>
        <w:t xml:space="preserve">Skeleton‑of‑Thought</w:t>
      </w:r>
      <w:r>
        <w:rPr>
          <w:rStyle w:val="Normal"/>
        </w:rPr>
        <w:t xml:space="preserve">, or </w:t>
      </w:r>
      <w:r>
        <w:rPr>
          <w:b/>
          <w:bCs/>
          <w:rStyle w:val="Normal"/>
        </w:rPr>
        <w:t xml:space="preserve">Tree‑of‑Thought</w:t>
      </w:r>
      <w:r>
        <w:rPr>
          <w:rStyle w:val="Normal"/>
        </w:rPr>
        <w:t xml:space="preserve">.</w:t>
      </w:r>
    </w:p>
    <w:p xmlns:wp14="http://schemas.microsoft.com/office/word/2010/wordml" w14:paraId="4150751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Replace placeholders like </w:t>
      </w:r>
      <w:r>
        <w:rPr>
          <w:rStyle w:val="Quote"/>
        </w:rPr>
        <w:t xml:space="preserve">[YOUR DATASET]</w:t>
      </w:r>
      <w:r>
        <w:rPr>
          <w:rStyle w:val="Normal"/>
        </w:rPr>
        <w:t xml:space="preserve">, </w:t>
      </w:r>
      <w:r>
        <w:rPr>
          <w:rStyle w:val="Quote"/>
        </w:rPr>
        <w:t xml:space="preserve">[POLICY PDF]</w:t>
      </w:r>
      <w:r>
        <w:rPr>
          <w:rStyle w:val="Normal"/>
        </w:rPr>
        <w:t xml:space="preserve">, </w:t>
      </w:r>
      <w:r>
        <w:rPr>
          <w:rStyle w:val="Quote"/>
        </w:rPr>
        <w:t xml:space="preserve">[KPI CSV]</w:t>
      </w:r>
      <w:r>
        <w:rPr>
          <w:rStyle w:val="Normal"/>
        </w:rPr>
        <w:t xml:space="preserve">, dates, or links with your actual material, e.g., </w:t>
      </w:r>
      <w:r>
        <w:rPr>
          <w:b/>
          <w:bCs/>
          <w:rStyle w:val="Normal"/>
        </w:rPr>
        <w:t xml:space="preserve">Advertisement Policy 2021 (amended 2022)</w:t>
      </w:r>
      <w:r>
        <w:rPr>
          <w:rStyle w:val="Normal"/>
        </w:rPr>
        <w:t xml:space="preserve"> from PID/MoIB when referenced.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B8AB518" wp14:textId="77777777">
      <w:pPr>
        <w:pStyle w:val="Heading1"/>
      </w:pPr>
      <w:r>
        <w:rPr>
          <w:rStyle w:val="Normal"/>
        </w:rPr>
        <w:t xml:space="preserve">100 Advanced CoT Prompts for MoIB</w:t>
      </w:r>
    </w:p>
    <w:p xmlns:wp14="http://schemas.microsoft.com/office/word/2010/wordml" w14:paraId="23222246" wp14:textId="77777777">
      <w:pPr>
        <w:pStyle w:val="Heading3"/>
      </w:pPr>
      <w:r>
        <w:rPr>
          <w:rStyle w:val="Normal"/>
        </w:rPr>
        <w:t xml:space="preserve">A) Strategic Communication &amp; Narrative (10)</w:t>
      </w:r>
    </w:p>
    <w:p xmlns:wp14="http://schemas.microsoft.com/office/word/2010/wordml" w14:paraId="390534F1" wp14:textId="77777777"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National Narrative Alignment (Least‑to‑Most + Verify)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9FE2C49" wp14:textId="77777777">
        <w:tc>
          <w:tcPr>
            <w:vAlign w:val="center"/>
          </w:tcPr>
          <w:p w14:paraId="1921B0B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Task: Align a year-long government communications narrative with MoIB’s mandate while avoiding policy overreach.</w:t>
            </w:r>
          </w:p>
          <w:p w14:paraId="3221BAD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Steps:</w:t>
            </w:r>
          </w:p>
          <w:p w14:paraId="67BB2CE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1) List 6–8 thematic pillars (e.g., governance transparency, economic resilience, social inclusion, culture &amp; tourism, climate, digital public services). State assumptions.</w:t>
            </w:r>
          </w:p>
          <w:p w14:paraId="40DC8F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2) Map each pillar to 2–3 audiences and preferred channels (print, TV, radio, digital, diaspora).</w:t>
            </w:r>
          </w:p>
          <w:p w14:paraId="170BE78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3) Propose monthly message calendars with measurable KPIs.</w:t>
            </w:r>
          </w:p>
          <w:p w14:paraId="05A6FA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4) Run a “check your work” pass: eliminate duplication, ensure neutrality/non-partisanship, and flag content that may require PEMRA or PCP sensitivity review.</w:t>
            </w:r>
          </w:p>
          <w:p w14:paraId="6E5D22C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Output: A 1‑page narrative grid + risk register. Essential steps only, then final plan.</w:t>
            </w:r>
          </w:p>
        </w:tc>
      </w:tr>
    </w:tbl>
    <w:p xmlns:wp14="http://schemas.microsoft.com/office/word/2010/wordml" w14:paraId="05173466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Message House for Cross‑Ministry Initiatives (Skeleton‑of‑Thought → Expand)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4BAE37D" wp14:textId="77777777">
        <w:tc>
          <w:tcPr>
            <w:vAlign w:val="center"/>
          </w:tcPr>
          <w:p w14:paraId="1646284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First produce a numbered outline of the message house (core claim, 3 supports, proof points, FAQs, do/don’t). Wait for my “OK” to expand. Context: multi-ministry initiative needing MoIB coordination. Include verification criteria for each proof point and identify which attached body (PID/DEMP/DCD) owns each asset.</w:t>
            </w:r>
          </w:p>
        </w:tc>
      </w:tr>
    </w:tbl>
    <w:p xmlns:wp14="http://schemas.microsoft.com/office/word/2010/wordml" w14:paraId="08C5D57F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Public Service Messaging Prioritization (Self‑Consistency x3)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502A35" wp14:textId="77777777">
        <w:tc>
          <w:tcPr>
            <w:vAlign w:val="center"/>
          </w:tcPr>
          <w:p w14:paraId="0D734F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Problem: We have 12 competing public service themes for Q2.</w:t>
            </w:r>
          </w:p>
          <w:p w14:paraId="509369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Action: Provide 3 independent prioritization attempts using weighted criteria (reach, urgency, legal duty, cost/K, reputational risk).</w:t>
            </w:r>
          </w:p>
          <w:p w14:paraId="7D1076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Then choose the consensus top 5 and explain why they are most consistent with MoIB’s mandate and Advertisement Policy principles (transparency, value-for-money).</w:t>
            </w:r>
          </w:p>
          <w:p w14:paraId="3174B6E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Format: Attempt 1/2/3 (concise steps) → Consensus list + 2‑line rationale.</w:t>
            </w:r>
          </w:p>
        </w:tc>
      </w:tr>
    </w:tbl>
    <w:p xmlns:wp14="http://schemas.microsoft.com/office/word/2010/wordml" w14:paraId="55A88761" wp14:textId="77777777"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Narrative Risk Heatmap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1B8CE3" wp14:textId="77777777">
        <w:tc>
          <w:tcPr>
            <w:vAlign w:val="center"/>
          </w:tcPr>
          <w:p w14:paraId="12FBF4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Goal: Build a risk heatmap of narratives likely to misfire or be misconstrued.</w:t>
            </w:r>
          </w:p>
          <w:p w14:paraId="4E4ACAF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Do: Decompose risks (legal/compliance, cultural, regional, sectarian, misinformation vectors). Recommend DEMP monitoring triggers and escalation protocols (what to flag, to whom, within how many hours). Provide a color-coded matrix + SOP bullets.</w:t>
            </w:r>
          </w:p>
        </w:tc>
      </w:tr>
    </w:tbl>
    <w:p xmlns:wp14="http://schemas.microsoft.com/office/word/2010/wordml" w14:paraId="2206A7DA" wp14:textId="77777777">
      <w:pPr>
        <w:pStyle w:val="ListParagraph"/>
        <w:numPr>
          <w:ilvl w:val="0"/>
          <w:numId w:val="7"/>
        </w:numPr>
      </w:pPr>
      <w:r>
        <w:rPr>
          <w:b/>
          <w:bCs/>
          <w:rStyle w:val="Normal"/>
        </w:rPr>
        <w:t xml:space="preserve">Diaspora &amp; International Perception Bridging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DBF088A" wp14:textId="77777777">
        <w:tc>
          <w:tcPr>
            <w:vAlign w:val="center"/>
          </w:tcPr>
          <w:p w14:paraId="36D391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Task: Bridge domestic and foreign narratives for 5 priority topics.</w:t>
            </w:r>
          </w:p>
          <w:p w14:paraId="4FC5EB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Steps: Identify divergences → craft reconciled frames → propose EP Wing toolkits (op-eds, backgrounders, media briefers) → define metrics (foreign pickup, sentiment shift, corrections).</w:t>
            </w:r>
          </w:p>
          <w:p w14:paraId="51BAE1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Deliverable: A compact crosswalk table + 3 sample headlines per topic.</w:t>
            </w:r>
          </w:p>
        </w:tc>
      </w:tr>
    </w:tbl>
    <w:p xmlns:wp14="http://schemas.microsoft.com/office/word/2010/wordml" w14:paraId="79403155" wp14:textId="77777777"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Civic Behavior Change Campaign Deconstruction (Few‑Shot CoT)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1DFBA7C" wp14:textId="77777777">
        <w:tc>
          <w:tcPr>
            <w:vAlign w:val="center"/>
          </w:tcPr>
          <w:p w14:paraId="0B5D94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Use the pattern “brief steps → message architecture → example creative”.</w:t>
            </w:r>
          </w:p>
          <w:p w14:paraId="197640C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Input: Behavioral goal (e.g., road safety, energy conservation).</w:t>
            </w:r>
          </w:p>
          <w:p w14:paraId="4329BA6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Output: 5-step behavior model + 3 concise creatives (TV 15”, radio 20”, social 6”) with call-to-action &amp; measurement plan.</w:t>
            </w:r>
          </w:p>
        </w:tc>
      </w:tr>
    </w:tbl>
    <w:p xmlns:wp14="http://schemas.microsoft.com/office/word/2010/wordml" w14:paraId="2C6649F2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Annual Editorial Calendar (Skeleton → Expand)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3CD6E99" wp14:textId="77777777">
        <w:tc>
          <w:tcPr>
            <w:vAlign w:val="center"/>
          </w:tcPr>
          <w:p w14:paraId="64B9FC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First outline: national days, sector themes, seasonal hazards, and policy cycles. Include which MoIB wing leads the assets.</w:t>
            </w:r>
          </w:p>
          <w:p w14:paraId="6F4ED4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On approval, expand into a 12‑month editorial calendar with dependencies and gating criteria (legal vetting, PEMRA code alignment).</w:t>
            </w:r>
          </w:p>
        </w:tc>
      </w:tr>
    </w:tbl>
    <w:p xmlns:wp14="http://schemas.microsoft.com/office/word/2010/wordml" w14:paraId="6BD2F868" wp14:textId="77777777">
      <w:pPr>
        <w:pStyle w:val="ListParagraph"/>
        <w:numPr>
          <w:ilvl w:val="0"/>
          <w:numId w:val="10"/>
        </w:numPr>
      </w:pPr>
      <w:r>
        <w:rPr>
          <w:b/>
          <w:bCs/>
          <w:rStyle w:val="Normal"/>
        </w:rPr>
        <w:t xml:space="preserve">Plain‑Language Rewrite SOP (Zero‑Shot CoT + Verify)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F50A6D1" wp14:textId="77777777">
        <w:tc>
          <w:tcPr>
            <w:vAlign w:val="center"/>
          </w:tcPr>
          <w:p w14:paraId="711140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an SOP to convert technical ministry material into citizen‑friendly, 8th‑grade readability content. Steps: define target reading level → rules for clarity → examples → QA checklist → final sign-off workflow via PID/DEMP.</w:t>
            </w:r>
          </w:p>
        </w:tc>
      </w:tr>
    </w:tbl>
    <w:p xmlns:wp14="http://schemas.microsoft.com/office/word/2010/wordml" w14:paraId="3EE27A73" wp14:textId="77777777">
      <w:pPr>
        <w:pStyle w:val="ListParagraph"/>
        <w:numPr>
          <w:ilvl w:val="0"/>
          <w:numId w:val="11"/>
        </w:numPr>
      </w:pPr>
      <w:r>
        <w:rPr>
          <w:b/>
          <w:bCs/>
          <w:rStyle w:val="Normal"/>
        </w:rPr>
        <w:t xml:space="preserve">Sensitive-Content Guardrails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D96C8D8" wp14:textId="77777777">
        <w:tc>
          <w:tcPr>
            <w:vAlign w:val="center"/>
          </w:tcPr>
          <w:p w14:paraId="41CDF8F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Define guardrails for topics needing pre‑clearance (religion, security, judiciary matters). Map to laws/codes requiring extra caution. Propose a 24/7 red‑team editorial review and DEMP flagging rules. Provide an executive summary + escalation tree.</w:t>
            </w:r>
          </w:p>
        </w:tc>
      </w:tr>
    </w:tbl>
    <w:p xmlns:wp14="http://schemas.microsoft.com/office/word/2010/wordml" w14:paraId="71AA7564" wp14:textId="77777777">
      <w:pPr>
        <w:pStyle w:val="ListParagraph"/>
        <w:numPr>
          <w:ilvl w:val="0"/>
          <w:numId w:val="12"/>
        </w:numPr>
      </w:pPr>
      <w:r>
        <w:rPr>
          <w:b/>
          <w:bCs/>
          <w:rStyle w:val="Normal"/>
        </w:rPr>
        <w:t xml:space="preserve">Narrative Test‑and‑Learn Playbook (Self‑Consistency x3)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C7CC6CE" wp14:textId="77777777">
        <w:tc>
          <w:tcPr>
            <w:vAlign w:val="center"/>
          </w:tcPr>
          <w:p w14:paraId="543E27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Develop 3 iterative test‑designs for message optimization (A/B/C on titles, visuals, CTAs) across TV/radio/digital. Converge on a single playbook with sample dashboards and a weekly “learning agenda”.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6995025" wp14:textId="77777777">
      <w:pPr>
        <w:pStyle w:val="Heading3"/>
      </w:pPr>
      <w:r>
        <w:rPr>
          <w:rStyle w:val="Normal"/>
        </w:rPr>
        <w:t xml:space="preserve">B) Press &amp; Media Ops (PID) (10)</w:t>
      </w:r>
    </w:p>
    <w:p xmlns:wp14="http://schemas.microsoft.com/office/word/2010/wordml" w14:paraId="23270B08" wp14:textId="77777777">
      <w:pPr>
        <w:pStyle w:val="ListParagraph"/>
        <w:numPr>
          <w:ilvl w:val="0"/>
          <w:numId w:val="13"/>
        </w:numPr>
      </w:pPr>
      <w:r>
        <w:rPr>
          <w:b/>
          <w:bCs/>
          <w:rStyle w:val="Normal"/>
        </w:rPr>
        <w:t xml:space="preserve">Press Release Factory (Few‑Shot CoT)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C0753D4" wp14:textId="77777777">
        <w:tc>
          <w:tcPr>
            <w:vAlign w:val="center"/>
          </w:tcPr>
          <w:p w14:paraId="2C9FB6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Given [3 past PID releases], extract structure, tone, and compliance traits. Produce a templated press release kit: headline patterns, quote craft, facts box, boilerplates, and an approval checklist (Article 19/19A &amp; code-of-conduct cues). Provide 2 filled examples.</w:t>
            </w:r>
          </w:p>
        </w:tc>
      </w:tr>
    </w:tbl>
    <w:p xmlns:wp14="http://schemas.microsoft.com/office/word/2010/wordml" w14:paraId="35F57AA8" wp14:textId="77777777">
      <w:pPr>
        <w:pStyle w:val="ListParagraph"/>
        <w:numPr>
          <w:ilvl w:val="0"/>
          <w:numId w:val="14"/>
        </w:numPr>
      </w:pPr>
      <w:r>
        <w:rPr>
          <w:b/>
          <w:bCs/>
          <w:rStyle w:val="Normal"/>
        </w:rPr>
        <w:t xml:space="preserve">Briefing Dossier Builder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900F119" wp14:textId="77777777">
        <w:tc>
          <w:tcPr>
            <w:vAlign w:val="center"/>
          </w:tcPr>
          <w:p w14:paraId="1B1DE6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From [topic notes + data tables], build a ministerial media briefing pack: key messages, Q&amp;A (tough questions), myth-vs-fact cards, and 3 visual slides. Show reasoning steps, then final pack. Include a misquote mitigation note.</w:t>
            </w:r>
          </w:p>
        </w:tc>
      </w:tr>
    </w:tbl>
    <w:p xmlns:wp14="http://schemas.microsoft.com/office/word/2010/wordml" w14:paraId="43CEEE9A" wp14:textId="77777777">
      <w:pPr>
        <w:pStyle w:val="ListParagraph"/>
        <w:numPr>
          <w:ilvl w:val="0"/>
          <w:numId w:val="15"/>
        </w:numPr>
      </w:pPr>
      <w:r>
        <w:rPr>
          <w:b/>
          <w:bCs/>
          <w:rStyle w:val="Normal"/>
        </w:rPr>
        <w:t xml:space="preserve">Media Grid with Slotting Logic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6DF4A6" wp14:textId="77777777">
        <w:tc>
          <w:tcPr>
            <w:vAlign w:val="center"/>
          </w:tcPr>
          <w:p w14:paraId="5A6BD2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2-week media grid: who speaks, where, when, and why. Start with objectives → outlet fit → sequencing logic → contingency plan if a major event pre-empts coverage. Output a Gantt-like table + 5 fail-safes.</w:t>
            </w:r>
          </w:p>
        </w:tc>
      </w:tr>
    </w:tbl>
    <w:p xmlns:wp14="http://schemas.microsoft.com/office/word/2010/wordml" w14:paraId="1B9DF4DD" wp14:textId="77777777">
      <w:pPr>
        <w:pStyle w:val="ListParagraph"/>
        <w:numPr>
          <w:ilvl w:val="0"/>
          <w:numId w:val="16"/>
        </w:numPr>
      </w:pPr>
      <w:r>
        <w:rPr>
          <w:b/>
          <w:bCs/>
          <w:rStyle w:val="Normal"/>
        </w:rPr>
        <w:t xml:space="preserve">Quote Calibration (Zero‑Shot CoT + Verify)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2ACC93F" wp14:textId="77777777">
        <w:tc>
          <w:tcPr>
            <w:vAlign w:val="center"/>
          </w:tcPr>
          <w:p w14:paraId="559351D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Rewrite [minister’s draft remarks] into 3 variants (formal, neutral-informative, citizen-facing) with legal/compliance guardrails. Verify each quote against sensitivity checklist before final.</w:t>
            </w:r>
          </w:p>
        </w:tc>
      </w:tr>
    </w:tbl>
    <w:p xmlns:wp14="http://schemas.microsoft.com/office/word/2010/wordml" w14:paraId="18406307" wp14:textId="77777777">
      <w:pPr>
        <w:pStyle w:val="ListParagraph"/>
        <w:numPr>
          <w:ilvl w:val="0"/>
          <w:numId w:val="17"/>
        </w:numPr>
      </w:pPr>
      <w:r>
        <w:rPr>
          <w:b/>
          <w:bCs/>
          <w:rStyle w:val="Normal"/>
        </w:rPr>
        <w:t xml:space="preserve">Embargo &amp; Leak Prevention SOP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B0C0231" wp14:textId="77777777">
        <w:tc>
          <w:tcPr>
            <w:vAlign w:val="center"/>
          </w:tcPr>
          <w:p w14:paraId="43988D5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a 7-step embargo process, labeling rules, and leak‑response playbook. Include a forensic checklist for digital assets (watermarks, link tracking).</w:t>
            </w:r>
          </w:p>
        </w:tc>
      </w:tr>
    </w:tbl>
    <w:p xmlns:wp14="http://schemas.microsoft.com/office/word/2010/wordml" w14:paraId="0FEB3963" wp14:textId="77777777">
      <w:pPr>
        <w:pStyle w:val="ListParagraph"/>
        <w:numPr>
          <w:ilvl w:val="0"/>
          <w:numId w:val="18"/>
        </w:numPr>
      </w:pPr>
      <w:r>
        <w:rPr>
          <w:b/>
          <w:bCs/>
          <w:rStyle w:val="Normal"/>
        </w:rPr>
        <w:t xml:space="preserve">Press Room KPI Deck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ADFC83C" wp14:textId="77777777">
        <w:tc>
          <w:tcPr>
            <w:vAlign w:val="center"/>
          </w:tcPr>
          <w:p w14:paraId="0A15235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Define leading/lagging KPIs for press operations (time to publish, pickup rate, correction ratio, sentiment deltas). Provide formulas and a weekly dashboard mockup.</w:t>
            </w:r>
          </w:p>
        </w:tc>
      </w:tr>
    </w:tbl>
    <w:p xmlns:wp14="http://schemas.microsoft.com/office/word/2010/wordml" w14:paraId="69EDA8AC" wp14:textId="77777777">
      <w:pPr>
        <w:pStyle w:val="ListParagraph"/>
        <w:numPr>
          <w:ilvl w:val="0"/>
          <w:numId w:val="19"/>
        </w:numPr>
      </w:pPr>
      <w:r>
        <w:rPr>
          <w:b/>
          <w:bCs/>
          <w:rStyle w:val="Normal"/>
        </w:rPr>
        <w:t xml:space="preserve">Central Media List Hygiene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EB3B48C" wp14:textId="77777777">
        <w:tc>
          <w:tcPr>
            <w:vAlign w:val="center"/>
          </w:tcPr>
          <w:p w14:paraId="51A7A5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quarterly CML hygiene process: dedupe, bounce management, sector tagging, and “priority rings”. Include opt‑in/opt‑out consent SOPs and audit artifacts.</w:t>
            </w:r>
          </w:p>
        </w:tc>
      </w:tr>
    </w:tbl>
    <w:p xmlns:wp14="http://schemas.microsoft.com/office/word/2010/wordml" w14:paraId="4D7893E4" wp14:textId="77777777">
      <w:pPr>
        <w:pStyle w:val="ListParagraph"/>
        <w:numPr>
          <w:ilvl w:val="0"/>
          <w:numId w:val="20"/>
        </w:numPr>
      </w:pPr>
      <w:r>
        <w:rPr>
          <w:b/>
          <w:bCs/>
          <w:rStyle w:val="Normal"/>
        </w:rPr>
        <w:t xml:space="preserve">Multilingual Press Notes (Few‑Shot CoT)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BA8F3E7" wp14:textId="77777777">
        <w:tc>
          <w:tcPr>
            <w:vAlign w:val="center"/>
          </w:tcPr>
          <w:p w14:paraId="78315A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From an Urdu master note, create compact English and regional-language notes with identical factual payload. Steps: lock core facts → adapt idiom → back‑translate spot-check → final side‑by‑side table.</w:t>
            </w:r>
          </w:p>
        </w:tc>
      </w:tr>
    </w:tbl>
    <w:p xmlns:wp14="http://schemas.microsoft.com/office/word/2010/wordml" w14:paraId="54C1B223" wp14:textId="77777777">
      <w:pPr>
        <w:pStyle w:val="ListParagraph"/>
        <w:numPr>
          <w:ilvl w:val="0"/>
          <w:numId w:val="21"/>
        </w:numPr>
      </w:pPr>
      <w:r>
        <w:rPr>
          <w:b/>
          <w:bCs/>
          <w:rStyle w:val="Normal"/>
        </w:rPr>
        <w:t xml:space="preserve">Correction/Retraction Protocol (Zero‑Shot CoT)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11B3EF0" wp14:textId="77777777">
        <w:tc>
          <w:tcPr>
            <w:vAlign w:val="center"/>
          </w:tcPr>
          <w:p w14:paraId="09265E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Build a 2-hour SLA process for factual corrections: intake → verification → corrected copy → resyndication → archive patch → public note. Include templates.</w:t>
            </w:r>
          </w:p>
        </w:tc>
      </w:tr>
    </w:tbl>
    <w:p xmlns:wp14="http://schemas.microsoft.com/office/word/2010/wordml" w14:paraId="11D25DB2" wp14:textId="77777777">
      <w:pPr>
        <w:pStyle w:val="ListParagraph"/>
        <w:numPr>
          <w:ilvl w:val="0"/>
          <w:numId w:val="22"/>
        </w:numPr>
      </w:pPr>
      <w:r>
        <w:rPr>
          <w:b/>
          <w:bCs/>
          <w:rStyle w:val="Normal"/>
        </w:rPr>
        <w:t xml:space="preserve">On‑Camera Prep (Skeleton → Expand)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D8B3A3D" wp14:textId="77777777">
        <w:tc>
          <w:tcPr>
            <w:vAlign w:val="center"/>
          </w:tcPr>
          <w:p w14:paraId="5093BE5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First outline: 10 hard questions + bridging lines + data points. After approval, expand into a rehearsal script with timing cues and lower‑third text.</w:t>
            </w:r>
          </w:p>
        </w:tc>
      </w:tr>
    </w:tbl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9ACA3F0" wp14:textId="77777777">
      <w:pPr>
        <w:pStyle w:val="Heading3"/>
      </w:pPr>
      <w:r>
        <w:rPr>
          <w:rStyle w:val="Normal"/>
        </w:rPr>
        <w:t xml:space="preserve">C) Digital &amp; Social (DCD) (10)</w:t>
      </w:r>
    </w:p>
    <w:p xmlns:wp14="http://schemas.microsoft.com/office/word/2010/wordml" w14:paraId="5F2BE91C" wp14:textId="77777777">
      <w:pPr>
        <w:pStyle w:val="ListParagraph"/>
        <w:numPr>
          <w:ilvl w:val="0"/>
          <w:numId w:val="23"/>
        </w:numPr>
      </w:pPr>
      <w:r>
        <w:rPr>
          <w:b/>
          <w:bCs/>
          <w:rStyle w:val="Normal"/>
        </w:rPr>
        <w:t xml:space="preserve">24/7 War‑Room Runbook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CED695F" wp14:textId="77777777">
        <w:tc>
          <w:tcPr>
            <w:vAlign w:val="center"/>
          </w:tcPr>
          <w:p w14:paraId="5702DB0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DCD social monitoring &amp; response runbook: roles, handoffs, tagging taxonomy (issue/topic/actor), 15 canned responses, and a surge protocol for spikes. Include an SLA ladder (15m/1h/4h).</w:t>
            </w:r>
          </w:p>
        </w:tc>
      </w:tr>
    </w:tbl>
    <w:p xmlns:wp14="http://schemas.microsoft.com/office/word/2010/wordml" w14:paraId="09A06A45" wp14:textId="77777777">
      <w:pPr>
        <w:pStyle w:val="ListParagraph"/>
        <w:numPr>
          <w:ilvl w:val="0"/>
          <w:numId w:val="24"/>
        </w:numPr>
      </w:pPr>
      <w:r>
        <w:rPr>
          <w:b/>
          <w:bCs/>
          <w:rStyle w:val="Normal"/>
        </w:rPr>
        <w:t xml:space="preserve">Fake News Buster Pipeline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1E3AE92" wp14:textId="77777777">
        <w:tc>
          <w:tcPr>
            <w:vAlign w:val="center"/>
          </w:tcPr>
          <w:p w14:paraId="350B70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Outline a pipeline: detection → verification → classification (misinfo vs disinfo) → response asset (card/video/thread) → archiving. Provide 3 worked examples with decision trees and a “do not amplify” gate.</w:t>
            </w:r>
          </w:p>
        </w:tc>
      </w:tr>
    </w:tbl>
    <w:p xmlns:wp14="http://schemas.microsoft.com/office/word/2010/wordml" w14:paraId="2140A2FE" wp14:textId="77777777">
      <w:pPr>
        <w:pStyle w:val="ListParagraph"/>
        <w:numPr>
          <w:ilvl w:val="0"/>
          <w:numId w:val="25"/>
        </w:numPr>
      </w:pPr>
      <w:r>
        <w:rPr>
          <w:b/>
          <w:bCs/>
          <w:rStyle w:val="Normal"/>
        </w:rPr>
        <w:t xml:space="preserve">Accessible Visual Standards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B9264D9" wp14:textId="77777777">
        <w:tc>
          <w:tcPr>
            <w:vAlign w:val="center"/>
          </w:tcPr>
          <w:p w14:paraId="473237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social graphics standards: font sizes, contrast, alt‑text, safe‑area, bilingual layouts, and template library. Provide 2 sample posts + QC checklist.</w:t>
            </w:r>
          </w:p>
        </w:tc>
      </w:tr>
    </w:tbl>
    <w:p xmlns:wp14="http://schemas.microsoft.com/office/word/2010/wordml" w14:paraId="05188583" wp14:textId="77777777">
      <w:pPr>
        <w:pStyle w:val="ListParagraph"/>
        <w:numPr>
          <w:ilvl w:val="0"/>
          <w:numId w:val="26"/>
        </w:numPr>
      </w:pPr>
      <w:r>
        <w:rPr>
          <w:b/>
          <w:bCs/>
          <w:rStyle w:val="Normal"/>
        </w:rPr>
        <w:t xml:space="preserve">Crisis Tweetstorm Templating (Self‑Consistency x3)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A8E4CEA" wp14:textId="77777777">
        <w:tc>
          <w:tcPr>
            <w:vAlign w:val="center"/>
          </w:tcPr>
          <w:p w14:paraId="2017735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Write 3 alternative crisis threads for [scenario], then pick the consensus best. Each thread must: state facts, give action steps, provide hotline/URL, and time‑box the next update.</w:t>
            </w:r>
          </w:p>
        </w:tc>
      </w:tr>
    </w:tbl>
    <w:p xmlns:wp14="http://schemas.microsoft.com/office/word/2010/wordml" w14:paraId="0BD9C178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Sentiment &amp; Narrative Taxonomy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BE6676E" wp14:textId="77777777">
        <w:tc>
          <w:tcPr>
            <w:vAlign w:val="center"/>
          </w:tcPr>
          <w:p w14:paraId="4F35EEF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 tagging schema for sentiment (granular), stance, misinformation themes, and influencer tiers. Include examples and edge-case rules.</w:t>
            </w:r>
          </w:p>
        </w:tc>
      </w:tr>
    </w:tbl>
    <w:p xmlns:wp14="http://schemas.microsoft.com/office/word/2010/wordml" w14:paraId="182EF239" wp14:textId="77777777">
      <w:pPr>
        <w:pStyle w:val="ListParagraph"/>
        <w:numPr>
          <w:ilvl w:val="0"/>
          <w:numId w:val="28"/>
        </w:numPr>
      </w:pPr>
      <w:r>
        <w:rPr>
          <w:b/>
          <w:bCs/>
          <w:rStyle w:val="Normal"/>
        </w:rPr>
        <w:t xml:space="preserve">Editorial Cadence Model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916F089" wp14:textId="77777777">
        <w:tc>
          <w:tcPr>
            <w:vAlign w:val="center"/>
          </w:tcPr>
          <w:p w14:paraId="57E8023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weekday/weekend cadence by channel (FB/X/IG/YouTube/LinkedIn), with per‑post objective tags and UTM tracking plan. Include a minimal viable content calendar.</w:t>
            </w:r>
          </w:p>
        </w:tc>
      </w:tr>
    </w:tbl>
    <w:p xmlns:wp14="http://schemas.microsoft.com/office/word/2010/wordml" w14:paraId="0433F4E3" wp14:textId="77777777">
      <w:pPr>
        <w:pStyle w:val="ListParagraph"/>
        <w:numPr>
          <w:ilvl w:val="0"/>
          <w:numId w:val="29"/>
        </w:numPr>
      </w:pPr>
      <w:r>
        <w:rPr>
          <w:b/>
          <w:bCs/>
          <w:rStyle w:val="Normal"/>
        </w:rPr>
        <w:t xml:space="preserve">Crisis FAQ Microsite Wireframe (Skeleton → Expand)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43C1D72" wp14:textId="77777777">
        <w:tc>
          <w:tcPr>
            <w:vAlign w:val="center"/>
          </w:tcPr>
          <w:p w14:paraId="4C7239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Outline site IA: top 10 FAQs, myth-buster, live updates module, resources. After approval, expand with copy blocks and SEO titles/descriptions.</w:t>
            </w:r>
          </w:p>
        </w:tc>
      </w:tr>
    </w:tbl>
    <w:p xmlns:wp14="http://schemas.microsoft.com/office/word/2010/wordml" w14:paraId="220E594D" wp14:textId="77777777">
      <w:pPr>
        <w:pStyle w:val="ListParagraph"/>
        <w:numPr>
          <w:ilvl w:val="0"/>
          <w:numId w:val="30"/>
        </w:numPr>
      </w:pPr>
      <w:r>
        <w:rPr>
          <w:b/>
          <w:bCs/>
          <w:rStyle w:val="Normal"/>
        </w:rPr>
        <w:t xml:space="preserve">Community Management Responses (Few‑Shot)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E96FB0B" wp14:textId="77777777">
        <w:tc>
          <w:tcPr>
            <w:vAlign w:val="center"/>
          </w:tcPr>
          <w:p w14:paraId="30F5411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Provide 8 response archetypes (thank‑you, clarification, pointer to authority, apology, reiteration, data drop, redirect to service, de‑escalation). Show brief steps, then actual replies for 5 sample comments.</w:t>
            </w:r>
          </w:p>
        </w:tc>
      </w:tr>
    </w:tbl>
    <w:p xmlns:wp14="http://schemas.microsoft.com/office/word/2010/wordml" w14:paraId="1039CCC9" wp14:textId="77777777">
      <w:pPr>
        <w:pStyle w:val="ListParagraph"/>
        <w:numPr>
          <w:ilvl w:val="0"/>
          <w:numId w:val="31"/>
        </w:numPr>
      </w:pPr>
      <w:r>
        <w:rPr>
          <w:b/>
          <w:bCs/>
          <w:rStyle w:val="Normal"/>
        </w:rPr>
        <w:t xml:space="preserve">Platform Risk Matrix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6DAA42F" wp14:textId="77777777">
        <w:tc>
          <w:tcPr>
            <w:vAlign w:val="center"/>
          </w:tcPr>
          <w:p w14:paraId="39E081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Rate each platform on risk vectors (impersonation, brigading, deepfakes, virality). Provide mitigation tactics and an account‑recovery SOP.</w:t>
            </w:r>
          </w:p>
        </w:tc>
      </w:tr>
    </w:tbl>
    <w:p xmlns:wp14="http://schemas.microsoft.com/office/word/2010/wordml" w14:paraId="66C7ABCE" wp14:textId="77777777">
      <w:pPr>
        <w:pStyle w:val="ListParagraph"/>
        <w:numPr>
          <w:ilvl w:val="0"/>
          <w:numId w:val="32"/>
        </w:numPr>
      </w:pPr>
      <w:r>
        <w:rPr>
          <w:b/>
          <w:bCs/>
          <w:rStyle w:val="Normal"/>
        </w:rPr>
        <w:t xml:space="preserve">Creator/Influencer Governance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BAFE5AE" wp14:textId="77777777">
        <w:tc>
          <w:tcPr>
            <w:vAlign w:val="center"/>
          </w:tcPr>
          <w:p w14:paraId="6F1AC9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a policy for working with creators: vetting, briefing, content rights, disclaimers, and takedown triggers. Include a one‑page MOU template.</w:t>
            </w:r>
          </w:p>
        </w:tc>
      </w:tr>
    </w:tbl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8B3C7E1" wp14:textId="77777777">
      <w:pPr>
        <w:pStyle w:val="Heading3"/>
      </w:pPr>
      <w:r>
        <w:rPr>
          <w:rStyle w:val="Normal"/>
        </w:rPr>
        <w:t xml:space="preserve">D) Media Monitoring &amp; DEMP Analytics (10)</w:t>
      </w:r>
    </w:p>
    <w:p xmlns:wp14="http://schemas.microsoft.com/office/word/2010/wordml" w14:paraId="783B1069" wp14:textId="77777777">
      <w:pPr>
        <w:pStyle w:val="ListParagraph"/>
        <w:numPr>
          <w:ilvl w:val="0"/>
          <w:numId w:val="33"/>
        </w:numPr>
      </w:pPr>
      <w:r>
        <w:rPr>
          <w:b/>
          <w:bCs/>
          <w:rStyle w:val="Normal"/>
        </w:rPr>
        <w:t xml:space="preserve">AI‑Assisted Monitoring Blueprint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B93922" wp14:textId="77777777">
        <w:tc>
          <w:tcPr>
            <w:vAlign w:val="center"/>
          </w:tcPr>
          <w:p w14:paraId="09487E2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Define input sources (TV/web/portals), classification goals, confidence thresholds, and human‑in‑the‑loop review. Output daily digests, anomaly alerts, and corrective actions. Include 3 sample alert cards.</w:t>
            </w:r>
          </w:p>
        </w:tc>
      </w:tr>
    </w:tbl>
    <w:p xmlns:wp14="http://schemas.microsoft.com/office/word/2010/wordml" w14:paraId="2EA2C154" wp14:textId="77777777">
      <w:pPr>
        <w:pStyle w:val="ListParagraph"/>
        <w:numPr>
          <w:ilvl w:val="0"/>
          <w:numId w:val="34"/>
        </w:numPr>
      </w:pPr>
      <w:r>
        <w:rPr>
          <w:b/>
          <w:bCs/>
          <w:rStyle w:val="Normal"/>
        </w:rPr>
        <w:t xml:space="preserve">Talk‑Show Analysis Protocol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E912F92" wp14:textId="77777777">
        <w:tc>
          <w:tcPr>
            <w:vAlign w:val="center"/>
          </w:tcPr>
          <w:p w14:paraId="69C604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protocol to code talk shows: topic frames, guest bias markers, factuality flags, outcome scoring. Provide a compact codebook and weekly findings format.</w:t>
            </w:r>
          </w:p>
        </w:tc>
      </w:tr>
    </w:tbl>
    <w:p xmlns:wp14="http://schemas.microsoft.com/office/word/2010/wordml" w14:paraId="712B6A04" wp14:textId="77777777">
      <w:pPr>
        <w:pStyle w:val="ListParagraph"/>
        <w:numPr>
          <w:ilvl w:val="0"/>
          <w:numId w:val="35"/>
        </w:numPr>
      </w:pPr>
      <w:r>
        <w:rPr>
          <w:b/>
          <w:bCs/>
          <w:rStyle w:val="Normal"/>
        </w:rPr>
        <w:t xml:space="preserve">Algorithmic Bias Check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9824772" wp14:textId="77777777">
        <w:tc>
          <w:tcPr>
            <w:vAlign w:val="center"/>
          </w:tcPr>
          <w:p w14:paraId="1202C8E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tests to detect bias in the monitoring model (topic skew, region skew, language skew). Recommend calibration steps and a quarterly audit report outline.</w:t>
            </w:r>
          </w:p>
        </w:tc>
      </w:tr>
    </w:tbl>
    <w:p xmlns:wp14="http://schemas.microsoft.com/office/word/2010/wordml" w14:paraId="568CA74A" wp14:textId="77777777">
      <w:pPr>
        <w:pStyle w:val="ListParagraph"/>
        <w:numPr>
          <w:ilvl w:val="0"/>
          <w:numId w:val="36"/>
        </w:numPr>
      </w:pPr>
      <w:r>
        <w:rPr>
          <w:b/>
          <w:bCs/>
          <w:rStyle w:val="Normal"/>
        </w:rPr>
        <w:t xml:space="preserve">Narrative Shift Detector (Self‑Consistency x3)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64E35EF" wp14:textId="77777777">
        <w:tc>
          <w:tcPr>
            <w:vAlign w:val="center"/>
          </w:tcPr>
          <w:p w14:paraId="1022DD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Offer 3 methods to detect narrative shifts (keyword drift, sentiment change‑points, influencer switching). Pick the consensus and justify with pros/cons.</w:t>
            </w:r>
          </w:p>
        </w:tc>
      </w:tr>
    </w:tbl>
    <w:p xmlns:wp14="http://schemas.microsoft.com/office/word/2010/wordml" w14:paraId="37F21914" wp14:textId="77777777">
      <w:pPr>
        <w:pStyle w:val="ListParagraph"/>
        <w:numPr>
          <w:ilvl w:val="0"/>
          <w:numId w:val="37"/>
        </w:numPr>
      </w:pPr>
      <w:r>
        <w:rPr>
          <w:b/>
          <w:bCs/>
          <w:rStyle w:val="Normal"/>
        </w:rPr>
        <w:t xml:space="preserve">Ad‑Tracking &amp; Verification Flow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87051C8" wp14:textId="77777777">
        <w:tc>
          <w:tcPr>
            <w:vAlign w:val="center"/>
          </w:tcPr>
          <w:p w14:paraId="2F0FA7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Map how DEMP validates government ad placements: proof‑of‑run, spot logs, make‑goods, exceptions. Provide a checklist and reconciliation table format.</w:t>
            </w:r>
          </w:p>
        </w:tc>
      </w:tr>
    </w:tbl>
    <w:p xmlns:wp14="http://schemas.microsoft.com/office/word/2010/wordml" w14:paraId="7CC7A168" wp14:textId="77777777">
      <w:pPr>
        <w:pStyle w:val="ListParagraph"/>
        <w:numPr>
          <w:ilvl w:val="0"/>
          <w:numId w:val="38"/>
        </w:numPr>
      </w:pPr>
      <w:r>
        <w:rPr>
          <w:b/>
          <w:bCs/>
          <w:rStyle w:val="Normal"/>
        </w:rPr>
        <w:t xml:space="preserve">Weekly Intelligence Brief Template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4F54650" wp14:textId="77777777">
        <w:tc>
          <w:tcPr>
            <w:vAlign w:val="center"/>
          </w:tcPr>
          <w:p w14:paraId="1417E4C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 one‑pager: top 5 narratives, impact score, recommended counter‑moves, and assets to produce (DEMP/DCD). Add a second‑pass verify step.</w:t>
            </w:r>
          </w:p>
        </w:tc>
      </w:tr>
    </w:tbl>
    <w:p xmlns:wp14="http://schemas.microsoft.com/office/word/2010/wordml" w14:paraId="71082ACB" wp14:textId="77777777">
      <w:pPr>
        <w:pStyle w:val="ListParagraph"/>
        <w:numPr>
          <w:ilvl w:val="0"/>
          <w:numId w:val="39"/>
        </w:numPr>
      </w:pPr>
      <w:r>
        <w:rPr>
          <w:b/>
          <w:bCs/>
          <w:rStyle w:val="Normal"/>
        </w:rPr>
        <w:t xml:space="preserve">Documentary Slate Prioritization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8B8765D" wp14:textId="77777777">
        <w:tc>
          <w:tcPr>
            <w:vAlign w:val="center"/>
          </w:tcPr>
          <w:p w14:paraId="4CE1AEB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Rank proposed long‑form pieces by strategic value, outreach, and reusability. Provide a slate board and greenlight criteria.</w:t>
            </w:r>
          </w:p>
        </w:tc>
      </w:tr>
    </w:tbl>
    <w:p xmlns:wp14="http://schemas.microsoft.com/office/word/2010/wordml" w14:paraId="2546E10F" wp14:textId="77777777">
      <w:pPr>
        <w:pStyle w:val="ListParagraph"/>
        <w:numPr>
          <w:ilvl w:val="0"/>
          <w:numId w:val="40"/>
        </w:numPr>
      </w:pPr>
      <w:r>
        <w:rPr>
          <w:b/>
          <w:bCs/>
          <w:rStyle w:val="Normal"/>
        </w:rPr>
        <w:t xml:space="preserve">Event Monitoring Playbook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657F1FB" wp14:textId="77777777">
        <w:tc>
          <w:tcPr>
            <w:vAlign w:val="center"/>
          </w:tcPr>
          <w:p w14:paraId="77BCD47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For national days or emergencies, define expanded monitoring cadence, roles, and distribution (who receives which alerts). Include a debrief template.</w:t>
            </w:r>
          </w:p>
        </w:tc>
      </w:tr>
    </w:tbl>
    <w:p xmlns:wp14="http://schemas.microsoft.com/office/word/2010/wordml" w14:paraId="1A42E56B" wp14:textId="77777777">
      <w:pPr>
        <w:pStyle w:val="ListParagraph"/>
        <w:numPr>
          <w:ilvl w:val="0"/>
          <w:numId w:val="41"/>
        </w:numPr>
      </w:pPr>
      <w:r>
        <w:rPr>
          <w:b/>
          <w:bCs/>
          <w:rStyle w:val="Normal"/>
        </w:rPr>
        <w:t xml:space="preserve">Archive &amp; Retrieval SOP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0538C8B" wp14:textId="77777777">
        <w:tc>
          <w:tcPr>
            <w:vAlign w:val="center"/>
          </w:tcPr>
          <w:p w14:paraId="06D70F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metadata schema for quick retrieval (topic, date, personality‑agnostic tags, rights). Include retention rules and RTI discoverability notes.</w:t>
            </w:r>
          </w:p>
        </w:tc>
      </w:tr>
    </w:tbl>
    <w:p xmlns:wp14="http://schemas.microsoft.com/office/word/2010/wordml" w14:paraId="2B4FC052" wp14:textId="77777777">
      <w:pPr>
        <w:pStyle w:val="ListParagraph"/>
        <w:numPr>
          <w:ilvl w:val="0"/>
          <w:numId w:val="42"/>
        </w:numPr>
      </w:pPr>
      <w:r>
        <w:rPr>
          <w:b/>
          <w:bCs/>
          <w:rStyle w:val="Normal"/>
        </w:rPr>
        <w:t xml:space="preserve">Public Dashboard Wireframe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DFB75CA" wp14:textId="77777777">
        <w:tc>
          <w:tcPr>
            <w:vAlign w:val="center"/>
          </w:tcPr>
          <w:p w14:paraId="42720B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Sketch a public‑facing dashboard (non-sensitive): media sentiment trends, myth‑busted count, RTI turnaround stats. Provide data caveats and ethical notes.</w:t>
            </w:r>
          </w:p>
        </w:tc>
      </w:tr>
    </w:tbl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B532CCB" wp14:textId="77777777">
      <w:pPr>
        <w:pStyle w:val="Heading3"/>
      </w:pPr>
      <w:r>
        <w:rPr>
          <w:rStyle w:val="Normal"/>
        </w:rPr>
        <w:t xml:space="preserve">E) Advertising Policy &amp; Campaign Allocation (10)</w:t>
      </w:r>
    </w:p>
    <w:p xmlns:wp14="http://schemas.microsoft.com/office/word/2010/wordml" w14:paraId="2999ECE4" wp14:textId="77777777">
      <w:pPr>
        <w:pStyle w:val="ListParagraph"/>
        <w:numPr>
          <w:ilvl w:val="0"/>
          <w:numId w:val="43"/>
        </w:numPr>
      </w:pPr>
      <w:r>
        <w:rPr>
          <w:b/>
          <w:bCs/>
          <w:rStyle w:val="Normal"/>
        </w:rPr>
        <w:t xml:space="preserve">Media Mix Optimizer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65540C2" wp14:textId="77777777">
        <w:tc>
          <w:tcPr>
            <w:vAlign w:val="center"/>
          </w:tcPr>
          <w:p w14:paraId="3E382B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Given [budget], [reach curves], and Advertisement Policy constraints, propose an optimal print/TV/radio/digital split. Show assumptions, compute trade‑offs, and output a spend plan with KPIs and governance controls.</w:t>
            </w:r>
          </w:p>
        </w:tc>
      </w:tr>
    </w:tbl>
    <w:p xmlns:wp14="http://schemas.microsoft.com/office/word/2010/wordml" w14:paraId="66A49776" wp14:textId="77777777">
      <w:pPr>
        <w:pStyle w:val="ListParagraph"/>
        <w:numPr>
          <w:ilvl w:val="0"/>
          <w:numId w:val="44"/>
        </w:numPr>
      </w:pPr>
      <w:r>
        <w:rPr>
          <w:b/>
          <w:bCs/>
          <w:rStyle w:val="Normal"/>
        </w:rPr>
        <w:t xml:space="preserve">Rate Card Sanity Check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77B0399" wp14:textId="77777777">
        <w:tc>
          <w:tcPr>
            <w:vAlign w:val="center"/>
          </w:tcPr>
          <w:p w14:paraId="377542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Outline a method to validate outlet rate cards vs. benchmarks. Include exception handling, negotiation levers, and a compliance audit trail.</w:t>
            </w:r>
          </w:p>
        </w:tc>
      </w:tr>
    </w:tbl>
    <w:p xmlns:wp14="http://schemas.microsoft.com/office/word/2010/wordml" w14:paraId="168FED31" wp14:textId="77777777">
      <w:pPr>
        <w:pStyle w:val="ListParagraph"/>
        <w:numPr>
          <w:ilvl w:val="0"/>
          <w:numId w:val="45"/>
        </w:numPr>
      </w:pPr>
      <w:r>
        <w:rPr>
          <w:b/>
          <w:bCs/>
          <w:rStyle w:val="Normal"/>
        </w:rPr>
        <w:t xml:space="preserve">Creative Rotation Rules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6034F73" wp14:textId="77777777">
        <w:tc>
          <w:tcPr>
            <w:vAlign w:val="center"/>
          </w:tcPr>
          <w:p w14:paraId="18E4C8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Write frequency caps and rotation logic for PSAs across channels; add creative fatigue detection and refresh triggers.</w:t>
            </w:r>
          </w:p>
        </w:tc>
      </w:tr>
    </w:tbl>
    <w:p xmlns:wp14="http://schemas.microsoft.com/office/word/2010/wordml" w14:paraId="1735C6F7" wp14:textId="77777777">
      <w:pPr>
        <w:pStyle w:val="ListParagraph"/>
        <w:numPr>
          <w:ilvl w:val="0"/>
          <w:numId w:val="46"/>
        </w:numPr>
      </w:pPr>
      <w:r>
        <w:rPr>
          <w:b/>
          <w:bCs/>
          <w:rStyle w:val="Normal"/>
        </w:rPr>
        <w:t xml:space="preserve">Regional Quota Enforcement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169DDBC" wp14:textId="77777777">
        <w:tc>
          <w:tcPr>
            <w:vAlign w:val="center"/>
          </w:tcPr>
          <w:p w14:paraId="4FA35E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placement tracker ensuring regional representation and language coverage. Provide data columns and weekly reconciliation steps.</w:t>
            </w:r>
          </w:p>
        </w:tc>
      </w:tr>
    </w:tbl>
    <w:p xmlns:wp14="http://schemas.microsoft.com/office/word/2010/wordml" w14:paraId="483E180A" wp14:textId="77777777">
      <w:pPr>
        <w:pStyle w:val="ListParagraph"/>
        <w:numPr>
          <w:ilvl w:val="0"/>
          <w:numId w:val="47"/>
        </w:numPr>
      </w:pPr>
      <w:r>
        <w:rPr>
          <w:b/>
          <w:bCs/>
          <w:rStyle w:val="Normal"/>
        </w:rPr>
        <w:t xml:space="preserve">Digital Attribution Framework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470388" wp14:textId="77777777">
        <w:tc>
          <w:tcPr>
            <w:vAlign w:val="center"/>
          </w:tcPr>
          <w:p w14:paraId="11CA5F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UTM conventions, conversion proxies for public awareness, and a validation plan. Output: a 1‑page schema + sample report.</w:t>
            </w:r>
          </w:p>
        </w:tc>
      </w:tr>
    </w:tbl>
    <w:p xmlns:wp14="http://schemas.microsoft.com/office/word/2010/wordml" w14:paraId="61247417" wp14:textId="77777777">
      <w:pPr>
        <w:pStyle w:val="ListParagraph"/>
        <w:numPr>
          <w:ilvl w:val="0"/>
          <w:numId w:val="48"/>
        </w:numPr>
      </w:pPr>
      <w:r>
        <w:rPr>
          <w:b/>
          <w:bCs/>
          <w:rStyle w:val="Normal"/>
        </w:rPr>
        <w:t xml:space="preserve">OIC &amp; Committee Governance Pack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9D1BB9A" wp14:textId="77777777">
        <w:tc>
          <w:tcPr>
            <w:vAlign w:val="center"/>
          </w:tcPr>
          <w:p w14:paraId="28717D7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TORs and decision records for Oversight &amp; Implementation Committee and Rate Fixation Committee. Include conflict‑of‑interest and recusal protocol.</w:t>
            </w:r>
          </w:p>
        </w:tc>
      </w:tr>
    </w:tbl>
    <w:p xmlns:wp14="http://schemas.microsoft.com/office/word/2010/wordml" w14:paraId="15806DE7" wp14:textId="77777777">
      <w:pPr>
        <w:pStyle w:val="ListParagraph"/>
        <w:numPr>
          <w:ilvl w:val="0"/>
          <w:numId w:val="49"/>
        </w:numPr>
      </w:pPr>
      <w:r>
        <w:rPr>
          <w:b/>
          <w:bCs/>
          <w:rStyle w:val="Normal"/>
        </w:rPr>
        <w:t xml:space="preserve">Supplier Due Diligence SOP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E436E91" wp14:textId="77777777">
        <w:tc>
          <w:tcPr>
            <w:vAlign w:val="center"/>
          </w:tcPr>
          <w:p w14:paraId="4D9EA5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Set vetting steps for agencies/outlets (enlistment with PID, tax compliance, past performance). Provide a red/amber/green checklist.</w:t>
            </w:r>
          </w:p>
        </w:tc>
      </w:tr>
    </w:tbl>
    <w:p xmlns:wp14="http://schemas.microsoft.com/office/word/2010/wordml" w14:paraId="033E3F80" wp14:textId="77777777">
      <w:pPr>
        <w:pStyle w:val="ListParagraph"/>
        <w:numPr>
          <w:ilvl w:val="0"/>
          <w:numId w:val="50"/>
        </w:numPr>
      </w:pPr>
      <w:r>
        <w:rPr>
          <w:b/>
          <w:bCs/>
          <w:rStyle w:val="Normal"/>
        </w:rPr>
        <w:t xml:space="preserve">Campaign Risk Register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F47003" wp14:textId="77777777">
        <w:tc>
          <w:tcPr>
            <w:vAlign w:val="center"/>
          </w:tcPr>
          <w:p w14:paraId="03C55F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List risks (delivery shortfall, brand safety, misinformation adjacency). For each, define detection signals and mitigations. Output a register with owners &amp; SLAs.</w:t>
            </w:r>
          </w:p>
        </w:tc>
      </w:tr>
    </w:tbl>
    <w:p xmlns:wp14="http://schemas.microsoft.com/office/word/2010/wordml" w14:paraId="0AD399DA" wp14:textId="77777777">
      <w:pPr>
        <w:pStyle w:val="ListParagraph"/>
        <w:numPr>
          <w:ilvl w:val="0"/>
          <w:numId w:val="51"/>
        </w:numPr>
      </w:pPr>
      <w:r>
        <w:rPr>
          <w:b/>
          <w:bCs/>
          <w:rStyle w:val="Normal"/>
        </w:rPr>
        <w:t xml:space="preserve">Post‑Buy Audit Template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FEB6B79" wp14:textId="77777777">
        <w:tc>
          <w:tcPr>
            <w:vAlign w:val="center"/>
          </w:tcPr>
          <w:p w14:paraId="596A0C5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 reconciliation workbook structure: planned vs. delivered GRPs/Impressions, make‑goods, over‑delivery. Include sign‑off workflow.</w:t>
            </w:r>
          </w:p>
        </w:tc>
      </w:tr>
    </w:tbl>
    <w:p xmlns:wp14="http://schemas.microsoft.com/office/word/2010/wordml" w14:paraId="1DBD8873" wp14:textId="77777777">
      <w:pPr>
        <w:pStyle w:val="ListParagraph"/>
        <w:numPr>
          <w:ilvl w:val="0"/>
          <w:numId w:val="52"/>
        </w:numPr>
      </w:pPr>
      <w:r>
        <w:rPr>
          <w:b/>
          <w:bCs/>
          <w:rStyle w:val="Normal"/>
        </w:rPr>
        <w:t xml:space="preserve">Value‑for‑Money Scorecard (Self‑Consistency x3)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B5AB0B6" wp14:textId="77777777">
        <w:tc>
          <w:tcPr>
            <w:vAlign w:val="center"/>
          </w:tcPr>
          <w:p w14:paraId="4AD4902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3 scoring formulas (reach effectiveness, cost efficiency, equity). Select a consensus formula and state why it best aligns with policy principles.</w:t>
            </w:r>
          </w:p>
        </w:tc>
      </w:tr>
    </w:tbl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695120" wp14:textId="77777777">
      <w:pPr>
        <w:pStyle w:val="Heading3"/>
      </w:pPr>
      <w:r>
        <w:rPr>
          <w:rStyle w:val="Normal"/>
        </w:rPr>
        <w:t xml:space="preserve">F) Broadcast &amp; State Media (PTV, PBC/Radio Pakistan, APP) (10)</w:t>
      </w:r>
    </w:p>
    <w:p xmlns:wp14="http://schemas.microsoft.com/office/word/2010/wordml" w14:paraId="47C6252A" wp14:textId="77777777">
      <w:pPr>
        <w:pStyle w:val="ListParagraph"/>
        <w:numPr>
          <w:ilvl w:val="0"/>
          <w:numId w:val="53"/>
        </w:numPr>
      </w:pPr>
      <w:r>
        <w:rPr>
          <w:b/>
          <w:bCs/>
          <w:rStyle w:val="Normal"/>
        </w:rPr>
        <w:t xml:space="preserve">Public Service Programming Grid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B92E73E" wp14:textId="77777777">
        <w:tc>
          <w:tcPr>
            <w:vAlign w:val="center"/>
          </w:tcPr>
          <w:p w14:paraId="2496CB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a weekly grid for PTV/PBC: required PSAs, inclusive content, sign‑language slots, and educational inserts. Include diversity and accessibility checks.</w:t>
            </w:r>
          </w:p>
        </w:tc>
      </w:tr>
    </w:tbl>
    <w:p xmlns:wp14="http://schemas.microsoft.com/office/word/2010/wordml" w14:paraId="4BEE41EB" wp14:textId="77777777">
      <w:pPr>
        <w:pStyle w:val="ListParagraph"/>
        <w:numPr>
          <w:ilvl w:val="0"/>
          <w:numId w:val="54"/>
        </w:numPr>
      </w:pPr>
      <w:r>
        <w:rPr>
          <w:b/>
          <w:bCs/>
          <w:rStyle w:val="Normal"/>
        </w:rPr>
        <w:t xml:space="preserve">HD/Transmission Upgrade Comms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90CA016" wp14:textId="77777777">
        <w:tc>
          <w:tcPr>
            <w:vAlign w:val="center"/>
          </w:tcPr>
          <w:p w14:paraId="3A88625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 communications plan for a broadcast upgrade: what changes, viewer benefits, retune steps. Include hotline scripts and IVR prompts.</w:t>
            </w:r>
          </w:p>
        </w:tc>
      </w:tr>
    </w:tbl>
    <w:p xmlns:wp14="http://schemas.microsoft.com/office/word/2010/wordml" w14:paraId="2035439B" wp14:textId="77777777">
      <w:pPr>
        <w:pStyle w:val="ListParagraph"/>
        <w:numPr>
          <w:ilvl w:val="0"/>
          <w:numId w:val="55"/>
        </w:numPr>
      </w:pPr>
      <w:r>
        <w:rPr>
          <w:b/>
          <w:bCs/>
          <w:rStyle w:val="Normal"/>
        </w:rPr>
        <w:t xml:space="preserve">Breaking News Protocol (Zero‑Shot CoT + Verify)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70C4D13" wp14:textId="77777777">
        <w:tc>
          <w:tcPr>
            <w:vAlign w:val="center"/>
          </w:tcPr>
          <w:p w14:paraId="63D69C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For state media, write a factual-first breaking news SOP: verification, disclaimers, corrections, and updates. Include a sensitive‑content gate review.</w:t>
            </w:r>
          </w:p>
        </w:tc>
      </w:tr>
    </w:tbl>
    <w:p xmlns:wp14="http://schemas.microsoft.com/office/word/2010/wordml" w14:paraId="79B1897E" wp14:textId="77777777">
      <w:pPr>
        <w:pStyle w:val="ListParagraph"/>
        <w:numPr>
          <w:ilvl w:val="0"/>
          <w:numId w:val="56"/>
        </w:numPr>
      </w:pPr>
      <w:r>
        <w:rPr>
          <w:b/>
          <w:bCs/>
          <w:rStyle w:val="Normal"/>
        </w:rPr>
        <w:t xml:space="preserve">Children &amp; Youth Content Charter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714F441" wp14:textId="77777777">
        <w:tc>
          <w:tcPr>
            <w:vAlign w:val="center"/>
          </w:tcPr>
          <w:p w14:paraId="4D5922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Define educational programming pillars and safety guidelines; map to time slots and measurement plan (reach/retention).</w:t>
            </w:r>
          </w:p>
        </w:tc>
      </w:tr>
    </w:tbl>
    <w:p xmlns:wp14="http://schemas.microsoft.com/office/word/2010/wordml" w14:paraId="5B2BEF08" wp14:textId="77777777">
      <w:pPr>
        <w:pStyle w:val="ListParagraph"/>
        <w:numPr>
          <w:ilvl w:val="0"/>
          <w:numId w:val="57"/>
        </w:numPr>
      </w:pPr>
      <w:r>
        <w:rPr>
          <w:b/>
          <w:bCs/>
          <w:rStyle w:val="Normal"/>
        </w:rPr>
        <w:t xml:space="preserve">Radio Community Outreach Kit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5014323" wp14:textId="77777777">
        <w:tc>
          <w:tcPr>
            <w:vAlign w:val="center"/>
          </w:tcPr>
          <w:p w14:paraId="63AFEF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kit for regional PBC stations: localized scripts, call‑ins, and field recording SOPs. Provide 3 PSA scripts (60s).</w:t>
            </w:r>
          </w:p>
        </w:tc>
      </w:tr>
    </w:tbl>
    <w:p xmlns:wp14="http://schemas.microsoft.com/office/word/2010/wordml" w14:paraId="6A627C82" wp14:textId="77777777">
      <w:pPr>
        <w:pStyle w:val="ListParagraph"/>
        <w:numPr>
          <w:ilvl w:val="0"/>
          <w:numId w:val="58"/>
        </w:numPr>
      </w:pPr>
      <w:r>
        <w:rPr>
          <w:b/>
          <w:bCs/>
          <w:rStyle w:val="Normal"/>
        </w:rPr>
        <w:t xml:space="preserve">APP Fact‑Pack Production Flow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29A5058" wp14:textId="77777777">
        <w:tc>
          <w:tcPr>
            <w:vAlign w:val="center"/>
          </w:tcPr>
          <w:p w14:paraId="6BCFD9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Build a process for APP to publish “fact‑packs” (explainers with charts) tied to policy announcements. Include version control and embed codes.</w:t>
            </w:r>
          </w:p>
        </w:tc>
      </w:tr>
    </w:tbl>
    <w:p xmlns:wp14="http://schemas.microsoft.com/office/word/2010/wordml" w14:paraId="449E394A" wp14:textId="77777777">
      <w:pPr>
        <w:pStyle w:val="ListParagraph"/>
        <w:numPr>
          <w:ilvl w:val="0"/>
          <w:numId w:val="59"/>
        </w:numPr>
      </w:pPr>
      <w:r>
        <w:rPr>
          <w:b/>
          <w:bCs/>
          <w:rStyle w:val="Normal"/>
        </w:rPr>
        <w:t xml:space="preserve">PSA Rights &amp; Music Licensing SOP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C182699" wp14:textId="77777777">
        <w:tc>
          <w:tcPr>
            <w:vAlign w:val="center"/>
          </w:tcPr>
          <w:p w14:paraId="78DC6B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licensing do’s/don’ts, cue sheets, and archival labeling to avoid reuse issues.</w:t>
            </w:r>
          </w:p>
        </w:tc>
      </w:tr>
    </w:tbl>
    <w:p xmlns:wp14="http://schemas.microsoft.com/office/word/2010/wordml" w14:paraId="34FC2079" wp14:textId="77777777">
      <w:pPr>
        <w:pStyle w:val="ListParagraph"/>
        <w:numPr>
          <w:ilvl w:val="0"/>
          <w:numId w:val="60"/>
        </w:numPr>
      </w:pPr>
      <w:r>
        <w:rPr>
          <w:b/>
          <w:bCs/>
          <w:rStyle w:val="Normal"/>
        </w:rPr>
        <w:t xml:space="preserve">Disaster Broadcast Insertions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311D06E" wp14:textId="77777777">
        <w:tc>
          <w:tcPr>
            <w:vAlign w:val="center"/>
          </w:tcPr>
          <w:p w14:paraId="02AB599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Specify auto‑interrupt rules for emergency alerts across PTV/PBC, with language ladders and redundancy paths.</w:t>
            </w:r>
          </w:p>
        </w:tc>
      </w:tr>
    </w:tbl>
    <w:p xmlns:wp14="http://schemas.microsoft.com/office/word/2010/wordml" w14:paraId="54BFDA29" wp14:textId="77777777">
      <w:pPr>
        <w:pStyle w:val="ListParagraph"/>
        <w:numPr>
          <w:ilvl w:val="0"/>
          <w:numId w:val="61"/>
        </w:numPr>
      </w:pPr>
      <w:r>
        <w:rPr>
          <w:b/>
          <w:bCs/>
          <w:rStyle w:val="Normal"/>
        </w:rPr>
        <w:t xml:space="preserve">Audience Panel Pilot (Self‑Consistency x3)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9798A9C" wp14:textId="77777777">
        <w:tc>
          <w:tcPr>
            <w:vAlign w:val="center"/>
          </w:tcPr>
          <w:p w14:paraId="5E3EB20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3 designs for a low‑cost audience feedback panel (phone, SMS, online). Pick the best and justify. Include sample survey items.</w:t>
            </w:r>
          </w:p>
        </w:tc>
      </w:tr>
    </w:tbl>
    <w:p xmlns:wp14="http://schemas.microsoft.com/office/word/2010/wordml" w14:paraId="665E02CE" wp14:textId="77777777">
      <w:pPr>
        <w:pStyle w:val="ListParagraph"/>
        <w:numPr>
          <w:ilvl w:val="0"/>
          <w:numId w:val="62"/>
        </w:numPr>
      </w:pPr>
      <w:r>
        <w:rPr>
          <w:b/>
          <w:bCs/>
          <w:rStyle w:val="Normal"/>
        </w:rPr>
        <w:t xml:space="preserve">Media Cooperation MoU Toolkit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A40E49C" wp14:textId="77777777">
        <w:tc>
          <w:tcPr>
            <w:vAlign w:val="center"/>
          </w:tcPr>
          <w:p w14:paraId="11C140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Prepare a template to formalize co‑productions or content exchanges (rights, editorial standards, cultural sensitivity). Provide a negotiation checklist.</w:t>
            </w:r>
          </w:p>
        </w:tc>
      </w:tr>
    </w:tbl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4F0CE81" wp14:textId="77777777">
      <w:pPr>
        <w:pStyle w:val="Heading3"/>
      </w:pPr>
      <w:r>
        <w:rPr>
          <w:rStyle w:val="Normal"/>
        </w:rPr>
        <w:t xml:space="preserve">G) International / EP Wing (10)</w:t>
      </w:r>
    </w:p>
    <w:p xmlns:wp14="http://schemas.microsoft.com/office/word/2010/wordml" w14:paraId="1E054E6B" wp14:textId="77777777">
      <w:pPr>
        <w:pStyle w:val="ListParagraph"/>
        <w:numPr>
          <w:ilvl w:val="0"/>
          <w:numId w:val="63"/>
        </w:numPr>
      </w:pPr>
      <w:r>
        <w:rPr>
          <w:b/>
          <w:bCs/>
          <w:rStyle w:val="Normal"/>
        </w:rPr>
        <w:t xml:space="preserve">Foreign Media Briefers (Skeleton → Expand)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34E511F" wp14:textId="77777777">
        <w:tc>
          <w:tcPr>
            <w:vAlign w:val="center"/>
          </w:tcPr>
          <w:p w14:paraId="263562C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Outline a briefer pack: 1‑pager key facts, myth‑vs‑fact, data annex, visuals. After approval, expand with talk tracks and embargoed data handling.</w:t>
            </w:r>
          </w:p>
        </w:tc>
      </w:tr>
    </w:tbl>
    <w:p xmlns:wp14="http://schemas.microsoft.com/office/word/2010/wordml" w14:paraId="6FF441CA" wp14:textId="77777777">
      <w:pPr>
        <w:pStyle w:val="ListParagraph"/>
        <w:numPr>
          <w:ilvl w:val="0"/>
          <w:numId w:val="64"/>
        </w:numPr>
      </w:pPr>
      <w:r>
        <w:rPr>
          <w:b/>
          <w:bCs/>
          <w:rStyle w:val="Normal"/>
        </w:rPr>
        <w:t xml:space="preserve">Press Counsellor Playbook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200717" wp14:textId="77777777">
        <w:tc>
          <w:tcPr>
            <w:vAlign w:val="center"/>
          </w:tcPr>
          <w:p w14:paraId="58F71A3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SOPs for 17 capitals coverage: pitch cadence, local language angles, rebuttal workflow, and KPI dashboard (pickups/corrections). Include a monthly report template.</w:t>
            </w:r>
          </w:p>
        </w:tc>
      </w:tr>
    </w:tbl>
    <w:p xmlns:wp14="http://schemas.microsoft.com/office/word/2010/wordml" w14:paraId="03ACA82A" wp14:textId="77777777">
      <w:pPr>
        <w:pStyle w:val="ListParagraph"/>
        <w:numPr>
          <w:ilvl w:val="0"/>
          <w:numId w:val="65"/>
        </w:numPr>
      </w:pPr>
      <w:r>
        <w:rPr>
          <w:b/>
          <w:bCs/>
          <w:rStyle w:val="Normal"/>
        </w:rPr>
        <w:t xml:space="preserve">Foreign Journalist Facilitation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3AFFDC5" wp14:textId="77777777">
        <w:tc>
          <w:tcPr>
            <w:vAlign w:val="center"/>
          </w:tcPr>
          <w:p w14:paraId="4CDEC5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process for visas/accreditation/NOCs: steps, SLAs, ethics brief, and a safety pack. Add templates for invite letters and event passes.</w:t>
            </w:r>
          </w:p>
        </w:tc>
      </w:tr>
    </w:tbl>
    <w:p xmlns:wp14="http://schemas.microsoft.com/office/word/2010/wordml" w14:paraId="7C7F9C1F" wp14:textId="77777777">
      <w:pPr>
        <w:pStyle w:val="ListParagraph"/>
        <w:numPr>
          <w:ilvl w:val="0"/>
          <w:numId w:val="66"/>
        </w:numPr>
      </w:pPr>
      <w:r>
        <w:rPr>
          <w:b/>
          <w:bCs/>
          <w:rStyle w:val="Normal"/>
        </w:rPr>
        <w:t xml:space="preserve">Think‑Tank Engagement Matrix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08B6FD7" wp14:textId="77777777">
        <w:tc>
          <w:tcPr>
            <w:vAlign w:val="center"/>
          </w:tcPr>
          <w:p w14:paraId="0B8497A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Map priority think‑tanks by region, topic, and influence. Propose engagement tactics (roundtables, op‑eds, backgrounders). Include a neutral‑tone principle.</w:t>
            </w:r>
          </w:p>
        </w:tc>
      </w:tr>
    </w:tbl>
    <w:p xmlns:wp14="http://schemas.microsoft.com/office/word/2010/wordml" w14:paraId="0EA13BAE" wp14:textId="77777777">
      <w:pPr>
        <w:pStyle w:val="ListParagraph"/>
        <w:numPr>
          <w:ilvl w:val="0"/>
          <w:numId w:val="67"/>
        </w:numPr>
      </w:pPr>
      <w:r>
        <w:rPr>
          <w:b/>
          <w:bCs/>
          <w:rStyle w:val="Normal"/>
        </w:rPr>
        <w:t xml:space="preserve">International Crisis Lines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A1F7E31" wp14:textId="77777777">
        <w:tc>
          <w:tcPr>
            <w:vAlign w:val="center"/>
          </w:tcPr>
          <w:p w14:paraId="699DE1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For cross-border crises, define a multilingual response protocol: facts, coordination with missions, timed updates, and rumor control. Include sample lines for 3 scenarios.</w:t>
            </w:r>
          </w:p>
        </w:tc>
      </w:tr>
    </w:tbl>
    <w:p xmlns:wp14="http://schemas.microsoft.com/office/word/2010/wordml" w14:paraId="674B20FF" wp14:textId="77777777">
      <w:pPr>
        <w:pStyle w:val="ListParagraph"/>
        <w:numPr>
          <w:ilvl w:val="0"/>
          <w:numId w:val="68"/>
        </w:numPr>
      </w:pPr>
      <w:r>
        <w:rPr>
          <w:b/>
          <w:bCs/>
          <w:rStyle w:val="Normal"/>
        </w:rPr>
        <w:t xml:space="preserve">Cultural Diplomacy Calendar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ACB146" wp14:textId="77777777">
        <w:tc>
          <w:tcPr>
            <w:vAlign w:val="center"/>
          </w:tcPr>
          <w:p w14:paraId="0E406D7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an annual plan (film, arts, literature). Pair each event with communication assets and diaspora partner orgs. Include measurement and learning loop.</w:t>
            </w:r>
          </w:p>
        </w:tc>
      </w:tr>
    </w:tbl>
    <w:p xmlns:wp14="http://schemas.microsoft.com/office/word/2010/wordml" w14:paraId="243F78B5" wp14:textId="77777777">
      <w:pPr>
        <w:pStyle w:val="ListParagraph"/>
        <w:numPr>
          <w:ilvl w:val="0"/>
          <w:numId w:val="69"/>
        </w:numPr>
      </w:pPr>
      <w:r>
        <w:rPr>
          <w:b/>
          <w:bCs/>
          <w:rStyle w:val="Normal"/>
        </w:rPr>
        <w:t xml:space="preserve">Embassy Social Toolkit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B06784B" wp14:textId="77777777">
        <w:tc>
          <w:tcPr>
            <w:vAlign w:val="center"/>
          </w:tcPr>
          <w:p w14:paraId="4F1C57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 kit for missions: visual identity guardrails, caption templates, and safety disclaimers. Provide 5 post templates with alt‑text.</w:t>
            </w:r>
          </w:p>
        </w:tc>
      </w:tr>
    </w:tbl>
    <w:p xmlns:wp14="http://schemas.microsoft.com/office/word/2010/wordml" w14:paraId="7D4AF186" wp14:textId="77777777">
      <w:pPr>
        <w:pStyle w:val="ListParagraph"/>
        <w:numPr>
          <w:ilvl w:val="0"/>
          <w:numId w:val="70"/>
        </w:numPr>
      </w:pPr>
      <w:r>
        <w:rPr>
          <w:b/>
          <w:bCs/>
          <w:rStyle w:val="Normal"/>
        </w:rPr>
        <w:t xml:space="preserve">Op‑Ed Factory (Few‑Shot CoT)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4EC43EB" wp14:textId="77777777">
        <w:tc>
          <w:tcPr>
            <w:vAlign w:val="center"/>
          </w:tcPr>
          <w:p w14:paraId="3B328A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From [backgrounders], generate 3 op‑ed angles, outlines, and headline options. Include a data‑source checklist and a fact‑check pass.</w:t>
            </w:r>
          </w:p>
        </w:tc>
      </w:tr>
    </w:tbl>
    <w:p xmlns:wp14="http://schemas.microsoft.com/office/word/2010/wordml" w14:paraId="4A662740" wp14:textId="77777777">
      <w:pPr>
        <w:pStyle w:val="ListParagraph"/>
        <w:numPr>
          <w:ilvl w:val="0"/>
          <w:numId w:val="71"/>
        </w:numPr>
      </w:pPr>
      <w:r>
        <w:rPr>
          <w:b/>
          <w:bCs/>
          <w:rStyle w:val="Normal"/>
        </w:rPr>
        <w:t xml:space="preserve">Monitoring Foreign Coverage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6ACE381" wp14:textId="77777777">
        <w:tc>
          <w:tcPr>
            <w:vAlign w:val="center"/>
          </w:tcPr>
          <w:p w14:paraId="3D281F3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Define a coding scheme for foreign media tone/topics and a monthly digest format with recommended corrective actions.</w:t>
            </w:r>
          </w:p>
        </w:tc>
      </w:tr>
    </w:tbl>
    <w:p xmlns:wp14="http://schemas.microsoft.com/office/word/2010/wordml" w14:paraId="4F267154" wp14:textId="77777777">
      <w:pPr>
        <w:pStyle w:val="ListParagraph"/>
        <w:numPr>
          <w:ilvl w:val="0"/>
          <w:numId w:val="72"/>
        </w:numPr>
      </w:pPr>
      <w:r>
        <w:rPr>
          <w:b/>
          <w:bCs/>
          <w:rStyle w:val="Normal"/>
        </w:rPr>
        <w:t xml:space="preserve">Cross‑Mission Knowledge Hub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403DAF6" wp14:textId="77777777">
        <w:tc>
          <w:tcPr>
            <w:vAlign w:val="center"/>
          </w:tcPr>
          <w:p w14:paraId="1B481C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Outline a SharePoint/knowledge hub IA: media lists, message houses, case studies, and SOPs. Include governance and versioning.</w:t>
            </w:r>
          </w:p>
        </w:tc>
      </w:tr>
    </w:tbl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C128EDC" wp14:textId="77777777">
      <w:pPr>
        <w:pStyle w:val="Heading3"/>
      </w:pPr>
      <w:r>
        <w:rPr>
          <w:rStyle w:val="Normal"/>
        </w:rPr>
        <w:t xml:space="preserve">H) Regulation &amp; Compliance (PEMRA, PCP, RTI, ABC) (10)</w:t>
      </w:r>
    </w:p>
    <w:p xmlns:wp14="http://schemas.microsoft.com/office/word/2010/wordml" w14:paraId="083E5AF9" wp14:textId="77777777">
      <w:pPr>
        <w:pStyle w:val="ListParagraph"/>
        <w:numPr>
          <w:ilvl w:val="0"/>
          <w:numId w:val="73"/>
        </w:numPr>
      </w:pPr>
      <w:r>
        <w:rPr>
          <w:b/>
          <w:bCs/>
          <w:rStyle w:val="Normal"/>
        </w:rPr>
        <w:t xml:space="preserve">PEMRA Compliance Pre‑Flight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D012134" wp14:textId="77777777">
        <w:tc>
          <w:tcPr>
            <w:vAlign w:val="center"/>
          </w:tcPr>
          <w:p w14:paraId="54C42FB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pre‑flight checklist for broadcast content: prohibited categories, rating independence, salary timeliness note, and complaints readiness. Include a final “green/red” gate.</w:t>
            </w:r>
          </w:p>
        </w:tc>
      </w:tr>
    </w:tbl>
    <w:p xmlns:wp14="http://schemas.microsoft.com/office/word/2010/wordml" w14:paraId="73ACEDBC" wp14:textId="77777777">
      <w:pPr>
        <w:pStyle w:val="ListParagraph"/>
        <w:numPr>
          <w:ilvl w:val="0"/>
          <w:numId w:val="74"/>
        </w:numPr>
      </w:pPr>
      <w:r>
        <w:rPr>
          <w:b/>
          <w:bCs/>
          <w:rStyle w:val="Normal"/>
        </w:rPr>
        <w:t xml:space="preserve">Complaint‑to‑Resolution Flow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6051C0" wp14:textId="77777777">
        <w:tc>
          <w:tcPr>
            <w:vAlign w:val="center"/>
          </w:tcPr>
          <w:p w14:paraId="600E9C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Map how citizen complaints (broadcast content) are triaged, investigated, and resolved. Include Council of Complaints routing and communication templates.</w:t>
            </w:r>
          </w:p>
        </w:tc>
      </w:tr>
    </w:tbl>
    <w:p xmlns:wp14="http://schemas.microsoft.com/office/word/2010/wordml" w14:paraId="556841BB" wp14:textId="77777777">
      <w:pPr>
        <w:pStyle w:val="ListParagraph"/>
        <w:numPr>
          <w:ilvl w:val="0"/>
          <w:numId w:val="75"/>
        </w:numPr>
      </w:pPr>
      <w:r>
        <w:rPr>
          <w:b/>
          <w:bCs/>
          <w:rStyle w:val="Normal"/>
        </w:rPr>
        <w:t xml:space="preserve">RTI Response SOP (Zero‑Shot CoT + Verify)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3EA57D9" wp14:textId="77777777">
        <w:tc>
          <w:tcPr>
            <w:vAlign w:val="center"/>
          </w:tcPr>
          <w:p w14:paraId="0171B5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a 9‑step SOP for Right of Access to Information requests: intake → search → redaction → response within statutory timelines → appeal handling. Provide 2 model responses (granted/partial).</w:t>
            </w:r>
          </w:p>
        </w:tc>
      </w:tr>
    </w:tbl>
    <w:p xmlns:wp14="http://schemas.microsoft.com/office/word/2010/wordml" w14:paraId="7B726701" wp14:textId="77777777">
      <w:pPr>
        <w:pStyle w:val="ListParagraph"/>
        <w:numPr>
          <w:ilvl w:val="0"/>
          <w:numId w:val="76"/>
        </w:numPr>
      </w:pPr>
      <w:r>
        <w:rPr>
          <w:b/>
          <w:bCs/>
          <w:rStyle w:val="Normal"/>
        </w:rPr>
        <w:t xml:space="preserve">Editorial Independence &amp; Code of Ethics Crosswalk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6A1BF1A" wp14:textId="77777777">
        <w:tc>
          <w:tcPr>
            <w:vAlign w:val="center"/>
          </w:tcPr>
          <w:p w14:paraId="13407D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 crosswalk between editorial practices and applicable codes. Annotate sensitive overlaps (hate speech, incitement, disinformation).</w:t>
            </w:r>
          </w:p>
        </w:tc>
      </w:tr>
    </w:tbl>
    <w:p xmlns:wp14="http://schemas.microsoft.com/office/word/2010/wordml" w14:paraId="2EF5BA56" wp14:textId="77777777">
      <w:pPr>
        <w:pStyle w:val="ListParagraph"/>
        <w:numPr>
          <w:ilvl w:val="0"/>
          <w:numId w:val="77"/>
        </w:numPr>
      </w:pPr>
      <w:r>
        <w:rPr>
          <w:b/>
          <w:bCs/>
          <w:rStyle w:val="Normal"/>
        </w:rPr>
        <w:t xml:space="preserve">Archival Discoverability for RTI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DB4CC89" wp14:textId="77777777">
        <w:tc>
          <w:tcPr>
            <w:vAlign w:val="center"/>
          </w:tcPr>
          <w:p w14:paraId="2B299D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Define metadata and retention rules to ensure quick RTI fulfillment while protecting exempt information.</w:t>
            </w:r>
          </w:p>
        </w:tc>
      </w:tr>
    </w:tbl>
    <w:p xmlns:wp14="http://schemas.microsoft.com/office/word/2010/wordml" w14:paraId="73A86696" wp14:textId="77777777">
      <w:pPr>
        <w:pStyle w:val="ListParagraph"/>
        <w:numPr>
          <w:ilvl w:val="0"/>
          <w:numId w:val="78"/>
        </w:numPr>
      </w:pPr>
      <w:r>
        <w:rPr>
          <w:b/>
          <w:bCs/>
          <w:rStyle w:val="Normal"/>
        </w:rPr>
        <w:t xml:space="preserve">ABC Circulation Audit Prep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6D4BC2E" wp14:textId="77777777">
        <w:tc>
          <w:tcPr>
            <w:vAlign w:val="center"/>
          </w:tcPr>
          <w:p w14:paraId="5A0C29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Develop a publisher prep checklist for ABC audits: documents, print logs, distribution proofs, and digital e‑paper analytics. Include common pitfalls and how to avoid them.</w:t>
            </w:r>
          </w:p>
        </w:tc>
      </w:tr>
    </w:tbl>
    <w:p xmlns:wp14="http://schemas.microsoft.com/office/word/2010/wordml" w14:paraId="7BF0B910" wp14:textId="77777777">
      <w:pPr>
        <w:pStyle w:val="ListParagraph"/>
        <w:numPr>
          <w:ilvl w:val="0"/>
          <w:numId w:val="79"/>
        </w:numPr>
      </w:pPr>
      <w:r>
        <w:rPr>
          <w:b/>
          <w:bCs/>
          <w:rStyle w:val="Normal"/>
        </w:rPr>
        <w:t xml:space="preserve">Ad Policy Compliance Scorecard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46F9C6" wp14:textId="77777777">
        <w:tc>
          <w:tcPr>
            <w:vAlign w:val="center"/>
          </w:tcPr>
          <w:p w14:paraId="61A36D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Build a scorecard to ensure Advertisement Policy alignment: outlet eligibility, rate adherence, regional quotas, proof‑of‑run. Output a one‑page checklist.</w:t>
            </w:r>
          </w:p>
        </w:tc>
      </w:tr>
    </w:tbl>
    <w:p xmlns:wp14="http://schemas.microsoft.com/office/word/2010/wordml" w14:paraId="46443E5F" wp14:textId="77777777">
      <w:pPr>
        <w:pStyle w:val="ListParagraph"/>
        <w:numPr>
          <w:ilvl w:val="0"/>
          <w:numId w:val="80"/>
        </w:numPr>
      </w:pPr>
      <w:r>
        <w:rPr>
          <w:b/>
          <w:bCs/>
          <w:rStyle w:val="Normal"/>
        </w:rPr>
        <w:t xml:space="preserve">MoU/Contract Clause Library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F97F2BC" wp14:textId="77777777">
        <w:tc>
          <w:tcPr>
            <w:vAlign w:val="center"/>
          </w:tcPr>
          <w:p w14:paraId="63C9215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Provide standard clauses: content standards, takedowns, indemnities, IP rights, audit access, data protection, and force majeure.</w:t>
            </w:r>
          </w:p>
        </w:tc>
      </w:tr>
    </w:tbl>
    <w:p xmlns:wp14="http://schemas.microsoft.com/office/word/2010/wordml" w14:paraId="12087CE0" wp14:textId="77777777">
      <w:pPr>
        <w:pStyle w:val="ListParagraph"/>
        <w:numPr>
          <w:ilvl w:val="0"/>
          <w:numId w:val="81"/>
        </w:numPr>
      </w:pPr>
      <w:r>
        <w:rPr>
          <w:b/>
          <w:bCs/>
          <w:rStyle w:val="Normal"/>
        </w:rPr>
        <w:t xml:space="preserve">Media Ethics Training Plan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9662973" wp14:textId="77777777">
        <w:tc>
          <w:tcPr>
            <w:vAlign w:val="center"/>
          </w:tcPr>
          <w:p w14:paraId="52BDF84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quarterly training curriculum (case‑based): misinformation, conflicts of interest, corrections. Provide a pre/post test.</w:t>
            </w:r>
          </w:p>
        </w:tc>
      </w:tr>
    </w:tbl>
    <w:p xmlns:wp14="http://schemas.microsoft.com/office/word/2010/wordml" w14:paraId="58ED4DEE" wp14:textId="77777777">
      <w:pPr>
        <w:pStyle w:val="ListParagraph"/>
        <w:numPr>
          <w:ilvl w:val="0"/>
          <w:numId w:val="82"/>
        </w:numPr>
      </w:pPr>
      <w:r>
        <w:rPr>
          <w:b/>
          <w:bCs/>
          <w:rStyle w:val="Normal"/>
        </w:rPr>
        <w:t xml:space="preserve">Governance Audit Pack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BF1D83" wp14:textId="77777777">
        <w:tc>
          <w:tcPr>
            <w:vAlign w:val="center"/>
          </w:tcPr>
          <w:p w14:paraId="2F1D83C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Outline artifacts to retain for audits: meeting minutes, rate approvals, placement logs, proofs, payments, corrections. Provide a file‑naming convention.</w:t>
            </w:r>
          </w:p>
        </w:tc>
      </w:tr>
    </w:tbl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55E540" wp14:textId="77777777">
      <w:pPr>
        <w:pStyle w:val="Heading3"/>
      </w:pPr>
      <w:r>
        <w:rPr>
          <w:rStyle w:val="Normal"/>
        </w:rPr>
        <w:t xml:space="preserve">I) Crisis Communication &amp; Counter‑Disinformation (10)</w:t>
      </w:r>
    </w:p>
    <w:p xmlns:wp14="http://schemas.microsoft.com/office/word/2010/wordml" w14:paraId="5B60543B" wp14:textId="77777777">
      <w:pPr>
        <w:pStyle w:val="ListParagraph"/>
        <w:numPr>
          <w:ilvl w:val="0"/>
          <w:numId w:val="83"/>
        </w:numPr>
      </w:pPr>
      <w:r>
        <w:rPr>
          <w:b/>
          <w:bCs/>
          <w:rStyle w:val="Normal"/>
        </w:rPr>
        <w:t xml:space="preserve">Crisis Typology &amp; Playbooks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62C0FE8" wp14:textId="77777777">
        <w:tc>
          <w:tcPr>
            <w:vAlign w:val="center"/>
          </w:tcPr>
          <w:p w14:paraId="2D66CD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Build a typology (natural disaster, health, cyber, geopolitical). For each, define command structure, first hour messaging, and 24‑hour content plan. Include red‑line topics requiring legal sign‑off.</w:t>
            </w:r>
          </w:p>
        </w:tc>
      </w:tr>
    </w:tbl>
    <w:p xmlns:wp14="http://schemas.microsoft.com/office/word/2010/wordml" w14:paraId="737AB13D" wp14:textId="77777777">
      <w:pPr>
        <w:pStyle w:val="ListParagraph"/>
        <w:numPr>
          <w:ilvl w:val="0"/>
          <w:numId w:val="84"/>
        </w:numPr>
      </w:pPr>
      <w:r>
        <w:rPr>
          <w:b/>
          <w:bCs/>
          <w:rStyle w:val="Normal"/>
        </w:rPr>
        <w:t xml:space="preserve">Rumor Lifecycle Map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920C076" wp14:textId="77777777">
        <w:tc>
          <w:tcPr>
            <w:vAlign w:val="center"/>
          </w:tcPr>
          <w:p w14:paraId="5EE642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Map how a rumor spreads across platforms and recommend interruption tactics per stage (seed, spread, peak, fade). Provide 3 example interventions.</w:t>
            </w:r>
          </w:p>
        </w:tc>
      </w:tr>
    </w:tbl>
    <w:p xmlns:wp14="http://schemas.microsoft.com/office/word/2010/wordml" w14:paraId="1CB7BAFB" wp14:textId="77777777">
      <w:pPr>
        <w:pStyle w:val="ListParagraph"/>
        <w:numPr>
          <w:ilvl w:val="0"/>
          <w:numId w:val="85"/>
        </w:numPr>
      </w:pPr>
      <w:r>
        <w:rPr>
          <w:b/>
          <w:bCs/>
          <w:rStyle w:val="Normal"/>
        </w:rPr>
        <w:t xml:space="preserve">Deepfake Response SOP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4DD9AB0" wp14:textId="77777777">
        <w:tc>
          <w:tcPr>
            <w:vAlign w:val="center"/>
          </w:tcPr>
          <w:p w14:paraId="0E8EB6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Define detection, verification, and public response (watermarked debunk, expert quotes). Include criteria for when to ignore to avoid amplification.</w:t>
            </w:r>
          </w:p>
        </w:tc>
      </w:tr>
    </w:tbl>
    <w:p xmlns:wp14="http://schemas.microsoft.com/office/word/2010/wordml" w14:paraId="13101EFC" wp14:textId="77777777">
      <w:pPr>
        <w:pStyle w:val="ListParagraph"/>
        <w:numPr>
          <w:ilvl w:val="0"/>
          <w:numId w:val="86"/>
        </w:numPr>
      </w:pPr>
      <w:r>
        <w:rPr>
          <w:b/>
          <w:bCs/>
          <w:rStyle w:val="Normal"/>
        </w:rPr>
        <w:t xml:space="preserve">One‑Voice Protocol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885EFB" wp14:textId="77777777">
        <w:tc>
          <w:tcPr>
            <w:vAlign w:val="center"/>
          </w:tcPr>
          <w:p w14:paraId="4BBD98F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 one‑voice principle: who speaks, surrogate alignment, and holding lines. Provide a 10‑item checklist for pre‑briefing surrogates.</w:t>
            </w:r>
          </w:p>
        </w:tc>
      </w:tr>
    </w:tbl>
    <w:p xmlns:wp14="http://schemas.microsoft.com/office/word/2010/wordml" w14:paraId="25E33C33" wp14:textId="77777777">
      <w:pPr>
        <w:pStyle w:val="ListParagraph"/>
        <w:numPr>
          <w:ilvl w:val="0"/>
          <w:numId w:val="87"/>
        </w:numPr>
      </w:pPr>
      <w:r>
        <w:rPr>
          <w:b/>
          <w:bCs/>
          <w:rStyle w:val="Normal"/>
        </w:rPr>
        <w:t xml:space="preserve">Rapid Myth‑Buster Cards (Few‑Shot CoT)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751FEAD" wp14:textId="77777777">
        <w:tc>
          <w:tcPr>
            <w:vAlign w:val="center"/>
          </w:tcPr>
          <w:p w14:paraId="38D0313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Given [3 myths], generate three-card debunks (claim → fact → source). Keep language neutral, cite verifiable sources, and propose distribution cadence.</w:t>
            </w:r>
          </w:p>
        </w:tc>
      </w:tr>
    </w:tbl>
    <w:p xmlns:wp14="http://schemas.microsoft.com/office/word/2010/wordml" w14:paraId="4C156441" wp14:textId="77777777">
      <w:pPr>
        <w:pStyle w:val="ListParagraph"/>
        <w:numPr>
          <w:ilvl w:val="0"/>
          <w:numId w:val="88"/>
        </w:numPr>
      </w:pPr>
      <w:r>
        <w:rPr>
          <w:b/>
          <w:bCs/>
          <w:rStyle w:val="Normal"/>
        </w:rPr>
        <w:t xml:space="preserve">Hotline/Helpdesk Scripts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C0A469D" wp14:textId="77777777">
        <w:tc>
          <w:tcPr>
            <w:vAlign w:val="center"/>
          </w:tcPr>
          <w:p w14:paraId="358111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Write scripts for a citizen hotline during crises: greeting, information capture, response, escalation, and wrap. Include 3 tricky scenarios.</w:t>
            </w:r>
          </w:p>
        </w:tc>
      </w:tr>
    </w:tbl>
    <w:p xmlns:wp14="http://schemas.microsoft.com/office/word/2010/wordml" w14:paraId="7D214B0C" wp14:textId="77777777">
      <w:pPr>
        <w:pStyle w:val="ListParagraph"/>
        <w:numPr>
          <w:ilvl w:val="0"/>
          <w:numId w:val="89"/>
        </w:numPr>
      </w:pPr>
      <w:r>
        <w:rPr>
          <w:b/>
          <w:bCs/>
          <w:rStyle w:val="Normal"/>
        </w:rPr>
        <w:t xml:space="preserve">Media Blackout Decision Tree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8E2E2BA" wp14:textId="77777777">
        <w:tc>
          <w:tcPr>
            <w:vAlign w:val="center"/>
          </w:tcPr>
          <w:p w14:paraId="3792D5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decision tree for when not to amplify sensitive items; include criteria, approvals, and post‑event transparency notes.</w:t>
            </w:r>
          </w:p>
        </w:tc>
      </w:tr>
    </w:tbl>
    <w:p xmlns:wp14="http://schemas.microsoft.com/office/word/2010/wordml" w14:paraId="1029828E" wp14:textId="77777777">
      <w:pPr>
        <w:pStyle w:val="ListParagraph"/>
        <w:numPr>
          <w:ilvl w:val="0"/>
          <w:numId w:val="90"/>
        </w:numPr>
      </w:pPr>
      <w:r>
        <w:rPr>
          <w:b/>
          <w:bCs/>
          <w:rStyle w:val="Normal"/>
        </w:rPr>
        <w:t xml:space="preserve">Post‑Incident After‑Action Review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28ED9B1" wp14:textId="77777777">
        <w:tc>
          <w:tcPr>
            <w:vAlign w:val="center"/>
          </w:tcPr>
          <w:p w14:paraId="5AF7D17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an AAR template: what happened, what worked, what didn’t, metrics, and improvements. Include a 30‑day follow‑up loop.</w:t>
            </w:r>
          </w:p>
        </w:tc>
      </w:tr>
    </w:tbl>
    <w:p xmlns:wp14="http://schemas.microsoft.com/office/word/2010/wordml" w14:paraId="50B5FF2D" wp14:textId="77777777">
      <w:pPr>
        <w:pStyle w:val="ListParagraph"/>
        <w:numPr>
          <w:ilvl w:val="0"/>
          <w:numId w:val="91"/>
        </w:numPr>
      </w:pPr>
      <w:r>
        <w:rPr>
          <w:b/>
          <w:bCs/>
          <w:rStyle w:val="Normal"/>
        </w:rPr>
        <w:t xml:space="preserve">Cross‑Platform Synchronization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4C873C1" wp14:textId="77777777">
        <w:tc>
          <w:tcPr>
            <w:vAlign w:val="center"/>
          </w:tcPr>
          <w:p w14:paraId="496A70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Set rules for synchronized updates across TV/radio/digital: timestamps, content parity, and correction propagation.</w:t>
            </w:r>
          </w:p>
        </w:tc>
      </w:tr>
    </w:tbl>
    <w:p xmlns:wp14="http://schemas.microsoft.com/office/word/2010/wordml" w14:paraId="12722E4C" wp14:textId="77777777">
      <w:pPr>
        <w:pStyle w:val="ListParagraph"/>
        <w:numPr>
          <w:ilvl w:val="0"/>
          <w:numId w:val="92"/>
        </w:numPr>
      </w:pPr>
      <w:r>
        <w:rPr>
          <w:b/>
          <w:bCs/>
          <w:rStyle w:val="Normal"/>
        </w:rPr>
        <w:t xml:space="preserve">Community Partner Network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E52A08F" wp14:textId="77777777">
        <w:tc>
          <w:tcPr>
            <w:vAlign w:val="center"/>
          </w:tcPr>
          <w:p w14:paraId="4878E8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a partner roster (civil society, academia, volunteers) to disseminate verified info. Include vetting and message packs.</w:t>
            </w:r>
          </w:p>
        </w:tc>
      </w:tr>
    </w:tbl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D5A06C" wp14:textId="77777777">
      <w:pPr>
        <w:pStyle w:val="Heading3"/>
      </w:pPr>
      <w:r>
        <w:rPr>
          <w:rStyle w:val="Normal"/>
        </w:rPr>
        <w:t xml:space="preserve">J) Data, Budgeting, Performance &amp; Governance (10)</w:t>
      </w:r>
    </w:p>
    <w:p xmlns:wp14="http://schemas.microsoft.com/office/word/2010/wordml" w14:paraId="718F3034" wp14:textId="77777777">
      <w:pPr>
        <w:pStyle w:val="ListParagraph"/>
        <w:numPr>
          <w:ilvl w:val="0"/>
          <w:numId w:val="93"/>
        </w:numPr>
      </w:pPr>
      <w:r>
        <w:rPr>
          <w:b/>
          <w:bCs/>
          <w:rStyle w:val="Normal"/>
        </w:rPr>
        <w:t xml:space="preserve">KPI Tree &amp; OKRs (Least‑to‑Most)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10236B" wp14:textId="77777777">
        <w:tc>
          <w:tcPr>
            <w:vAlign w:val="center"/>
          </w:tcPr>
          <w:p w14:paraId="7DBF0C7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Build a KPI tree from MoIB mission → program KPIs → operational metrics. Then set quarterly OKRs with data sources and owners.</w:t>
            </w:r>
          </w:p>
        </w:tc>
      </w:tr>
    </w:tbl>
    <w:p xmlns:wp14="http://schemas.microsoft.com/office/word/2010/wordml" w14:paraId="238698D9" wp14:textId="77777777">
      <w:pPr>
        <w:pStyle w:val="ListParagraph"/>
        <w:numPr>
          <w:ilvl w:val="0"/>
          <w:numId w:val="94"/>
        </w:numPr>
      </w:pPr>
      <w:r>
        <w:rPr>
          <w:b/>
          <w:bCs/>
          <w:rStyle w:val="Normal"/>
        </w:rPr>
        <w:t xml:space="preserve">Budget Prioritization Model (Self‑Consistency x3)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C5CA3BD" wp14:textId="77777777">
        <w:tc>
          <w:tcPr>
            <w:vAlign w:val="center"/>
          </w:tcPr>
          <w:p w14:paraId="041D859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Offer 3 budget splits across media, production, monitoring, and training. Pick the consensus and justify on value‑for‑money and reach equity.</w:t>
            </w:r>
          </w:p>
        </w:tc>
      </w:tr>
    </w:tbl>
    <w:p xmlns:wp14="http://schemas.microsoft.com/office/word/2010/wordml" w14:paraId="64B5762F" wp14:textId="77777777">
      <w:pPr>
        <w:pStyle w:val="ListParagraph"/>
        <w:numPr>
          <w:ilvl w:val="0"/>
          <w:numId w:val="95"/>
        </w:numPr>
      </w:pPr>
      <w:r>
        <w:rPr>
          <w:b/>
          <w:bCs/>
          <w:rStyle w:val="Normal"/>
        </w:rPr>
        <w:t xml:space="preserve">Performance Dashboard Spec (ReAct)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6CD5F54" wp14:textId="77777777">
        <w:tc>
          <w:tcPr>
            <w:vAlign w:val="center"/>
          </w:tcPr>
          <w:p w14:paraId="65AE07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Write a dashboard spec: data model, ETL cadence, QA checks, and red/amber/green thresholds. Include mock visuals and glossary.</w:t>
            </w:r>
          </w:p>
        </w:tc>
      </w:tr>
    </w:tbl>
    <w:p xmlns:wp14="http://schemas.microsoft.com/office/word/2010/wordml" w14:paraId="582F7781" wp14:textId="77777777">
      <w:pPr>
        <w:pStyle w:val="ListParagraph"/>
        <w:numPr>
          <w:ilvl w:val="0"/>
          <w:numId w:val="96"/>
        </w:numPr>
      </w:pPr>
      <w:r>
        <w:rPr>
          <w:b/>
          <w:bCs/>
          <w:rStyle w:val="Normal"/>
        </w:rPr>
        <w:t xml:space="preserve">Procurement &amp; PPRA Alignment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D83D1EF" wp14:textId="77777777">
        <w:tc>
          <w:tcPr>
            <w:vAlign w:val="center"/>
          </w:tcPr>
          <w:p w14:paraId="4D82A6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Summarize procurement touchpoints: SoW clarity, evaluation criteria, anti‑conflict rules, and post‑award governance. Provide a tender checklist.</w:t>
            </w:r>
          </w:p>
        </w:tc>
      </w:tr>
    </w:tbl>
    <w:p xmlns:wp14="http://schemas.microsoft.com/office/word/2010/wordml" w14:paraId="5A76F0C9" wp14:textId="77777777">
      <w:pPr>
        <w:pStyle w:val="ListParagraph"/>
        <w:numPr>
          <w:ilvl w:val="0"/>
          <w:numId w:val="97"/>
        </w:numPr>
      </w:pPr>
      <w:r>
        <w:rPr>
          <w:b/>
          <w:bCs/>
          <w:rStyle w:val="Normal"/>
        </w:rPr>
        <w:t xml:space="preserve">Data Protection &amp; Privacy Notes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4A4365C" wp14:textId="77777777">
        <w:tc>
          <w:tcPr>
            <w:vAlign w:val="center"/>
          </w:tcPr>
          <w:p w14:paraId="590CF56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data minimization and retention rules for citizen interactions, analytics, and social monitoring. Include consent language templates.</w:t>
            </w:r>
          </w:p>
        </w:tc>
      </w:tr>
    </w:tbl>
    <w:p xmlns:wp14="http://schemas.microsoft.com/office/word/2010/wordml" w14:paraId="19457D07" wp14:textId="77777777">
      <w:pPr>
        <w:pStyle w:val="ListParagraph"/>
        <w:numPr>
          <w:ilvl w:val="0"/>
          <w:numId w:val="98"/>
        </w:numPr>
      </w:pPr>
      <w:r>
        <w:rPr>
          <w:b/>
          <w:bCs/>
          <w:rStyle w:val="Normal"/>
        </w:rPr>
        <w:t xml:space="preserve">Staffing &amp; Skills Matrix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0A54E0" wp14:textId="77777777">
        <w:tc>
          <w:tcPr>
            <w:vAlign w:val="center"/>
          </w:tcPr>
          <w:p w14:paraId="023169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Create a skills matrix for PID/DEMP/DCD/EP Wing teams (editorial, data, creative, legal). Recommend training paths and hiring priorities.</w:t>
            </w:r>
          </w:p>
        </w:tc>
      </w:tr>
    </w:tbl>
    <w:p xmlns:wp14="http://schemas.microsoft.com/office/word/2010/wordml" w14:paraId="4AD09628" wp14:textId="77777777">
      <w:pPr>
        <w:pStyle w:val="ListParagraph"/>
        <w:numPr>
          <w:ilvl w:val="0"/>
          <w:numId w:val="99"/>
        </w:numPr>
      </w:pPr>
      <w:r>
        <w:rPr>
          <w:b/>
          <w:bCs/>
          <w:rStyle w:val="Normal"/>
        </w:rPr>
        <w:t xml:space="preserve">Quarterly Review Pack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F814F21" wp14:textId="77777777">
        <w:tc>
          <w:tcPr>
            <w:vAlign w:val="center"/>
          </w:tcPr>
          <w:p w14:paraId="6300194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Design a review template: KPI progress, risks, budget burn, learnings, and next‑quarter plan. Include a “stop/continue/start” decision section.</w:t>
            </w:r>
          </w:p>
        </w:tc>
      </w:tr>
    </w:tbl>
    <w:p xmlns:wp14="http://schemas.microsoft.com/office/word/2010/wordml" w14:paraId="3EA44202" wp14:textId="77777777">
      <w:pPr>
        <w:pStyle w:val="ListParagraph"/>
        <w:numPr>
          <w:ilvl w:val="0"/>
          <w:numId w:val="100"/>
        </w:numPr>
      </w:pPr>
      <w:r>
        <w:rPr>
          <w:b/>
          <w:bCs/>
          <w:rStyle w:val="Normal"/>
        </w:rPr>
        <w:t xml:space="preserve">Vendor Performance Scorecard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82C90E2" wp14:textId="77777777">
        <w:tc>
          <w:tcPr>
            <w:vAlign w:val="center"/>
          </w:tcPr>
          <w:p w14:paraId="5806F9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Propose vendor metrics (timeliness, quality, compliance, auditability). Include a scoring rubric and renewal/exit rules.</w:t>
            </w:r>
          </w:p>
        </w:tc>
      </w:tr>
    </w:tbl>
    <w:p xmlns:wp14="http://schemas.microsoft.com/office/word/2010/wordml" w14:paraId="11FF31C8" wp14:textId="77777777">
      <w:pPr>
        <w:pStyle w:val="ListParagraph"/>
        <w:numPr>
          <w:ilvl w:val="0"/>
          <w:numId w:val="101"/>
        </w:numPr>
      </w:pPr>
      <w:r>
        <w:rPr>
          <w:b/>
          <w:bCs/>
          <w:rStyle w:val="Normal"/>
        </w:rPr>
        <w:t xml:space="preserve">Ethical AI Usage Charter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7A17807" wp14:textId="77777777">
        <w:tc>
          <w:tcPr>
            <w:vAlign w:val="center"/>
          </w:tcPr>
          <w:p w14:paraId="23EBF5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Draft an AI usage charter for content/monitoring: fairness, transparency, human oversight, and appeal routes. Provide a model disclosure note for outputs.</w:t>
            </w:r>
          </w:p>
        </w:tc>
      </w:tr>
    </w:tbl>
    <w:p xmlns:wp14="http://schemas.microsoft.com/office/word/2010/wordml" w14:paraId="7AFB1829" wp14:textId="77777777">
      <w:pPr>
        <w:pStyle w:val="ListParagraph"/>
        <w:numPr>
          <w:ilvl w:val="0"/>
          <w:numId w:val="102"/>
        </w:numPr>
      </w:pPr>
      <w:r>
        <w:rPr>
          <w:b/>
          <w:bCs/>
          <w:rStyle w:val="Normal"/>
        </w:rPr>
        <w:t xml:space="preserve">Capability Maturity Model (Skeleton → Expand)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586DC8A" wp14:textId="77777777">
        <w:tc>
          <w:tcPr>
            <w:vAlign w:val="center"/>
          </w:tcPr>
          <w:p w14:paraId="014F79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Outline a 5-level maturity model for MoIB comms &amp; monitoring (ad‑hoc → optimized). After approval, expand with diagnostics, target levels, and a 12‑month uplift roadmap.</w:t>
            </w:r>
          </w:p>
        </w:tc>
      </w:tr>
    </w:tbl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FA1655B" wp14:textId="77777777">
      <w:pPr>
        <w:pStyle w:val="Heading2"/>
      </w:pPr>
      <w:r>
        <w:rPr>
          <w:rStyle w:val="Normal"/>
        </w:rPr>
        <w:t xml:space="preserve">Quick Reference Sources (for the artefacts these prompts assume)</w:t>
      </w:r>
    </w:p>
    <w:p xmlns:wp14="http://schemas.microsoft.com/office/word/2010/wordml" w14:paraId="7CEF80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MoIB—overview &amp; departments:</w:t>
      </w:r>
      <w:r>
        <w:rPr>
          <w:rStyle w:val="Normal"/>
        </w:rPr>
        <w:t xml:space="preserve"> official portal (“The Ministry” page; departments list). </w:t>
      </w:r>
      <w:r>
        <w:rPr>
          <w:rStyle w:val="FootnoteReference"/>
        </w:rPr>
        <w:footnoteReference w:id="14"/>
      </w:r>
      <w:r>
        <w:t xml:space="preserve"> </w:t>
      </w:r>
      <w:r>
        <w:rPr>
          <w:rStyle w:val="FootnoteReference"/>
        </w:rPr>
        <w:footnoteReference w:id="15"/>
      </w:r>
    </w:p>
    <w:p xmlns:wp14="http://schemas.microsoft.com/office/word/2010/wordml" w14:paraId="6D736D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PID—mandate, press releases, ads:</w:t>
      </w:r>
      <w:r>
        <w:rPr>
          <w:rStyle w:val="Normal"/>
        </w:rPr>
        <w:t xml:space="preserve"> official PID pages &amp; announcements.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 xmlns:wp14="http://schemas.microsoft.com/office/word/2010/wordml" w14:paraId="01D76D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DEMP—functions &amp; AI‑enabled monitoring (Central Monitoring Unit):</w:t>
      </w:r>
      <w:r>
        <w:rPr>
          <w:rStyle w:val="Normal"/>
        </w:rPr>
        <w:t xml:space="preserve"> DEMP site and MoIB’s DEMP page.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 xmlns:wp14="http://schemas.microsoft.com/office/word/2010/wordml" w14:paraId="1B87F5D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DCD (ex‑Cyber Wing):</w:t>
      </w:r>
      <w:r>
        <w:rPr>
          <w:rStyle w:val="Normal"/>
        </w:rPr>
        <w:t xml:space="preserve"> MoIB page with functions (monitoring, fake‑news buster, e‑office). </w:t>
      </w:r>
      <w:r>
        <w:rPr>
          <w:rStyle w:val="FootnoteReference"/>
        </w:rPr>
        <w:footnoteReference w:id="20"/>
      </w:r>
    </w:p>
    <w:p xmlns:wp14="http://schemas.microsoft.com/office/word/2010/wordml" w14:paraId="5BA1090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EP Wing—mandate &amp; contact:</w:t>
      </w:r>
      <w:r>
        <w:rPr>
          <w:rStyle w:val="Normal"/>
        </w:rPr>
        <w:t xml:space="preserve"> MoIB EP Wing pages. </w:t>
      </w:r>
      <w:r>
        <w:rPr>
          <w:rStyle w:val="FootnoteReference"/>
        </w:rPr>
        <w:footnoteReference w:id="21"/>
      </w:r>
      <w:r>
        <w:t xml:space="preserve"> </w:t>
      </w:r>
      <w:r>
        <w:rPr>
          <w:rStyle w:val="FootnoteReference"/>
        </w:rPr>
        <w:footnoteReference w:id="22"/>
      </w:r>
    </w:p>
    <w:p xmlns:wp14="http://schemas.microsoft.com/office/word/2010/wordml" w14:paraId="24BB20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ABC—mandate &amp; SOPs:</w:t>
      </w:r>
      <w:r>
        <w:rPr>
          <w:rStyle w:val="Normal"/>
        </w:rPr>
        <w:t xml:space="preserve"> Audit Bureau of Circulation site and overview. </w:t>
      </w:r>
      <w:r>
        <w:rPr>
          <w:rStyle w:val="FootnoteReference"/>
        </w:rPr>
        <w:footnoteReference w:id="23"/>
      </w:r>
      <w:r>
        <w:t xml:space="preserve"> </w:t>
      </w:r>
      <w:r>
        <w:rPr>
          <w:rStyle w:val="FootnoteReference"/>
        </w:rPr>
        <w:footnoteReference w:id="24"/>
      </w:r>
    </w:p>
    <w:p xmlns:wp14="http://schemas.microsoft.com/office/word/2010/wordml" w14:paraId="4F31777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PEMRA—ordinance, amendment, regulations:</w:t>
      </w:r>
      <w:r>
        <w:rPr>
          <w:rStyle w:val="Normal"/>
        </w:rPr>
        <w:t xml:space="preserve"> PEMRA site, Ordinance 2002, 2023 Amendment, and regs. </w:t>
      </w:r>
      <w:r>
        <w:rPr>
          <w:rStyle w:val="FootnoteReference"/>
        </w:rPr>
        <w:footnoteReference w:id="25"/>
      </w:r>
      <w:r>
        <w:t xml:space="preserve"> </w:t>
      </w:r>
      <w:r>
        <w:rPr>
          <w:rStyle w:val="FootnoteReference"/>
        </w:rPr>
        <w:footnoteReference w:id="26"/>
      </w:r>
      <w:r>
        <w:t xml:space="preserve"> </w:t>
      </w:r>
      <w:r>
        <w:rPr>
          <w:rStyle w:val="FootnoteReference"/>
        </w:rPr>
        <w:footnoteReference w:id="27"/>
      </w:r>
      <w:r>
        <w:t xml:space="preserve"> </w:t>
      </w:r>
      <w:r>
        <w:rPr>
          <w:rStyle w:val="FootnoteReference"/>
        </w:rPr>
        <w:footnoteReference w:id="28"/>
      </w:r>
    </w:p>
    <w:p xmlns:wp14="http://schemas.microsoft.com/office/word/2010/wordml" w14:paraId="278268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Right of Access to Information Act, 2017:</w:t>
      </w:r>
      <w:r>
        <w:rPr>
          <w:rStyle w:val="Normal"/>
        </w:rPr>
        <w:t xml:space="preserve"> authenticated copies (Pakistan Code / MoIB/PIC mirrors). </w:t>
      </w:r>
      <w:r>
        <w:rPr>
          <w:rStyle w:val="FootnoteReference"/>
        </w:rPr>
        <w:footnoteReference w:id="29"/>
      </w:r>
      <w:r>
        <w:t xml:space="preserve"> </w:t>
      </w:r>
      <w:r>
        <w:rPr>
          <w:rStyle w:val="FootnoteReference"/>
        </w:rPr>
        <w:footnoteReference w:id="30"/>
      </w:r>
    </w:p>
    <w:p xmlns:wp14="http://schemas.microsoft.com/office/word/2010/wordml" w14:paraId="0B37BE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3"/>
        </w:numPr>
      </w:pPr>
      <w:r>
        <w:rPr>
          <w:b/>
          <w:bCs/>
          <w:rStyle w:val="Normal"/>
        </w:rPr>
        <w:t xml:space="preserve">MoIB Advertisement Policy 2021 (amended 2022):</w:t>
      </w:r>
      <w:r>
        <w:rPr>
          <w:rStyle w:val="Normal"/>
        </w:rPr>
        <w:t xml:space="preserve"> PID/MoIB copies. </w:t>
      </w:r>
      <w:r>
        <w:rPr>
          <w:rStyle w:val="FootnoteReference"/>
        </w:rPr>
        <w:footnoteReference w:id="31"/>
      </w:r>
      <w:r>
        <w:t xml:space="preserve"> </w:t>
      </w:r>
      <w:r>
        <w:rPr>
          <w:rStyle w:val="FootnoteReference"/>
        </w:rPr>
        <w:footnoteReference w:id="32"/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:rsidP="3ED22266" w14:paraId="7DF901B0" wp14:textId="4EBB6CC5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1">
    <w:p xmlns:wp14="http://schemas.microsoft.com/office/word/2010/wordml" w14:paraId="132F1484" wp14:textId="77777777">
      <w:r>
        <w:rPr>
          <w:rStyle w:val="FootnoteReference"/>
        </w:rPr>
        <w:footnoteRef/>
      </w:r>
      <w:hyperlink w:history="1" r:id="rIdopctusjaswljupylkzqa-">
        <w:r>
          <w:rPr>
            <w:rStyle w:val="Hyperlink"/>
          </w:rPr>
          <w:t xml:space="preserve">https://www.moib.gov.pk/Pages/132/The-Ministry</w:t>
        </w:r>
      </w:hyperlink>
    </w:p>
  </w:footnote>
  <w:footnote w:id="2">
    <w:p xmlns:wp14="http://schemas.microsoft.com/office/word/2010/wordml" w14:paraId="16F7D8A6" wp14:textId="77777777">
      <w:r>
        <w:rPr>
          <w:rStyle w:val="FootnoteReference"/>
        </w:rPr>
        <w:footnoteRef/>
      </w:r>
      <w:hyperlink w:history="1" r:id="rIdmepneahf-wx1bk2e7wpmm">
        <w:r>
          <w:rPr>
            <w:rStyle w:val="Hyperlink"/>
          </w:rPr>
          <w:t xml:space="preserve">https://www.moib.gov.pk/</w:t>
        </w:r>
      </w:hyperlink>
    </w:p>
  </w:footnote>
  <w:footnote w:id="3">
    <w:p xmlns:wp14="http://schemas.microsoft.com/office/word/2010/wordml" w14:paraId="1AC67F97" wp14:textId="77777777">
      <w:r>
        <w:rPr>
          <w:rStyle w:val="FootnoteReference"/>
        </w:rPr>
        <w:footnoteRef/>
      </w:r>
      <w:hyperlink w:history="1" r:id="rIdtxih9yikrfddgdx0k4nlk">
        <w:r>
          <w:rPr>
            <w:rStyle w:val="Hyperlink"/>
          </w:rPr>
          <w:t xml:space="preserve">https://www.moib.gov.pk/Pages/170/PID</w:t>
        </w:r>
      </w:hyperlink>
    </w:p>
  </w:footnote>
  <w:footnote w:id="4">
    <w:p xmlns:wp14="http://schemas.microsoft.com/office/word/2010/wordml" w14:paraId="569C751A" wp14:textId="77777777">
      <w:r>
        <w:rPr>
          <w:rStyle w:val="FootnoteReference"/>
        </w:rPr>
        <w:footnoteRef/>
      </w:r>
      <w:hyperlink w:history="1" r:id="rId1rcteikx0prew6cfwxxwu">
        <w:r>
          <w:rPr>
            <w:rStyle w:val="Hyperlink"/>
          </w:rPr>
          <w:t xml:space="preserve">https://demp.gov.pk/</w:t>
        </w:r>
      </w:hyperlink>
    </w:p>
  </w:footnote>
  <w:footnote w:id="5">
    <w:p xmlns:wp14="http://schemas.microsoft.com/office/word/2010/wordml" w14:paraId="648189C6" wp14:textId="77777777">
      <w:r>
        <w:rPr>
          <w:rStyle w:val="FootnoteReference"/>
        </w:rPr>
        <w:footnoteRef/>
      </w:r>
      <w:hyperlink w:history="1" r:id="rIdr3x4tvuthemgomjuzbzet">
        <w:r>
          <w:rPr>
            <w:rStyle w:val="Hyperlink"/>
          </w:rPr>
          <w:t xml:space="preserve">https://www.moib.gov.pk/Pages/163/CW</w:t>
        </w:r>
      </w:hyperlink>
    </w:p>
  </w:footnote>
  <w:footnote w:id="6">
    <w:p xmlns:wp14="http://schemas.microsoft.com/office/word/2010/wordml" w14:paraId="699B4A46" wp14:textId="77777777">
      <w:r>
        <w:rPr>
          <w:rStyle w:val="FootnoteReference"/>
        </w:rPr>
        <w:footnoteRef/>
      </w:r>
      <w:hyperlink w:history="1" r:id="rIdimo_xohlel2nanodel8v6">
        <w:r>
          <w:rPr>
            <w:rStyle w:val="Hyperlink"/>
          </w:rPr>
          <w:t xml:space="preserve">https://moib.gov.pk/Pages/164/EPW</w:t>
        </w:r>
      </w:hyperlink>
    </w:p>
  </w:footnote>
  <w:footnote w:id="7">
    <w:p xmlns:wp14="http://schemas.microsoft.com/office/word/2010/wordml" w14:paraId="39E58037" wp14:textId="77777777">
      <w:r>
        <w:rPr>
          <w:rStyle w:val="FootnoteReference"/>
        </w:rPr>
        <w:footnoteRef/>
      </w:r>
      <w:hyperlink w:history="1" r:id="rIdj6miz5sc8tvufldzvs2ty">
        <w:r>
          <w:rPr>
            <w:rStyle w:val="Hyperlink"/>
          </w:rPr>
          <w:t xml:space="preserve">https://www.abc.gov.pk/</w:t>
        </w:r>
      </w:hyperlink>
    </w:p>
  </w:footnote>
  <w:footnote w:id="8">
    <w:p xmlns:wp14="http://schemas.microsoft.com/office/word/2010/wordml" w14:paraId="5105EC95" wp14:textId="77777777">
      <w:r>
        <w:rPr>
          <w:rStyle w:val="FootnoteReference"/>
        </w:rPr>
        <w:footnoteRef/>
      </w:r>
      <w:hyperlink w:history="1" r:id="rIdclijjtuu8wdfowm12c-bf">
        <w:r>
          <w:rPr>
            <w:rStyle w:val="Hyperlink"/>
          </w:rPr>
          <w:t xml:space="preserve">https://www.pemra.gov.pk/assets/uploads/legal/Ordinance_2002.pdf</w:t>
        </w:r>
      </w:hyperlink>
    </w:p>
  </w:footnote>
  <w:footnote w:id="9">
    <w:p xmlns:wp14="http://schemas.microsoft.com/office/word/2010/wordml" w14:paraId="268151BC" wp14:textId="77777777">
      <w:r>
        <w:rPr>
          <w:rStyle w:val="FootnoteReference"/>
        </w:rPr>
        <w:footnoteRef/>
      </w:r>
      <w:hyperlink w:history="1" r:id="rIdwdqj0lpd8ijmee5y_a4uq">
        <w:r>
          <w:rPr>
            <w:rStyle w:val="Hyperlink"/>
          </w:rPr>
          <w:t xml:space="preserve">https://www.pemra.gov.pk/assets/uploads/legal/PEMRA_Amendment_Act_2023.pdf</w:t>
        </w:r>
      </w:hyperlink>
    </w:p>
  </w:footnote>
  <w:footnote w:id="10">
    <w:p xmlns:wp14="http://schemas.microsoft.com/office/word/2010/wordml" w14:paraId="53EE94BA" wp14:textId="77777777">
      <w:r>
        <w:rPr>
          <w:rStyle w:val="FootnoteReference"/>
        </w:rPr>
        <w:footnoteRef/>
      </w:r>
      <w:hyperlink w:history="1" r:id="rIdaayhcmjxhe5c8w30mlze8">
        <w:r>
          <w:rPr>
            <w:rStyle w:val="Hyperlink"/>
          </w:rPr>
          <w:t xml:space="preserve">https://www.pemra.gov.pk/regulations/</w:t>
        </w:r>
      </w:hyperlink>
    </w:p>
  </w:footnote>
  <w:footnote w:id="11">
    <w:p xmlns:wp14="http://schemas.microsoft.com/office/word/2010/wordml" w14:paraId="6D9C6FB2" wp14:textId="77777777">
      <w:r>
        <w:rPr>
          <w:rStyle w:val="FootnoteReference"/>
        </w:rPr>
        <w:footnoteRef/>
      </w:r>
      <w:hyperlink w:history="1" r:id="rIdt6hfyx1cqm6cyk1wpyxcm">
        <w:r>
          <w:rPr>
            <w:rStyle w:val="Hyperlink"/>
          </w:rPr>
          <w:t xml:space="preserve">https://pakistancode.gov.pk/pdffiles/administrator3599d65bc5ecb2dd1915d04c7db91e8f.pdf</w:t>
        </w:r>
      </w:hyperlink>
    </w:p>
  </w:footnote>
  <w:footnote w:id="12">
    <w:p xmlns:wp14="http://schemas.microsoft.com/office/word/2010/wordml" w14:paraId="1231EA5D" wp14:textId="77777777">
      <w:r>
        <w:rPr>
          <w:rStyle w:val="FootnoteReference"/>
        </w:rPr>
        <w:footnoteRef/>
      </w:r>
      <w:hyperlink w:history="1" r:id="rIdmuldm-gudvbfwvrs62e19">
        <w:r>
          <w:rPr>
            <w:rStyle w:val="Hyperlink"/>
          </w:rPr>
          <w:t xml:space="preserve">https://pid.gov.pk/uploads/Advt-Policy.pdf</w:t>
        </w:r>
      </w:hyperlink>
    </w:p>
  </w:footnote>
  <w:footnote w:id="13">
    <w:p xmlns:wp14="http://schemas.microsoft.com/office/word/2010/wordml" w14:paraId="6E2004EA" wp14:textId="77777777">
      <w:r>
        <w:rPr>
          <w:rStyle w:val="FootnoteReference"/>
        </w:rPr>
        <w:footnoteRef/>
      </w:r>
      <w:hyperlink w:history="1" r:id="rIdu_qkmnrw9yjo67dcydljt">
        <w:r>
          <w:rPr>
            <w:rStyle w:val="Hyperlink"/>
          </w:rPr>
          <w:t xml:space="preserve">https://moib.gov.pk/downloads/Approved-advertisement-Policy-2022.pdf</w:t>
        </w:r>
      </w:hyperlink>
    </w:p>
  </w:footnote>
  <w:footnote w:id="14">
    <w:p xmlns:wp14="http://schemas.microsoft.com/office/word/2010/wordml" w14:paraId="51C04F90" wp14:textId="77777777">
      <w:r>
        <w:rPr>
          <w:rStyle w:val="FootnoteReference"/>
        </w:rPr>
        <w:footnoteRef/>
      </w:r>
      <w:hyperlink w:history="1" r:id="rId8zcdcynxdec7i1hibuu3n">
        <w:r>
          <w:rPr>
            <w:rStyle w:val="Hyperlink"/>
          </w:rPr>
          <w:t xml:space="preserve">https://www.moib.gov.pk/Pages/132/The-Ministry</w:t>
        </w:r>
      </w:hyperlink>
    </w:p>
  </w:footnote>
  <w:footnote w:id="15">
    <w:p xmlns:wp14="http://schemas.microsoft.com/office/word/2010/wordml" w14:paraId="50CA5010" wp14:textId="77777777">
      <w:r>
        <w:rPr>
          <w:rStyle w:val="FootnoteReference"/>
        </w:rPr>
        <w:footnoteRef/>
      </w:r>
      <w:hyperlink w:history="1" r:id="rIdaiv9hjmodgdunul7uvyk3">
        <w:r>
          <w:rPr>
            <w:rStyle w:val="Hyperlink"/>
          </w:rPr>
          <w:t xml:space="preserve">https://www.moib.gov.pk/</w:t>
        </w:r>
      </w:hyperlink>
    </w:p>
  </w:footnote>
  <w:footnote w:id="16">
    <w:p xmlns:wp14="http://schemas.microsoft.com/office/word/2010/wordml" w14:paraId="64FBE945" wp14:textId="77777777">
      <w:r>
        <w:rPr>
          <w:rStyle w:val="FootnoteReference"/>
        </w:rPr>
        <w:footnoteRef/>
      </w:r>
      <w:hyperlink w:history="1" r:id="rId3adpbn2gjjop028uxxloy">
        <w:r>
          <w:rPr>
            <w:rStyle w:val="Hyperlink"/>
          </w:rPr>
          <w:t xml:space="preserve">https://www.pid.gov.pk/</w:t>
        </w:r>
      </w:hyperlink>
    </w:p>
  </w:footnote>
  <w:footnote w:id="17">
    <w:p xmlns:wp14="http://schemas.microsoft.com/office/word/2010/wordml" w14:paraId="08FE13D5" wp14:textId="77777777">
      <w:r>
        <w:rPr>
          <w:rStyle w:val="FootnoteReference"/>
        </w:rPr>
        <w:footnoteRef/>
      </w:r>
      <w:hyperlink w:history="1" r:id="rId19qe5xxofrvgdwrqe90s-">
        <w:r>
          <w:rPr>
            <w:rStyle w:val="Hyperlink"/>
          </w:rPr>
          <w:t xml:space="preserve">https://pid.gov.pk/advertisement</w:t>
        </w:r>
      </w:hyperlink>
    </w:p>
  </w:footnote>
  <w:footnote w:id="18">
    <w:p xmlns:wp14="http://schemas.microsoft.com/office/word/2010/wordml" w14:paraId="305F928C" wp14:textId="77777777">
      <w:r>
        <w:rPr>
          <w:rStyle w:val="FootnoteReference"/>
        </w:rPr>
        <w:footnoteRef/>
      </w:r>
      <w:hyperlink w:history="1" r:id="rIdxd0z-nschqp-n-zdvbvz7">
        <w:r>
          <w:rPr>
            <w:rStyle w:val="Hyperlink"/>
          </w:rPr>
          <w:t xml:space="preserve">https://demp.gov.pk/</w:t>
        </w:r>
      </w:hyperlink>
    </w:p>
  </w:footnote>
  <w:footnote w:id="19">
    <w:p xmlns:wp14="http://schemas.microsoft.com/office/word/2010/wordml" w14:paraId="7924EF97" wp14:textId="77777777">
      <w:r>
        <w:rPr>
          <w:rStyle w:val="FootnoteReference"/>
        </w:rPr>
        <w:footnoteRef/>
      </w:r>
      <w:hyperlink w:history="1" r:id="rIdtq5zhtys7d1tveiygoob6">
        <w:r>
          <w:rPr>
            <w:rStyle w:val="Hyperlink"/>
          </w:rPr>
          <w:t xml:space="preserve">https://moib.gov.pk/Pages/173/DEMP</w:t>
        </w:r>
      </w:hyperlink>
    </w:p>
  </w:footnote>
  <w:footnote w:id="20">
    <w:p xmlns:wp14="http://schemas.microsoft.com/office/word/2010/wordml" w14:paraId="1F45F84A" wp14:textId="77777777">
      <w:r>
        <w:rPr>
          <w:rStyle w:val="FootnoteReference"/>
        </w:rPr>
        <w:footnoteRef/>
      </w:r>
      <w:hyperlink w:history="1" r:id="rIdjiklwrzyhyr9yi_w4owkg">
        <w:r>
          <w:rPr>
            <w:rStyle w:val="Hyperlink"/>
          </w:rPr>
          <w:t xml:space="preserve">https://www.moib.gov.pk/Pages/163/CW</w:t>
        </w:r>
      </w:hyperlink>
    </w:p>
  </w:footnote>
  <w:footnote w:id="21">
    <w:p xmlns:wp14="http://schemas.microsoft.com/office/word/2010/wordml" w14:paraId="646DC72E" wp14:textId="77777777">
      <w:r>
        <w:rPr>
          <w:rStyle w:val="FootnoteReference"/>
        </w:rPr>
        <w:footnoteRef/>
      </w:r>
      <w:hyperlink w:history="1" r:id="rIdvosbqolg8ptkvc_dcekzo">
        <w:r>
          <w:rPr>
            <w:rStyle w:val="Hyperlink"/>
          </w:rPr>
          <w:t xml:space="preserve">https://moib.gov.pk/Pages/164/EPW</w:t>
        </w:r>
      </w:hyperlink>
    </w:p>
  </w:footnote>
  <w:footnote w:id="22">
    <w:p xmlns:wp14="http://schemas.microsoft.com/office/word/2010/wordml" w14:paraId="1DC6E50A" wp14:textId="77777777">
      <w:r>
        <w:rPr>
          <w:rStyle w:val="FootnoteReference"/>
        </w:rPr>
        <w:footnoteRef/>
      </w:r>
      <w:hyperlink w:history="1" r:id="rIdhvxt3yh5aymy2xhplycwd">
        <w:r>
          <w:rPr>
            <w:rStyle w:val="Hyperlink"/>
          </w:rPr>
          <w:t xml:space="preserve">https://epwing.gov.pk/</w:t>
        </w:r>
      </w:hyperlink>
    </w:p>
  </w:footnote>
  <w:footnote w:id="23">
    <w:p xmlns:wp14="http://schemas.microsoft.com/office/word/2010/wordml" w14:paraId="066B7791" wp14:textId="77777777">
      <w:r>
        <w:rPr>
          <w:rStyle w:val="FootnoteReference"/>
        </w:rPr>
        <w:footnoteRef/>
      </w:r>
      <w:hyperlink w:history="1" r:id="rIdrvwsfz-zgyaj7h95-anqm">
        <w:r>
          <w:rPr>
            <w:rStyle w:val="Hyperlink"/>
          </w:rPr>
          <w:t xml:space="preserve">https://www.abc.gov.pk/</w:t>
        </w:r>
      </w:hyperlink>
    </w:p>
  </w:footnote>
  <w:footnote w:id="24">
    <w:p xmlns:wp14="http://schemas.microsoft.com/office/word/2010/wordml" w14:paraId="0A6DE2DC" wp14:textId="77777777">
      <w:r>
        <w:rPr>
          <w:rStyle w:val="FootnoteReference"/>
        </w:rPr>
        <w:footnoteRef/>
      </w:r>
      <w:hyperlink w:history="1" r:id="rIdas4lw2kqtyszsu5eftxxa">
        <w:r>
          <w:rPr>
            <w:rStyle w:val="Hyperlink"/>
          </w:rPr>
          <w:t xml:space="preserve">https://www.abc.gov.pk/Overview</w:t>
        </w:r>
      </w:hyperlink>
    </w:p>
  </w:footnote>
  <w:footnote w:id="25">
    <w:p xmlns:wp14="http://schemas.microsoft.com/office/word/2010/wordml" w14:paraId="399FDC1A" wp14:textId="77777777">
      <w:r>
        <w:rPr>
          <w:rStyle w:val="FootnoteReference"/>
        </w:rPr>
        <w:footnoteRef/>
      </w:r>
      <w:hyperlink w:history="1" r:id="rId9zd8d3vwalcokgygj2k0u">
        <w:r>
          <w:rPr>
            <w:rStyle w:val="Hyperlink"/>
          </w:rPr>
          <w:t xml:space="preserve">https://pemra.gov.pk/</w:t>
        </w:r>
      </w:hyperlink>
    </w:p>
  </w:footnote>
  <w:footnote w:id="26">
    <w:p xmlns:wp14="http://schemas.microsoft.com/office/word/2010/wordml" w14:paraId="0289FDE8" wp14:textId="77777777">
      <w:r>
        <w:rPr>
          <w:rStyle w:val="FootnoteReference"/>
        </w:rPr>
        <w:footnoteRef/>
      </w:r>
      <w:hyperlink w:history="1" r:id="rIdxmhzs_rbr7pr7nlozrn3p">
        <w:r>
          <w:rPr>
            <w:rStyle w:val="Hyperlink"/>
          </w:rPr>
          <w:t xml:space="preserve">https://www.pemra.gov.pk/assets/uploads/legal/Ordinance_2002.pdf</w:t>
        </w:r>
      </w:hyperlink>
    </w:p>
  </w:footnote>
  <w:footnote w:id="27">
    <w:p xmlns:wp14="http://schemas.microsoft.com/office/word/2010/wordml" w14:paraId="5B981355" wp14:textId="77777777">
      <w:r>
        <w:rPr>
          <w:rStyle w:val="FootnoteReference"/>
        </w:rPr>
        <w:footnoteRef/>
      </w:r>
      <w:hyperlink w:history="1" r:id="rId1z512tolfpnxjs-vsm1-v">
        <w:r>
          <w:rPr>
            <w:rStyle w:val="Hyperlink"/>
          </w:rPr>
          <w:t xml:space="preserve">https://www.pemra.gov.pk/assets/uploads/legal/PEMRA_Amendment_Act_2023.pdf</w:t>
        </w:r>
      </w:hyperlink>
    </w:p>
  </w:footnote>
  <w:footnote w:id="28">
    <w:p xmlns:wp14="http://schemas.microsoft.com/office/word/2010/wordml" w14:paraId="37694556" wp14:textId="77777777">
      <w:r>
        <w:rPr>
          <w:rStyle w:val="FootnoteReference"/>
        </w:rPr>
        <w:footnoteRef/>
      </w:r>
      <w:hyperlink w:history="1" r:id="rIdd_dg0ghopedpoq4bhqyat">
        <w:r>
          <w:rPr>
            <w:rStyle w:val="Hyperlink"/>
          </w:rPr>
          <w:t xml:space="preserve">https://www.pemra.gov.pk/regulations/</w:t>
        </w:r>
      </w:hyperlink>
    </w:p>
  </w:footnote>
  <w:footnote w:id="29">
    <w:p xmlns:wp14="http://schemas.microsoft.com/office/word/2010/wordml" w14:paraId="416AC6DA" wp14:textId="77777777">
      <w:r>
        <w:rPr>
          <w:rStyle w:val="FootnoteReference"/>
        </w:rPr>
        <w:footnoteRef/>
      </w:r>
      <w:hyperlink w:history="1" r:id="rIduiqsi-ot54lgbbw1snypu">
        <w:r>
          <w:rPr>
            <w:rStyle w:val="Hyperlink"/>
          </w:rPr>
          <w:t xml:space="preserve">https://pakistancode.gov.pk/pdffiles/administrator3599d65bc5ecb2dd1915d04c7db91e8f.pdf</w:t>
        </w:r>
      </w:hyperlink>
    </w:p>
  </w:footnote>
  <w:footnote w:id="30">
    <w:p xmlns:wp14="http://schemas.microsoft.com/office/word/2010/wordml" w14:paraId="23784F2B" wp14:textId="77777777">
      <w:r>
        <w:rPr>
          <w:rStyle w:val="FootnoteReference"/>
        </w:rPr>
        <w:footnoteRef/>
      </w:r>
      <w:hyperlink w:history="1" r:id="rIdjclfmbe-fyufdgjzs5q7k">
        <w:r>
          <w:rPr>
            <w:rStyle w:val="Hyperlink"/>
          </w:rPr>
          <w:t xml:space="preserve">https://www.moib.gov.pk/Downloads/RTI/The-Right-of-Access-to-Information-Act-2017-Gazette.pdf</w:t>
        </w:r>
      </w:hyperlink>
    </w:p>
  </w:footnote>
  <w:footnote w:id="31">
    <w:p xmlns:wp14="http://schemas.microsoft.com/office/word/2010/wordml" w14:paraId="4AB2B727" wp14:textId="77777777">
      <w:r>
        <w:rPr>
          <w:rStyle w:val="FootnoteReference"/>
        </w:rPr>
        <w:footnoteRef/>
      </w:r>
      <w:hyperlink w:history="1" r:id="rId-nwl-0tfe9wvnpda3gcaz">
        <w:r>
          <w:rPr>
            <w:rStyle w:val="Hyperlink"/>
          </w:rPr>
          <w:t xml:space="preserve">https://pid.gov.pk/uploads/Advt-Policy.pdf</w:t>
        </w:r>
      </w:hyperlink>
    </w:p>
  </w:footnote>
  <w:footnote w:id="32">
    <w:p xmlns:wp14="http://schemas.microsoft.com/office/word/2010/wordml" w14:paraId="13E6F19A" wp14:textId="77777777">
      <w:r>
        <w:rPr>
          <w:rStyle w:val="FootnoteReference"/>
        </w:rPr>
        <w:footnoteRef/>
      </w:r>
      <w:hyperlink w:history="1" r:id="rIdshr_hdovusu5qnb1a6nss">
        <w:r>
          <w:rPr>
            <w:rStyle w:val="Hyperlink"/>
          </w:rPr>
          <w:t xml:space="preserve">https://moib.gov.pk/downloads/Approved-advertisement-Policy-2022.pdf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6b0c6c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f6d401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279ef5d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nsid w:val="65f04d0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nsid w:val="1aecb3d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nsid w:val="132f7b8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nsid w:val="3dd11c8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nsid w:val="74d6587b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" w15:restartNumberingAfterBreak="0">
    <w:nsid w:val="106adc3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nsid w:val="564f278b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nsid w:val="6adee05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2" w15:restartNumberingAfterBreak="0">
    <w:nsid w:val="6e44ee7b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3" w15:restartNumberingAfterBreak="0">
    <w:nsid w:val="7de371a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4" w15:restartNumberingAfterBreak="0">
    <w:nsid w:val="46ed90e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5" w15:restartNumberingAfterBreak="0">
    <w:nsid w:val="5e28add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6" w15:restartNumberingAfterBreak="0">
    <w:nsid w:val="6750f74c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7" w15:restartNumberingAfterBreak="0">
    <w:nsid w:val="5a2ff62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8" w15:restartNumberingAfterBreak="0">
    <w:nsid w:val="72a1e93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9" w15:restartNumberingAfterBreak="0">
    <w:nsid w:val="188c91f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0" w15:restartNumberingAfterBreak="0">
    <w:nsid w:val="61700f2c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1" w15:restartNumberingAfterBreak="0">
    <w:nsid w:val="3802ec65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2" w15:restartNumberingAfterBreak="0">
    <w:nsid w:val="3bf9774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3" w15:restartNumberingAfterBreak="0">
    <w:nsid w:val="4b706dbe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4" w15:restartNumberingAfterBreak="0">
    <w:nsid w:val="5807a7c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5" w15:restartNumberingAfterBreak="0">
    <w:nsid w:val="5eb1d6d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6" w15:restartNumberingAfterBreak="0">
    <w:nsid w:val="46563c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7" w15:restartNumberingAfterBreak="0">
    <w:nsid w:val="7f05b64e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8" w15:restartNumberingAfterBreak="0">
    <w:nsid w:val="3af24c6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9" w15:restartNumberingAfterBreak="0">
    <w:nsid w:val="254ba61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0" w15:restartNumberingAfterBreak="0">
    <w:nsid w:val="164b97c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1" w15:restartNumberingAfterBreak="0">
    <w:nsid w:val="476ecb7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2" w15:restartNumberingAfterBreak="0">
    <w:nsid w:val="3ce88a35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3" w15:restartNumberingAfterBreak="0">
    <w:nsid w:val="739bc7c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4" w15:restartNumberingAfterBreak="0">
    <w:nsid w:val="29168d0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5" w15:restartNumberingAfterBreak="0">
    <w:nsid w:val="23b23c8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6" w15:restartNumberingAfterBreak="0">
    <w:nsid w:val="2eee269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7" w15:restartNumberingAfterBreak="0">
    <w:nsid w:val="6954938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8" w15:restartNumberingAfterBreak="0">
    <w:nsid w:val="520e5ce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9" w15:restartNumberingAfterBreak="0">
    <w:nsid w:val="1274166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0" w15:restartNumberingAfterBreak="0">
    <w:nsid w:val="7ec294c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1" w15:restartNumberingAfterBreak="0">
    <w:nsid w:val="5a15f5a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2" w15:restartNumberingAfterBreak="0">
    <w:nsid w:val="2a392c3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3" w15:restartNumberingAfterBreak="0">
    <w:nsid w:val="365c75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4" w15:restartNumberingAfterBreak="0">
    <w:nsid w:val="30f024b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5" w15:restartNumberingAfterBreak="0">
    <w:nsid w:val="596f07a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6" w15:restartNumberingAfterBreak="0">
    <w:nsid w:val="275f1f0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7" w15:restartNumberingAfterBreak="0">
    <w:nsid w:val="41871ed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8" w15:restartNumberingAfterBreak="0">
    <w:nsid w:val="7241a6d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9" w15:restartNumberingAfterBreak="0">
    <w:nsid w:val="2dce79ef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0" w15:restartNumberingAfterBreak="0">
    <w:nsid w:val="39d90d5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1" w15:restartNumberingAfterBreak="0">
    <w:nsid w:val="187eeaf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2" w15:restartNumberingAfterBreak="0">
    <w:nsid w:val="4a359eb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3" w15:restartNumberingAfterBreak="0">
    <w:nsid w:val="3af8ea5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4" w15:restartNumberingAfterBreak="0">
    <w:nsid w:val="7e18b82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5" w15:restartNumberingAfterBreak="0">
    <w:nsid w:val="51c92df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6" w15:restartNumberingAfterBreak="0">
    <w:nsid w:val="205e85cf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7" w15:restartNumberingAfterBreak="0">
    <w:nsid w:val="264435ec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8" w15:restartNumberingAfterBreak="0">
    <w:nsid w:val="cf758c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9" w15:restartNumberingAfterBreak="0">
    <w:nsid w:val="326f90e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0" w15:restartNumberingAfterBreak="0">
    <w:nsid w:val="43d7f00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1" w15:restartNumberingAfterBreak="0">
    <w:nsid w:val="3b895c4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2" w15:restartNumberingAfterBreak="0">
    <w:nsid w:val="7126809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3" w15:restartNumberingAfterBreak="0">
    <w:nsid w:val="dfc896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4" w15:restartNumberingAfterBreak="0">
    <w:nsid w:val="1e751efe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5" w15:restartNumberingAfterBreak="0">
    <w:nsid w:val="2bed957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6" w15:restartNumberingAfterBreak="0">
    <w:nsid w:val="40fa4fd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7" w15:restartNumberingAfterBreak="0">
    <w:nsid w:val="78dc317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8" w15:restartNumberingAfterBreak="0">
    <w:nsid w:val="62c176a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9" w15:restartNumberingAfterBreak="0">
    <w:nsid w:val="41b857b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0" w15:restartNumberingAfterBreak="0">
    <w:nsid w:val="5de6ae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1" w15:restartNumberingAfterBreak="0">
    <w:nsid w:val="8d4d44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2" w15:restartNumberingAfterBreak="0">
    <w:nsid w:val="d2866f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3" w15:restartNumberingAfterBreak="0">
    <w:nsid w:val="572286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4" w15:restartNumberingAfterBreak="0">
    <w:nsid w:val="6bbeed3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5" w15:restartNumberingAfterBreak="0">
    <w:nsid w:val="92a0c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6" w15:restartNumberingAfterBreak="0">
    <w:nsid w:val="21efec5e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7" w15:restartNumberingAfterBreak="0">
    <w:nsid w:val="2e8af74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8" w15:restartNumberingAfterBreak="0">
    <w:nsid w:val="4eab0d23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9" w15:restartNumberingAfterBreak="0">
    <w:nsid w:val="7c31fd0b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0" w15:restartNumberingAfterBreak="0">
    <w:nsid w:val="1f31bfc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1" w15:restartNumberingAfterBreak="0">
    <w:nsid w:val="175f57a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2" w15:restartNumberingAfterBreak="0">
    <w:nsid w:val="3612254f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3" w15:restartNumberingAfterBreak="0">
    <w:nsid w:val="21d3dda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4" w15:restartNumberingAfterBreak="0">
    <w:nsid w:val="526fbed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5" w15:restartNumberingAfterBreak="0">
    <w:nsid w:val="15af626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6" w15:restartNumberingAfterBreak="0">
    <w:nsid w:val="1ba5e88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7" w15:restartNumberingAfterBreak="0">
    <w:nsid w:val="5980850d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8" w15:restartNumberingAfterBreak="0">
    <w:nsid w:val="4ee6940c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9" w15:restartNumberingAfterBreak="0">
    <w:nsid w:val="43955615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0" w15:restartNumberingAfterBreak="0">
    <w:nsid w:val="29d0ee44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1" w15:restartNumberingAfterBreak="0">
    <w:nsid w:val="64c7ef4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2" w15:restartNumberingAfterBreak="0">
    <w:nsid w:val="98d39e1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3" w15:restartNumberingAfterBreak="0">
    <w:nsid w:val="590aa8a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4" w15:restartNumberingAfterBreak="0">
    <w:nsid w:val="318e756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5" w15:restartNumberingAfterBreak="0">
    <w:nsid w:val="49854b7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6" w15:restartNumberingAfterBreak="0">
    <w:nsid w:val="59bb7a6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7" w15:restartNumberingAfterBreak="0">
    <w:nsid w:val="606a09e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8" w15:restartNumberingAfterBreak="0">
    <w:nsid w:val="27b4d7d5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9" w15:restartNumberingAfterBreak="0">
    <w:nsid w:val="3d5f6fb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0" w15:restartNumberingAfterBreak="0">
    <w:nsid w:val="2b6078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1" w15:restartNumberingAfterBreak="0">
    <w:nsid w:val="4183e3f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2" w15:restartNumberingAfterBreak="0">
    <w:nsid w:val="4c2bf557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3" w15:restartNumberingAfterBreak="0">
    <w:nsid w:val="4b54a45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9240053"/>
  <w15:docId w15:val="{62B232C3-37C2-43A7-85E4-D82C7544A449}"/>
  <w:rsids>
    <w:rsidRoot w:val="3ED22266"/>
    <w:rsid w:val="3ED2226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4" /></Relationships>
</file>

<file path=word/_rels/footnotes.xml.rels><?xml version="1.0" encoding="UTF-8"?><Relationships xmlns="http://schemas.openxmlformats.org/package/2006/relationships"><Relationship Id="rIdopctusjaswljupylkzqa-" Type="http://schemas.openxmlformats.org/officeDocument/2006/relationships/hyperlink" Target="https://www.moib.gov.pk/Pages/132/The-Ministry" TargetMode="External"/><Relationship Id="rIdmepneahf-wx1bk2e7wpmm" Type="http://schemas.openxmlformats.org/officeDocument/2006/relationships/hyperlink" Target="https://www.moib.gov.pk/" TargetMode="External"/><Relationship Id="rIdtxih9yikrfddgdx0k4nlk" Type="http://schemas.openxmlformats.org/officeDocument/2006/relationships/hyperlink" Target="https://www.moib.gov.pk/Pages/170/PID" TargetMode="External"/><Relationship Id="rId1rcteikx0prew6cfwxxwu" Type="http://schemas.openxmlformats.org/officeDocument/2006/relationships/hyperlink" Target="https://demp.gov.pk/" TargetMode="External"/><Relationship Id="rIdr3x4tvuthemgomjuzbzet" Type="http://schemas.openxmlformats.org/officeDocument/2006/relationships/hyperlink" Target="https://www.moib.gov.pk/Pages/163/CW" TargetMode="External"/><Relationship Id="rIdimo_xohlel2nanodel8v6" Type="http://schemas.openxmlformats.org/officeDocument/2006/relationships/hyperlink" Target="https://moib.gov.pk/Pages/164/EPW" TargetMode="External"/><Relationship Id="rIdj6miz5sc8tvufldzvs2ty" Type="http://schemas.openxmlformats.org/officeDocument/2006/relationships/hyperlink" Target="https://www.abc.gov.pk/" TargetMode="External"/><Relationship Id="rIdclijjtuu8wdfowm12c-bf" Type="http://schemas.openxmlformats.org/officeDocument/2006/relationships/hyperlink" Target="https://www.pemra.gov.pk/assets/uploads/legal/Ordinance_2002.pdf" TargetMode="External"/><Relationship Id="rIdwdqj0lpd8ijmee5y_a4uq" Type="http://schemas.openxmlformats.org/officeDocument/2006/relationships/hyperlink" Target="https://www.pemra.gov.pk/assets/uploads/legal/PEMRA_Amendment_Act_2023.pdf" TargetMode="External"/><Relationship Id="rIdaayhcmjxhe5c8w30mlze8" Type="http://schemas.openxmlformats.org/officeDocument/2006/relationships/hyperlink" Target="https://www.pemra.gov.pk/regulations/" TargetMode="External"/><Relationship Id="rIdt6hfyx1cqm6cyk1wpyxcm" Type="http://schemas.openxmlformats.org/officeDocument/2006/relationships/hyperlink" Target="https://pakistancode.gov.pk/pdffiles/administrator3599d65bc5ecb2dd1915d04c7db91e8f.pdf" TargetMode="External"/><Relationship Id="rIdmuldm-gudvbfwvrs62e19" Type="http://schemas.openxmlformats.org/officeDocument/2006/relationships/hyperlink" Target="https://pid.gov.pk/uploads/Advt-Policy.pdf" TargetMode="External"/><Relationship Id="rIdu_qkmnrw9yjo67dcydljt" Type="http://schemas.openxmlformats.org/officeDocument/2006/relationships/hyperlink" Target="https://moib.gov.pk/downloads/Approved-advertisement-Policy-2022.pdf" TargetMode="External"/><Relationship Id="rId8zcdcynxdec7i1hibuu3n" Type="http://schemas.openxmlformats.org/officeDocument/2006/relationships/hyperlink" Target="https://www.moib.gov.pk/Pages/132/The-Ministry" TargetMode="External"/><Relationship Id="rIdaiv9hjmodgdunul7uvyk3" Type="http://schemas.openxmlformats.org/officeDocument/2006/relationships/hyperlink" Target="https://www.moib.gov.pk/" TargetMode="External"/><Relationship Id="rId3adpbn2gjjop028uxxloy" Type="http://schemas.openxmlformats.org/officeDocument/2006/relationships/hyperlink" Target="https://www.pid.gov.pk/" TargetMode="External"/><Relationship Id="rId19qe5xxofrvgdwrqe90s-" Type="http://schemas.openxmlformats.org/officeDocument/2006/relationships/hyperlink" Target="https://pid.gov.pk/advertisement" TargetMode="External"/><Relationship Id="rIdxd0z-nschqp-n-zdvbvz7" Type="http://schemas.openxmlformats.org/officeDocument/2006/relationships/hyperlink" Target="https://demp.gov.pk/" TargetMode="External"/><Relationship Id="rIdtq5zhtys7d1tveiygoob6" Type="http://schemas.openxmlformats.org/officeDocument/2006/relationships/hyperlink" Target="https://moib.gov.pk/Pages/173/DEMP" TargetMode="External"/><Relationship Id="rIdjiklwrzyhyr9yi_w4owkg" Type="http://schemas.openxmlformats.org/officeDocument/2006/relationships/hyperlink" Target="https://www.moib.gov.pk/Pages/163/CW" TargetMode="External"/><Relationship Id="rIdvosbqolg8ptkvc_dcekzo" Type="http://schemas.openxmlformats.org/officeDocument/2006/relationships/hyperlink" Target="https://moib.gov.pk/Pages/164/EPW" TargetMode="External"/><Relationship Id="rIdhvxt3yh5aymy2xhplycwd" Type="http://schemas.openxmlformats.org/officeDocument/2006/relationships/hyperlink" Target="https://epwing.gov.pk/" TargetMode="External"/><Relationship Id="rIdrvwsfz-zgyaj7h95-anqm" Type="http://schemas.openxmlformats.org/officeDocument/2006/relationships/hyperlink" Target="https://www.abc.gov.pk/" TargetMode="External"/><Relationship Id="rIdas4lw2kqtyszsu5eftxxa" Type="http://schemas.openxmlformats.org/officeDocument/2006/relationships/hyperlink" Target="https://www.abc.gov.pk/Overview" TargetMode="External"/><Relationship Id="rId9zd8d3vwalcokgygj2k0u" Type="http://schemas.openxmlformats.org/officeDocument/2006/relationships/hyperlink" Target="https://pemra.gov.pk/" TargetMode="External"/><Relationship Id="rIdxmhzs_rbr7pr7nlozrn3p" Type="http://schemas.openxmlformats.org/officeDocument/2006/relationships/hyperlink" Target="https://www.pemra.gov.pk/assets/uploads/legal/Ordinance_2002.pdf" TargetMode="External"/><Relationship Id="rId1z512tolfpnxjs-vsm1-v" Type="http://schemas.openxmlformats.org/officeDocument/2006/relationships/hyperlink" Target="https://www.pemra.gov.pk/assets/uploads/legal/PEMRA_Amendment_Act_2023.pdf" TargetMode="External"/><Relationship Id="rIdd_dg0ghopedpoq4bhqyat" Type="http://schemas.openxmlformats.org/officeDocument/2006/relationships/hyperlink" Target="https://www.pemra.gov.pk/regulations/" TargetMode="External"/><Relationship Id="rIduiqsi-ot54lgbbw1snypu" Type="http://schemas.openxmlformats.org/officeDocument/2006/relationships/hyperlink" Target="https://pakistancode.gov.pk/pdffiles/administrator3599d65bc5ecb2dd1915d04c7db91e8f.pdf" TargetMode="External"/><Relationship Id="rIdjclfmbe-fyufdgjzs5q7k" Type="http://schemas.openxmlformats.org/officeDocument/2006/relationships/hyperlink" Target="https://www.moib.gov.pk/Downloads/RTI/The-Right-of-Access-to-Information-Act-2017-Gazette.pdf" TargetMode="External"/><Relationship Id="rId-nwl-0tfe9wvnpda3gcaz" Type="http://schemas.openxmlformats.org/officeDocument/2006/relationships/hyperlink" Target="https://pid.gov.pk/uploads/Advt-Policy.pdf" TargetMode="External"/><Relationship Id="rIdshr_hdovusu5qnb1a6nss" Type="http://schemas.openxmlformats.org/officeDocument/2006/relationships/hyperlink" Target="https://moib.gov.pk/downloads/Approved-advertisement-Policy-2022.pdf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Christopher Angel</lastModifiedBy>
  <revision>2</revision>
  <dcterms:created xsi:type="dcterms:W3CDTF">2026-02-20T07:25:26.6200000Z</dcterms:created>
  <dcterms:modified xsi:type="dcterms:W3CDTF">2026-02-20T07:26:43.4720869Z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