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</w:rPr>
        <w:t>CS-4063 NLP Assignment 3: Comprehensive Analysis of a Transformer-Based Retrieval-Augmented Generation Pipeline</w:t>
      </w:r>
    </w:p>
    <w:p>
      <w:pPr>
        <w:jc w:val="both"/>
      </w:pPr>
      <w:r>
        <w:rPr>
          <w:rFonts w:ascii="Times New Roman" w:hAnsi="Times New Roman"/>
          <w:sz w:val="22"/>
        </w:rPr>
        <w:t>Abstract: This report details the theoretical foundation, empirical implementation, and quantitative evaluation of a purely native, PyTorch-based Retrieval-Augmented Generation (RAG) pipeline. Designed completely from scratch without reliance on pre-trained libraries such as Hugging Face Transformers, the system orchestrates a multi-task Encoder, an L2-normalized embedding retrieval framework, and a causally masked autoregressive Decoder. Extensive ablation studies evaluate the utility of the non-parametric retrieval injection against standard parametric generation.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1. Overall System Design and Methodology</w:t>
      </w:r>
    </w:p>
    <w:p>
      <w:pPr>
        <w:jc w:val="both"/>
      </w:pPr>
      <w:r>
        <w:rPr>
          <w:rFonts w:ascii="Times New Roman" w:hAnsi="Times New Roman"/>
          <w:sz w:val="22"/>
        </w:rPr>
        <w:t>The proposed architecture systematically decouples the semantic understanding of input sequences from the autoregressive generation of rationales, bridging the two paradigms via a dense retrieval module. The pipeline is structured into three continuous phases: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1.1 The Multi-Task Encoder</w:t>
      </w:r>
    </w:p>
    <w:p>
      <w:pPr>
        <w:jc w:val="both"/>
      </w:pPr>
      <w:r>
        <w:rPr>
          <w:rFonts w:ascii="Times New Roman" w:hAnsi="Times New Roman"/>
          <w:sz w:val="22"/>
        </w:rPr>
        <w:t>The foundational semantic representation is constructed using an Encoder-Only Transformer. The input discrete tokens are mapped to dense vector spaces defined by $d_{model} = 128$. Unlike traditional Seq2Seq paradigms, our Encoder is strictly bidirectional, allowing unmasked self-attention across the sequence. The attention mechanism operates via the scaled dot-product formulation: Attention(Q, K, V) = softmax((QK^T) / sqrt(d_k))V. To aggregate sequence-level semantic nuances, a pseudo-[CLS] token is prepended via the [BOS] vocabulary index. The final hidden state corresponding to this token is projected through two distinct feed-forward neural networks acting as multi-task heads: one tasked with classifying ternary sentiment (Negative, Neutral, Positive) and the other classifying ternary product categories (Electronics, Books, Clothing).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1.2 The Dense Retrieval Module</w:t>
      </w:r>
    </w:p>
    <w:p>
      <w:pPr>
        <w:jc w:val="both"/>
      </w:pPr>
      <w:r>
        <w:rPr>
          <w:rFonts w:ascii="Times New Roman" w:hAnsi="Times New Roman"/>
          <w:sz w:val="22"/>
        </w:rPr>
        <w:t>The retrieval framework eschews complex indexers in favor of a mathematically exact, dense L2-normalized inner product. During training, the converged Encoder propagates forward passes over the entire corpus to extract the pseudo-[CLS] representations. These representations are L2 normalized. Given a test query q, its embedding is computed and similarly normalized. The relevance scoring function simplifies to cosine similarity, enabling efficient k-nearest neighbor (k-NN) top-k selection from the context corpus.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1.3 The Autoregressive Decoder</w:t>
      </w:r>
    </w:p>
    <w:p>
      <w:pPr>
        <w:jc w:val="both"/>
      </w:pPr>
      <w:r>
        <w:rPr>
          <w:rFonts w:ascii="Times New Roman" w:hAnsi="Times New Roman"/>
          <w:sz w:val="22"/>
        </w:rPr>
        <w:t>To generate the explanatory rationale, a strictly causally masked Decoder-Only transformer is utilized. Information leakage from future tokens is strictly prohibited by enforcing an upper-triangular boolean mask M where M_{i,j} = -inf for j &gt; i, thus modifying the pre-softmax attention logits. Rather than implementing cross-attention layers, the system utilizes a prefix-LM mechanism: the retrieved context sequences and the explicit predicted metadata tags (e.g., &lt;POS&gt;, &lt;ELEC&gt;) are linearly concatenated before the generative target sequence. This drastically reduces the parameter count while forcing the model to heavily contextualize its conditional probabilities on the retrieved prompt.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2. Justification of Architectural Decisions</w:t>
      </w:r>
    </w:p>
    <w:p>
      <w:pPr>
        <w:jc w:val="both"/>
      </w:pPr>
      <w:r>
        <w:rPr>
          <w:rFonts w:ascii="Times New Roman" w:hAnsi="Times New Roman"/>
          <w:sz w:val="22"/>
        </w:rPr>
        <w:t>The development of a transformer architecture strictly from fundamental PyTorch layers demands rigorous justification for computational and topological design decisions, particularly under constrained CPU-bound environments.</w:t>
      </w:r>
    </w:p>
    <w:p>
      <w:pPr>
        <w:jc w:val="both"/>
      </w:pPr>
      <w:r>
        <w:rPr>
          <w:rFonts w:ascii="Times New Roman" w:hAnsi="Times New Roman"/>
          <w:sz w:val="22"/>
        </w:rPr>
        <w:t>• Omission of Cross-Attention: In standard original Transformer models (Vaswani et al., 2017), the decoder attends to the encoder’s continuous hidden states via cross-attention. However, for large-scale Retrieval-Augmented Generation, maintaining multiple continuous KV-caches of variable-length retrieved documents scales poorly. By linearizing the retrieved textual context and prepending it to the input sequence of a Decoder-Only model, we effectively transform the architecture into a Prefix-LM. This eliminates the O(N * M) cross-attention matrices entirely while allowing the standard causal self-attention mechanism to naturally condition the generated text on the retrieved documents.</w:t>
      </w:r>
    </w:p>
    <w:p>
      <w:pPr>
        <w:jc w:val="both"/>
      </w:pPr>
      <w:r>
        <w:rPr>
          <w:rFonts w:ascii="Times New Roman" w:hAnsi="Times New Roman"/>
          <w:sz w:val="22"/>
        </w:rPr>
        <w:t>• Sinusoidal Positional Encoding vs. Learned Embeddings: We opted for fixed sinusoidal positional encodings over parameter-heavy learned position embeddings. Given the aggressive truncation of sequences to a maximum length of 128, the fixed multi-frequency sine and cosine trigonometric waves provide robust, continuous relative positional awareness without the necessity of allocating an additional matrix of (128 x 128) tunable parameters, directly combatting overfitting on the relatively small vocabulary.</w:t>
      </w:r>
    </w:p>
    <w:p>
      <w:pPr>
        <w:jc w:val="both"/>
      </w:pPr>
      <w:r>
        <w:rPr>
          <w:rFonts w:ascii="Times New Roman" w:hAnsi="Times New Roman"/>
          <w:sz w:val="22"/>
        </w:rPr>
        <w:t>• Multi-Task Loss Weighting Strategy: The Encoder is simultaneously optimized against two categorical cross-entropy objectives. Let L_S denote the Sentiment Loss and L_C denote the Category Loss. The global objective is minimized as L = αL_S + βL_C. We explicitly assigned α = 1.0 and β = 0.5. This asymmetric weighting stems from the hypothesis that sentiment analysis requires substantially deeper semantic parsing (handling negation, sarcasm, and polarity) than product categorization, which heavily relies on surface-level nominal keywords (e.g., 'battery', 'pages', 'shoes').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3. Preprocessing Pipeline Rigor</w:t>
      </w:r>
    </w:p>
    <w:p>
      <w:pPr>
        <w:jc w:val="both"/>
      </w:pPr>
      <w:r>
        <w:rPr>
          <w:rFonts w:ascii="Times New Roman" w:hAnsi="Times New Roman"/>
          <w:sz w:val="22"/>
        </w:rPr>
        <w:t>Data ingestion and pre-processing methodologies fundamentally dictate the maximum theoretical accuracy of the transformer architecture.</w:t>
      </w:r>
    </w:p>
    <w:p>
      <w:pPr>
        <w:jc w:val="both"/>
      </w:pPr>
      <w:r>
        <w:rPr>
          <w:rFonts w:ascii="Times New Roman" w:hAnsi="Times New Roman"/>
          <w:sz w:val="22"/>
        </w:rPr>
        <w:t>• Streaming and Stratification: To bypass the immense storage overhead of standard '.gz' repositories, the system hooks directly into the 'McAuley-Lab/Amazon-Reviews-2023' Hugging Face repository using a dynamic streaming protocol. Exactly 12,000 samples were deterministically parsed per category. To prevent class imbalance from biasing the cross-entropy loss, the dataset underwent rigid stratification across a combinatorial index of Category_Sentiment.</w:t>
      </w:r>
    </w:p>
    <w:p>
      <w:pPr>
        <w:jc w:val="both"/>
      </w:pPr>
      <w:r>
        <w:rPr>
          <w:rFonts w:ascii="Times New Roman" w:hAnsi="Times New Roman"/>
          <w:sz w:val="22"/>
        </w:rPr>
        <w:t>• Subword vs. Whitespace Tokenization: While BPE (Byte-Pair Encoding) is industry standard, a custom whitespace-based tokenizer was implemented to tightly control the vocabulary generation parameters. By aggressively lowercasing and applying regex-based non-alphanumeric purging, the sparse long-tail of unique tokens was collapsed. The vocabulary was constructed exclusively from the training split, strictly preventing data leakage into the validation and test bounds.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4. Evaluation Methodology and Empirical Results</w:t>
      </w:r>
    </w:p>
    <w:p>
      <w:pPr>
        <w:jc w:val="both"/>
      </w:pPr>
      <w:r>
        <w:rPr>
          <w:rFonts w:ascii="Times New Roman" w:hAnsi="Times New Roman"/>
          <w:sz w:val="22"/>
        </w:rPr>
        <w:t>The Encoder was evaluated against standard classification metrics, whereas the Decoder was assessed via structural generation metrics.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der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2"/>
        </w:rPr>
        <w:t>Figure 1: Training and Validation Loss Trajectories. The plot demonstrates a steady, convergent descent characterized by the successful intervention of the plateau-based learning rate scheduler.</w:t>
      </w:r>
    </w:p>
    <w:p>
      <w:pPr>
        <w:jc w:val="both"/>
      </w:pPr>
      <w:r>
        <w:rPr>
          <w:rFonts w:ascii="Times New Roman" w:hAnsi="Times New Roman"/>
          <w:sz w:val="22"/>
        </w:rPr>
        <w:t>Table 1: Final Model Performance Metrics. Demonstrates the classification capacity of the multi-task encoder after convergence.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Evaluation 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Quantitative Measurement</w:t>
            </w:r>
          </w:p>
        </w:tc>
      </w:tr>
      <w:tr>
        <w:tc>
          <w:tcPr>
            <w:tcW w:type="dxa" w:w="4320"/>
          </w:tcPr>
          <w:p>
            <w:r>
              <w:t>Validation Loss (Combined Multi-Task Cross Entropy)</w:t>
            </w:r>
          </w:p>
        </w:tc>
        <w:tc>
          <w:tcPr>
            <w:tcW w:type="dxa" w:w="4320"/>
          </w:tcPr>
          <w:p>
            <w:r>
              <w:t>0.5976</w:t>
            </w:r>
          </w:p>
        </w:tc>
      </w:tr>
      <w:tr>
        <w:tc>
          <w:tcPr>
            <w:tcW w:type="dxa" w:w="4320"/>
          </w:tcPr>
          <w:p>
            <w:r>
              <w:t>Sentiment Macro-Accuracy</w:t>
            </w:r>
          </w:p>
        </w:tc>
        <w:tc>
          <w:tcPr>
            <w:tcW w:type="dxa" w:w="4320"/>
          </w:tcPr>
          <w:p>
            <w:r>
              <w:t>0.8507</w:t>
            </w:r>
          </w:p>
        </w:tc>
      </w:tr>
      <w:tr>
        <w:tc>
          <w:tcPr>
            <w:tcW w:type="dxa" w:w="4320"/>
          </w:tcPr>
          <w:p>
            <w:r>
              <w:t>Categorical Macro-Accuracy</w:t>
            </w:r>
          </w:p>
        </w:tc>
        <w:tc>
          <w:tcPr>
            <w:tcW w:type="dxa" w:w="4320"/>
          </w:tcPr>
          <w:p>
            <w:r>
              <w:t>0.8648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32"/>
        </w:rPr>
        <w:t>5. Hyperparameter Tuning Analytics</w:t>
      </w:r>
    </w:p>
    <w:p>
      <w:pPr>
        <w:jc w:val="both"/>
      </w:pPr>
      <w:r>
        <w:rPr>
          <w:rFonts w:ascii="Times New Roman" w:hAnsi="Times New Roman"/>
          <w:sz w:val="22"/>
        </w:rPr>
        <w:t>Extensive tuning was required to stabilize training dynamics within CPU operational thresholds. The following architectural constants were determined through iterative ablation log analysis:</w:t>
      </w:r>
    </w:p>
    <w:p>
      <w:pPr>
        <w:jc w:val="both"/>
      </w:pPr>
      <w:r>
        <w:rPr>
          <w:rFonts w:ascii="Times New Roman" w:hAnsi="Times New Roman"/>
          <w:sz w:val="22"/>
        </w:rPr>
        <w:t>• d_model = 128, n_heads = 4: Allocating $d_k = 32$ per head provided a sufficient projective subspace for semantic feature extraction while avoiding the severe computational latency of $d_{model} = 512$.</w:t>
      </w:r>
    </w:p>
    <w:p>
      <w:pPr>
        <w:jc w:val="both"/>
      </w:pPr>
      <w:r>
        <w:rPr>
          <w:rFonts w:ascii="Times New Roman" w:hAnsi="Times New Roman"/>
          <w:sz w:val="22"/>
        </w:rPr>
        <w:t>• n_encoder_layers = 2, n_decoder_layers = 2: Deep networks (e.g., L=6) succumbed to severe vanishing gradient problems and unacceptable iteration times. A shallow, 2-layer topology demonstrated superior convergence velocity.</w:t>
      </w:r>
    </w:p>
    <w:p>
      <w:pPr>
        <w:jc w:val="both"/>
      </w:pPr>
      <w:r>
        <w:rPr>
          <w:rFonts w:ascii="Times New Roman" w:hAnsi="Times New Roman"/>
          <w:sz w:val="22"/>
        </w:rPr>
        <w:t>• Optimization Regimen: The AdamW optimizer was paired with a base Learning Rate (LR) of 3e-4, applying decoupled weight decay. Critically, a `ReduceLROnPlateau` scheduler actively monitored validation loss; upon stagnation (patience=3), the learning rate was aggressively halved (factor=0.5). This explicitly prevented the optimizer from chaotically overshooting the local minima during the final epochs.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6. RAG Ablation Study</w:t>
      </w:r>
    </w:p>
    <w:p>
      <w:pPr>
        <w:jc w:val="both"/>
      </w:pPr>
      <w:r>
        <w:rPr>
          <w:rFonts w:ascii="Times New Roman" w:hAnsi="Times New Roman"/>
          <w:sz w:val="22"/>
        </w:rPr>
        <w:t>To definitively quantify the generative advantage of providing explicit, dynamically retrieved context to the Decoder, a highly rigorous Ablation Study was conducted utilizing Perplexity (PPL) as the primary evaluation metric.</w:t>
      </w:r>
    </w:p>
    <w:p>
      <w:pPr>
        <w:jc w:val="both"/>
      </w:pPr>
      <w:r>
        <w:rPr>
          <w:rFonts w:ascii="Times New Roman" w:hAnsi="Times New Roman"/>
          <w:sz w:val="22"/>
        </w:rPr>
        <w:t>Perplexity measures the exponential of the negative log-likelihood of a sequence, essentially quantifying the model's 'surprise' when forced to predict the ground truth tokens. Mathematically: PPL = exp( -1/N * sum(log p(w_i | w_{&lt;i})) ). A lower perplexity strongly correlates with a higher degree of model certainty and structural coherence.</w:t>
      </w:r>
    </w:p>
    <w:p>
      <w:pPr>
        <w:jc w:val="both"/>
      </w:pPr>
      <w:r>
        <w:rPr>
          <w:rFonts w:ascii="Times New Roman" w:hAnsi="Times New Roman"/>
          <w:sz w:val="22"/>
        </w:rPr>
        <w:t>Two separate evaluation loaders were initialized:</w:t>
      </w:r>
    </w:p>
    <w:p>
      <w:pPr>
        <w:jc w:val="both"/>
      </w:pPr>
      <w:r>
        <w:rPr>
          <w:rFonts w:ascii="Times New Roman" w:hAnsi="Times New Roman"/>
          <w:sz w:val="22"/>
        </w:rPr>
        <w:t>1. The Full-RAG System: In this phase, the Top-2 semantically matched Amazon reviews from the continuous vector space were explicitly prepended to the causal generation prompt.</w:t>
      </w:r>
    </w:p>
    <w:p>
      <w:pPr>
        <w:jc w:val="both"/>
      </w:pPr>
      <w:r>
        <w:rPr>
          <w:rFonts w:ascii="Times New Roman" w:hAnsi="Times New Roman"/>
          <w:sz w:val="22"/>
        </w:rPr>
        <w:t>2. The Zero-Shot (No-RAG) System: The retrieval injection mechanism was entirely bypassed. The Decoder was forced to hallucinate an explanation using solely the input product review and intrinsic parametric memory.</w:t>
      </w:r>
    </w:p>
    <w:p>
      <w:pPr>
        <w:jc w:val="both"/>
      </w:pPr>
      <w:r>
        <w:rPr>
          <w:rFonts w:ascii="Times New Roman" w:hAnsi="Times New Roman"/>
          <w:sz w:val="22"/>
        </w:rPr>
        <w:t>The empirical calculation observed a pronounced drop in Perplexity when the Full-RAG system was engaged. The structural scaffolding provided by the retrieved neighboring reviews essentially narrowed the combinatorial search space of subsequent tokens. When the model was denied retrieval context (No-RAG), it exhibited higher entropy across its softmax distribution, resulting in elevated perplexity metrics. This empirically validates the architectural decision: injecting non-parametric memory explicitly bolsters the deterministic reliability of generative language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