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2592"/>
            <w:vAlign w:val="center"/>
          </w:tcPr>
          <w:p>
            <w:r>
              <w:drawing>
                <wp:inline xmlns:a="http://schemas.openxmlformats.org/drawingml/2006/main" xmlns:pic="http://schemas.openxmlformats.org/drawingml/2006/picture">
                  <wp:extent cx="1280160" cy="426720"/>
                  <wp:docPr id="1" name="Picture 1"/>
                  <wp:cNvGraphicFramePr>
                    <a:graphicFrameLocks noChangeAspect="1"/>
                  </wp:cNvGraphicFramePr>
                  <a:graphic>
                    <a:graphicData uri="http://schemas.openxmlformats.org/drawingml/2006/picture">
                      <pic:pic>
                        <pic:nvPicPr>
                          <pic:cNvPr id="0" name="ssrl_logo.png"/>
                          <pic:cNvPicPr/>
                        </pic:nvPicPr>
                        <pic:blipFill>
                          <a:blip r:embed="rId9"/>
                          <a:stretch>
                            <a:fillRect/>
                          </a:stretch>
                        </pic:blipFill>
                        <pic:spPr>
                          <a:xfrm>
                            <a:off x="0" y="0"/>
                            <a:ext cx="1280160" cy="426720"/>
                          </a:xfrm>
                          <a:prstGeom prst="rect"/>
                        </pic:spPr>
                      </pic:pic>
                    </a:graphicData>
                  </a:graphic>
                </wp:inline>
              </w:drawing>
            </w:r>
          </w:p>
        </w:tc>
        <w:tc>
          <w:tcPr>
            <w:tcW w:type="dxa" w:w="7488"/>
            <w:vAlign w:val="center"/>
          </w:tcPr>
          <w:p>
            <w:pPr>
              <w:spacing w:before="80" w:after="80" w:line="276" w:lineRule="auto"/>
              <w:jc w:val="center"/>
            </w:pPr>
            <w:r/>
            <w:r>
              <w:rPr>
                <w:rFonts w:ascii="Arial" w:hAnsi="Arial"/>
                <w:b/>
                <w:color w:val="1F4E79"/>
                <w:sz w:val="30"/>
              </w:rPr>
              <w:t>Daily Performance Report Form</w:t>
            </w:r>
          </w:p>
        </w:tc>
      </w:tr>
    </w:tbl>
    <w:p>
      <w:pPr>
        <w:spacing w:before="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6480"/>
          </w:tcPr>
          <w:p>
            <w:pPr>
              <w:spacing w:before="40" w:after="40"/>
            </w:pPr>
            <w:r>
              <w:rPr>
                <w:b/>
              </w:rPr>
              <w:t xml:space="preserve">Member Name: </w:t>
            </w:r>
            <w:r>
              <w:rPr>
                <w:b/>
                <w:u w:val="single"/>
              </w:rPr>
              <w:t>Malik Liqae Muhammad</w:t>
            </w:r>
          </w:p>
        </w:tc>
        <w:tc>
          <w:tcPr>
            <w:tcW w:type="dxa" w:w="3600"/>
          </w:tcPr>
          <w:p>
            <w:pPr>
              <w:spacing w:before="40" w:after="40"/>
              <w:jc w:val="right"/>
            </w:pPr>
            <w:r>
              <w:rPr>
                <w:b/>
              </w:rPr>
              <w:t xml:space="preserve">Date: </w:t>
            </w:r>
            <w:r>
              <w:rPr>
                <w:b/>
              </w:rPr>
              <w:t>02-07-2026</w:t>
            </w:r>
          </w:p>
        </w:tc>
      </w:tr>
    </w:tbl>
    <w:p>
      <w:pPr>
        <w:spacing w:before="120"/>
      </w:pPr>
    </w:p>
    <w:p>
      <w:pPr>
        <w:spacing w:after="120"/>
      </w:pPr>
      <w:r>
        <w:rPr>
          <w:b/>
          <w:color w:val="1F4E79"/>
          <w:sz w:val="24"/>
          <w:highlight w:val="yellow"/>
        </w:rPr>
        <w:t>Task Records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center"/>
            <w:tcMar>
              <w:top w:w="120" w:type="dxa"/>
              <w:bottom w:w="120" w:type="dxa"/>
              <w:left w:w="150" w:type="dxa"/>
              <w:right w:w="150" w:type="dxa"/>
            </w:tcMar>
          </w:tcPr>
          <w:p>
            <w:pPr>
              <w:spacing w:before="80" w:after="80" w:line="276" w:lineRule="auto"/>
              <w:jc w:val="center"/>
            </w:pPr>
            <w:r/>
            <w:r>
              <w:rPr>
                <w:rFonts w:ascii="Arial" w:hAnsi="Arial"/>
                <w:b/>
                <w:sz w:val="20"/>
              </w:rPr>
              <w:t>S#</w:t>
            </w:r>
          </w:p>
        </w:tc>
        <w:tc>
          <w:tcPr>
            <w:tcW w:type="dxa" w:w="2304"/>
            <w:vAlign w:val="center"/>
            <w:tcMar>
              <w:top w:w="120" w:type="dxa"/>
              <w:bottom w:w="120" w:type="dxa"/>
              <w:left w:w="150" w:type="dxa"/>
              <w:right w:w="150" w:type="dxa"/>
            </w:tcMar>
          </w:tcPr>
          <w:p>
            <w:pPr>
              <w:spacing w:before="80" w:after="80" w:line="276" w:lineRule="auto"/>
              <w:jc w:val="left"/>
            </w:pPr>
            <w:r/>
            <w:r>
              <w:rPr>
                <w:rFonts w:ascii="Arial" w:hAnsi="Arial"/>
                <w:b/>
                <w:sz w:val="20"/>
              </w:rPr>
              <w:t>Task Type</w:t>
            </w:r>
          </w:p>
        </w:tc>
        <w:tc>
          <w:tcPr>
            <w:tcW w:type="dxa" w:w="5328"/>
            <w:vAlign w:val="center"/>
            <w:tcMar>
              <w:top w:w="120" w:type="dxa"/>
              <w:bottom w:w="120" w:type="dxa"/>
              <w:left w:w="150" w:type="dxa"/>
              <w:right w:w="150" w:type="dxa"/>
            </w:tcMar>
          </w:tcPr>
          <w:p>
            <w:pPr>
              <w:spacing w:before="80" w:after="80" w:line="276" w:lineRule="auto"/>
              <w:jc w:val="left"/>
            </w:pPr>
            <w:r/>
            <w:r>
              <w:rPr>
                <w:rFonts w:ascii="Arial" w:hAnsi="Arial"/>
                <w:b/>
                <w:sz w:val="20"/>
              </w:rPr>
              <w:t>Task Description</w:t>
            </w:r>
          </w:p>
        </w:tc>
        <w:tc>
          <w:tcPr>
            <w:tcW w:type="dxa" w:w="1728"/>
            <w:vAlign w:val="center"/>
            <w:tcMar>
              <w:top w:w="120" w:type="dxa"/>
              <w:bottom w:w="120" w:type="dxa"/>
              <w:left w:w="150" w:type="dxa"/>
              <w:right w:w="150" w:type="dxa"/>
            </w:tcMar>
          </w:tcPr>
          <w:p>
            <w:pPr>
              <w:spacing w:before="80" w:after="80" w:line="276" w:lineRule="auto"/>
              <w:jc w:val="center"/>
            </w:pPr>
            <w:r/>
            <w:r>
              <w:rPr>
                <w:rFonts w:ascii="Arial" w:hAnsi="Arial"/>
                <w:b/>
                <w:sz w:val="20"/>
              </w:rPr>
              <w:t>Status / Remarks</w:t>
            </w:r>
          </w:p>
        </w:tc>
      </w:tr>
      <w:tr>
        <w:tc>
          <w:tcPr>
            <w:tcW w:type="dxa" w:w="720"/>
            <w:vAlign w:val="center"/>
            <w:tcMar>
              <w:top w:w="100" w:type="dxa"/>
              <w:bottom w:w="100" w:type="dxa"/>
              <w:left w:w="150" w:type="dxa"/>
              <w:right w:w="150" w:type="dxa"/>
            </w:tcMar>
          </w:tcPr>
          <w:p>
            <w:pPr>
              <w:spacing w:before="80" w:after="80" w:line="276" w:lineRule="auto"/>
              <w:jc w:val="center"/>
            </w:pPr>
            <w:r/>
            <w:r>
              <w:rPr>
                <w:rFonts w:ascii="Arial" w:hAnsi="Arial"/>
                <w:b w:val="0"/>
                <w:sz w:val="19"/>
              </w:rPr>
              <w:t>1</w:t>
            </w:r>
          </w:p>
        </w:tc>
        <w:tc>
          <w:tcPr>
            <w:tcW w:type="dxa" w:w="2304"/>
            <w:vAlign w:val="center"/>
            <w:tcMar>
              <w:top w:w="100" w:type="dxa"/>
              <w:bottom w:w="100" w:type="dxa"/>
              <w:left w:w="150" w:type="dxa"/>
              <w:right w:w="150" w:type="dxa"/>
            </w:tcMar>
          </w:tcPr>
          <w:p>
            <w:pPr>
              <w:spacing w:before="80" w:after="80" w:line="276" w:lineRule="auto"/>
              <w:jc w:val="left"/>
            </w:pPr>
            <w:r/>
            <w:r>
              <w:rPr>
                <w:rFonts w:ascii="Arial" w:hAnsi="Arial"/>
                <w:b w:val="0"/>
                <w:sz w:val="19"/>
              </w:rPr>
              <w:t>Analyze Legacy System</w:t>
            </w:r>
          </w:p>
        </w:tc>
        <w:tc>
          <w:tcPr>
            <w:tcW w:type="dxa" w:w="5328"/>
            <w:vAlign w:val="center"/>
            <w:tcMar>
              <w:top w:w="100" w:type="dxa"/>
              <w:bottom w:w="100" w:type="dxa"/>
              <w:left w:w="150" w:type="dxa"/>
              <w:right w:w="150" w:type="dxa"/>
            </w:tcMar>
          </w:tcPr>
          <w:p>
            <w:pPr>
              <w:spacing w:before="80" w:after="80" w:line="276" w:lineRule="auto"/>
              <w:jc w:val="left"/>
            </w:pPr>
            <w:r/>
            <w:r>
              <w:rPr>
                <w:rFonts w:ascii="Arial" w:hAnsi="Arial"/>
                <w:b w:val="0"/>
                <w:sz w:val="19"/>
              </w:rPr>
              <w:t>Analyze existing legacy Blade templates and Laravel controllers for Reception, Accounts, Pharmacy, Lab, and Student Pharmacy modules.</w:t>
            </w:r>
          </w:p>
        </w:tc>
        <w:tc>
          <w:tcPr>
            <w:tcW w:type="dxa" w:w="1728"/>
            <w:vAlign w:val="center"/>
            <w:tcMar>
              <w:top w:w="100" w:type="dxa"/>
              <w:bottom w:w="100" w:type="dxa"/>
              <w:left w:w="150" w:type="dxa"/>
              <w:right w:w="150" w:type="dxa"/>
            </w:tcMar>
          </w:tcPr>
          <w:p>
            <w:pPr>
              <w:spacing w:before="80" w:after="80" w:line="276" w:lineRule="auto"/>
              <w:jc w:val="center"/>
            </w:pPr>
            <w:r/>
            <w:r>
              <w:rPr>
                <w:rFonts w:ascii="Arial" w:hAnsi="Arial"/>
                <w:b w:val="0"/>
                <w:sz w:val="19"/>
              </w:rPr>
              <w:t>Completed</w:t>
            </w:r>
          </w:p>
        </w:tc>
      </w:tr>
      <w:tr>
        <w:tc>
          <w:tcPr>
            <w:tcW w:type="dxa" w:w="720"/>
            <w:vAlign w:val="center"/>
            <w:tcMar>
              <w:top w:w="100" w:type="dxa"/>
              <w:bottom w:w="100" w:type="dxa"/>
              <w:left w:w="150" w:type="dxa"/>
              <w:right w:w="150" w:type="dxa"/>
            </w:tcMar>
          </w:tcPr>
          <w:p>
            <w:pPr>
              <w:spacing w:before="80" w:after="80" w:line="276" w:lineRule="auto"/>
              <w:jc w:val="center"/>
            </w:pPr>
            <w:r/>
            <w:r>
              <w:rPr>
                <w:rFonts w:ascii="Arial" w:hAnsi="Arial"/>
                <w:b w:val="0"/>
                <w:sz w:val="19"/>
              </w:rPr>
              <w:t>2</w:t>
            </w:r>
          </w:p>
        </w:tc>
        <w:tc>
          <w:tcPr>
            <w:tcW w:type="dxa" w:w="2304"/>
            <w:vAlign w:val="center"/>
            <w:tcMar>
              <w:top w:w="100" w:type="dxa"/>
              <w:bottom w:w="100" w:type="dxa"/>
              <w:left w:w="150" w:type="dxa"/>
              <w:right w:w="150" w:type="dxa"/>
            </w:tcMar>
          </w:tcPr>
          <w:p>
            <w:pPr>
              <w:spacing w:before="80" w:after="80" w:line="276" w:lineRule="auto"/>
              <w:jc w:val="left"/>
            </w:pPr>
            <w:r/>
            <w:r>
              <w:rPr>
                <w:rFonts w:ascii="Arial" w:hAnsi="Arial"/>
                <w:b w:val="0"/>
                <w:sz w:val="19"/>
              </w:rPr>
              <w:t>Design System Boundaries</w:t>
            </w:r>
          </w:p>
        </w:tc>
        <w:tc>
          <w:tcPr>
            <w:tcW w:type="dxa" w:w="5328"/>
            <w:vAlign w:val="center"/>
            <w:tcMar>
              <w:top w:w="100" w:type="dxa"/>
              <w:bottom w:w="100" w:type="dxa"/>
              <w:left w:w="150" w:type="dxa"/>
              <w:right w:w="150" w:type="dxa"/>
            </w:tcMar>
          </w:tcPr>
          <w:p>
            <w:pPr>
              <w:spacing w:before="80" w:after="80" w:line="276" w:lineRule="auto"/>
              <w:jc w:val="left"/>
            </w:pPr>
            <w:r/>
            <w:r>
              <w:rPr>
                <w:rFonts w:ascii="Arial" w:hAnsi="Arial"/>
                <w:b w:val="0"/>
                <w:sz w:val="19"/>
              </w:rPr>
              <w:t>Define system boundaries, port configurations, and draft request-response mapping for the modern Next.js dashboard.</w:t>
            </w:r>
          </w:p>
        </w:tc>
        <w:tc>
          <w:tcPr>
            <w:tcW w:type="dxa" w:w="1728"/>
            <w:vAlign w:val="center"/>
            <w:tcMar>
              <w:top w:w="100" w:type="dxa"/>
              <w:bottom w:w="100" w:type="dxa"/>
              <w:left w:w="150" w:type="dxa"/>
              <w:right w:w="150" w:type="dxa"/>
            </w:tcMar>
          </w:tcPr>
          <w:p>
            <w:pPr>
              <w:spacing w:before="80" w:after="80" w:line="276" w:lineRule="auto"/>
              <w:jc w:val="center"/>
            </w:pPr>
            <w:r/>
            <w:r>
              <w:rPr>
                <w:rFonts w:ascii="Arial" w:hAnsi="Arial"/>
                <w:b w:val="0"/>
                <w:sz w:val="19"/>
              </w:rPr>
              <w:t>Completed</w:t>
            </w:r>
          </w:p>
        </w:tc>
      </w:tr>
      <w:tr>
        <w:tc>
          <w:tcPr>
            <w:tcW w:type="dxa" w:w="720"/>
            <w:vAlign w:val="center"/>
            <w:tcMar>
              <w:top w:w="100" w:type="dxa"/>
              <w:bottom w:w="100" w:type="dxa"/>
              <w:left w:w="150" w:type="dxa"/>
              <w:right w:w="150" w:type="dxa"/>
            </w:tcMar>
          </w:tcPr>
          <w:p>
            <w:pPr>
              <w:spacing w:before="80" w:after="80" w:line="276" w:lineRule="auto"/>
              <w:jc w:val="center"/>
            </w:pPr>
            <w:r/>
            <w:r>
              <w:rPr>
                <w:rFonts w:ascii="Arial" w:hAnsi="Arial"/>
                <w:b w:val="0"/>
                <w:sz w:val="19"/>
              </w:rPr>
              <w:t>3</w:t>
            </w:r>
          </w:p>
        </w:tc>
        <w:tc>
          <w:tcPr>
            <w:tcW w:type="dxa" w:w="2304"/>
            <w:vAlign w:val="center"/>
            <w:tcMar>
              <w:top w:w="100" w:type="dxa"/>
              <w:bottom w:w="100" w:type="dxa"/>
              <w:left w:w="150" w:type="dxa"/>
              <w:right w:w="150" w:type="dxa"/>
            </w:tcMar>
          </w:tcPr>
          <w:p>
            <w:pPr>
              <w:spacing w:before="80" w:after="80" w:line="276" w:lineRule="auto"/>
              <w:jc w:val="left"/>
            </w:pPr>
            <w:r/>
            <w:r>
              <w:rPr>
                <w:rFonts w:ascii="Arial" w:hAnsi="Arial"/>
                <w:b w:val="0"/>
                <w:sz w:val="19"/>
              </w:rPr>
              <w:t>Inventory Database Schema</w:t>
            </w:r>
          </w:p>
        </w:tc>
        <w:tc>
          <w:tcPr>
            <w:tcW w:type="dxa" w:w="5328"/>
            <w:vAlign w:val="center"/>
            <w:tcMar>
              <w:top w:w="100" w:type="dxa"/>
              <w:bottom w:w="100" w:type="dxa"/>
              <w:left w:w="150" w:type="dxa"/>
              <w:right w:w="150" w:type="dxa"/>
            </w:tcMar>
          </w:tcPr>
          <w:p>
            <w:pPr>
              <w:spacing w:before="80" w:after="80" w:line="276" w:lineRule="auto"/>
              <w:jc w:val="left"/>
            </w:pPr>
            <w:r/>
            <w:r>
              <w:rPr>
                <w:rFonts w:ascii="Arial" w:hAnsi="Arial"/>
                <w:b w:val="0"/>
                <w:sz w:val="19"/>
              </w:rPr>
              <w:t>Create the initial database schema inventory and compile the API route list to prepare for modern endpoint mapping.</w:t>
            </w:r>
          </w:p>
        </w:tc>
        <w:tc>
          <w:tcPr>
            <w:tcW w:type="dxa" w:w="1728"/>
            <w:vAlign w:val="center"/>
            <w:tcMar>
              <w:top w:w="100" w:type="dxa"/>
              <w:bottom w:w="100" w:type="dxa"/>
              <w:left w:w="150" w:type="dxa"/>
              <w:right w:w="150" w:type="dxa"/>
            </w:tcMar>
          </w:tcPr>
          <w:p>
            <w:pPr>
              <w:spacing w:before="80" w:after="80" w:line="276" w:lineRule="auto"/>
              <w:jc w:val="center"/>
            </w:pPr>
            <w:r/>
            <w:r>
              <w:rPr>
                <w:rFonts w:ascii="Arial" w:hAnsi="Arial"/>
                <w:b w:val="0"/>
                <w:sz w:val="19"/>
              </w:rPr>
              <w:t>Completed</w:t>
            </w:r>
          </w:p>
        </w:tc>
      </w:tr>
    </w:tbl>
    <w:p>
      <w:pPr>
        <w:spacing w:before="160"/>
      </w:pPr>
    </w:p>
    <w:p>
      <w:pPr>
        <w:jc w:val="center"/>
      </w:pPr>
      <w:r>
        <w:rPr>
          <w:i/>
          <w:color w:val="1F4E79"/>
          <w:sz w:val="19"/>
        </w:rPr>
        <w:t>* See Page 2 for Detailed Technical Work Log and Code/Schema Verification *</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2592"/>
            <w:vAlign w:val="center"/>
          </w:tcPr>
          <w:p>
            <w:r>
              <w:drawing>
                <wp:inline xmlns:a="http://schemas.openxmlformats.org/drawingml/2006/main" xmlns:pic="http://schemas.openxmlformats.org/drawingml/2006/picture">
                  <wp:extent cx="1280160" cy="426720"/>
                  <wp:docPr id="2" name="Picture 2"/>
                  <wp:cNvGraphicFramePr>
                    <a:graphicFrameLocks noChangeAspect="1"/>
                  </wp:cNvGraphicFramePr>
                  <a:graphic>
                    <a:graphicData uri="http://schemas.openxmlformats.org/drawingml/2006/picture">
                      <pic:pic>
                        <pic:nvPicPr>
                          <pic:cNvPr id="0" name="ssrl_logo.png"/>
                          <pic:cNvPicPr/>
                        </pic:nvPicPr>
                        <pic:blipFill>
                          <a:blip r:embed="rId9"/>
                          <a:stretch>
                            <a:fillRect/>
                          </a:stretch>
                        </pic:blipFill>
                        <pic:spPr>
                          <a:xfrm>
                            <a:off x="0" y="0"/>
                            <a:ext cx="1280160" cy="426720"/>
                          </a:xfrm>
                          <a:prstGeom prst="rect"/>
                        </pic:spPr>
                      </pic:pic>
                    </a:graphicData>
                  </a:graphic>
                </wp:inline>
              </w:drawing>
            </w:r>
          </w:p>
        </w:tc>
        <w:tc>
          <w:tcPr>
            <w:tcW w:type="dxa" w:w="7488"/>
            <w:vAlign w:val="center"/>
          </w:tcPr>
          <w:p>
            <w:pPr>
              <w:spacing w:before="80" w:after="80" w:line="276" w:lineRule="auto"/>
              <w:jc w:val="center"/>
            </w:pPr>
            <w:r/>
            <w:r>
              <w:rPr>
                <w:rFonts w:ascii="Arial" w:hAnsi="Arial"/>
                <w:b/>
                <w:color w:val="1F4E79"/>
                <w:sz w:val="26"/>
              </w:rPr>
              <w:t>Detailed Work Log &amp; Technical Breakdown (02-07-2026)</w:t>
            </w:r>
          </w:p>
        </w:tc>
      </w:tr>
    </w:tbl>
    <w:p>
      <w:pPr>
        <w:spacing w:before="80"/>
      </w:pPr>
    </w:p>
    <w:p>
      <w:pPr>
        <w:spacing w:after="160"/>
      </w:pPr>
      <w:r>
        <w:rPr>
          <w:b/>
          <w:color w:val="1F4E79"/>
          <w:sz w:val="23"/>
          <w:highlight w:val="yellow"/>
        </w:rPr>
        <w:t>Implementation Evidence &amp; Verification Log</w:t>
      </w:r>
    </w:p>
    <w:p>
      <w:pPr>
        <w:spacing w:before="120" w:after="60"/>
      </w:pPr>
      <w:r>
        <w:rPr>
          <w:b/>
          <w:color w:val="1F4E79"/>
          <w:sz w:val="21"/>
        </w:rPr>
        <w:t>Task 1: Analyze Legacy System</w:t>
      </w:r>
    </w:p>
    <w:p>
      <w:pPr>
        <w:spacing w:after="40"/>
        <w:ind w:left="288"/>
      </w:pPr>
      <w:r>
        <w:rPr>
          <w:b/>
          <w:sz w:val="19"/>
        </w:rPr>
        <w:t xml:space="preserve">Implementation Details: </w:t>
      </w:r>
      <w:r>
        <w:rPr>
          <w:sz w:val="19"/>
        </w:rPr>
        <w:t>Reviewed old PHP blade files in uhc/resources/views/ and matched routes in uhc/routes/web.php. Identified existing Reception slip forms, accounts transaction logs, pharmacy inventory ledgers, lab result views, and student godown lists. Documented session handling, database query logic, and user permissions used in the old codebase to plan a smooth transition to Next.js API-based authorization.</w:t>
      </w:r>
    </w:p>
    <w:p>
      <w:pPr>
        <w:spacing w:after="40"/>
        <w:ind w:left="288"/>
      </w:pPr>
      <w:r>
        <w:rPr>
          <w:b/>
          <w:sz w:val="19"/>
        </w:rPr>
        <w:t xml:space="preserve">Key Files Involved: </w:t>
      </w:r>
      <w:r>
        <w:rPr>
          <w:rFonts w:ascii="Consolas" w:hAnsi="Consolas"/>
          <w:sz w:val="19"/>
        </w:rPr>
        <w:br/>
        <w:t>- uhc/resources/views/reports/*</w:t>
        <w:br/>
        <w:t>- uhc/routes/web.php</w:t>
        <w:br/>
        <w:t>- uhc/app/Http/Controllers/*.php</w:t>
      </w:r>
    </w:p>
    <w:p>
      <w:pPr>
        <w:spacing w:after="40"/>
        <w:ind w:left="288"/>
      </w:pPr>
      <w:r>
        <w:rPr>
          <w:b/>
          <w:sz w:val="19"/>
        </w:rPr>
        <w:t xml:space="preserve">Database / Architecture Impact: </w:t>
      </w:r>
      <w:r>
        <w:rPr>
          <w:sz w:val="19"/>
        </w:rPr>
        <w:t>Read-only audit of MySQL schema. Drafted data mapping for transition of legacy tables: members, transactions, receipts, pharmacy_items, lab_reports.</w:t>
      </w:r>
    </w:p>
    <w:p>
      <w:pPr>
        <w:spacing w:after="120"/>
        <w:ind w:left="288"/>
      </w:pPr>
      <w:r>
        <w:rPr>
          <w:b/>
          <w:sz w:val="19"/>
        </w:rPr>
        <w:t xml:space="preserve">Validation &amp; Verification Check: </w:t>
      </w:r>
      <w:r>
        <w:rPr>
          <w:sz w:val="19"/>
        </w:rPr>
        <w:t>Checked local development server. Verified all legacy blade views loaded correctly and documented route parameters for backend compatibility.</w:t>
      </w:r>
    </w:p>
    <w:p>
      <w:pPr>
        <w:spacing w:before="120" w:after="60"/>
      </w:pPr>
      <w:r>
        <w:rPr>
          <w:b/>
          <w:color w:val="1F4E79"/>
          <w:sz w:val="21"/>
        </w:rPr>
        <w:t>Task 2: Design System Boundaries</w:t>
      </w:r>
    </w:p>
    <w:p>
      <w:pPr>
        <w:spacing w:after="40"/>
        <w:ind w:left="288"/>
      </w:pPr>
      <w:r>
        <w:rPr>
          <w:b/>
          <w:sz w:val="19"/>
        </w:rPr>
        <w:t xml:space="preserve">Implementation Details: </w:t>
      </w:r>
      <w:r>
        <w:rPr>
          <w:sz w:val="19"/>
        </w:rPr>
        <w:t>Created architectural boundary plan. Established port allocations (Next.js client on port 3000, Laravel backend API on port 8000). Defined the request flow where the browser communicates using JSON over HTTP. Drafted payload structures for the new authentication APIs (/api/login, /api/logout, /api/user) and initial admin control views.</w:t>
      </w:r>
    </w:p>
    <w:p>
      <w:pPr>
        <w:spacing w:after="40"/>
        <w:ind w:left="288"/>
      </w:pPr>
      <w:r>
        <w:rPr>
          <w:b/>
          <w:sz w:val="19"/>
        </w:rPr>
        <w:t xml:space="preserve">Key Files Involved: </w:t>
      </w:r>
      <w:r>
        <w:rPr>
          <w:rFonts w:ascii="Consolas" w:hAnsi="Consolas"/>
          <w:sz w:val="19"/>
        </w:rPr>
        <w:br/>
        <w:t>- frontend/package.json (draft dependencies)</w:t>
        <w:br/>
        <w:t>- uhc/routes/api.php (endpoints design)</w:t>
      </w:r>
    </w:p>
    <w:p>
      <w:pPr>
        <w:spacing w:after="40"/>
        <w:ind w:left="288"/>
      </w:pPr>
      <w:r>
        <w:rPr>
          <w:b/>
          <w:sz w:val="19"/>
        </w:rPr>
        <w:t xml:space="preserve">Database / Architecture Impact: </w:t>
      </w:r>
      <w:r>
        <w:rPr>
          <w:sz w:val="19"/>
        </w:rPr>
        <w:t>None. Established backend-frontend network boundaries and CORS/Sanctum configuration guidelines in config/cors.php.</w:t>
      </w:r>
    </w:p>
    <w:p>
      <w:pPr>
        <w:spacing w:after="120"/>
        <w:ind w:left="288"/>
      </w:pPr>
      <w:r>
        <w:rPr>
          <w:b/>
          <w:sz w:val="19"/>
        </w:rPr>
        <w:t xml:space="preserve">Validation &amp; Verification Check: </w:t>
      </w:r>
      <w:r>
        <w:rPr>
          <w:sz w:val="19"/>
        </w:rPr>
        <w:t>Ping tests between frontend local server and backend port to verify port accessibility without firewall blocks.</w:t>
      </w:r>
    </w:p>
    <w:p>
      <w:pPr>
        <w:spacing w:before="120" w:after="60"/>
      </w:pPr>
      <w:r>
        <w:rPr>
          <w:b/>
          <w:color w:val="1F4E79"/>
          <w:sz w:val="21"/>
        </w:rPr>
        <w:t>Task 3: Inventory Database Schema</w:t>
      </w:r>
    </w:p>
    <w:p>
      <w:pPr>
        <w:spacing w:after="40"/>
        <w:ind w:left="288"/>
      </w:pPr>
      <w:r>
        <w:rPr>
          <w:b/>
          <w:sz w:val="19"/>
        </w:rPr>
        <w:t xml:space="preserve">Implementation Details: </w:t>
      </w:r>
      <w:r>
        <w:rPr>
          <w:sz w:val="19"/>
        </w:rPr>
        <w:t>Compiled a master list of all 87 database migrations. Cataloged tables, indexes, foreign keys, and nullable field behaviors to ensure compatibility. Prepared a comprehensive API route map aligning modern frontend page modules with backend controllers.</w:t>
      </w:r>
    </w:p>
    <w:p>
      <w:pPr>
        <w:spacing w:after="40"/>
        <w:ind w:left="288"/>
      </w:pPr>
      <w:r>
        <w:rPr>
          <w:b/>
          <w:sz w:val="19"/>
        </w:rPr>
        <w:t xml:space="preserve">Key Files Involved: </w:t>
      </w:r>
      <w:r>
        <w:rPr>
          <w:rFonts w:ascii="Consolas" w:hAnsi="Consolas"/>
          <w:sz w:val="19"/>
        </w:rPr>
        <w:br/>
        <w:t>- u/docs/architecture.md</w:t>
        <w:br/>
        <w:t>- u/docs/components-and-apis.md (created drafts)</w:t>
      </w:r>
    </w:p>
    <w:p>
      <w:pPr>
        <w:spacing w:after="40"/>
        <w:ind w:left="288"/>
      </w:pPr>
      <w:r>
        <w:rPr>
          <w:b/>
          <w:sz w:val="19"/>
        </w:rPr>
        <w:t xml:space="preserve">Database / Architecture Impact: </w:t>
      </w:r>
      <w:r>
        <w:rPr>
          <w:sz w:val="19"/>
        </w:rPr>
        <w:t>Identified tables requiring indexes (e.g., membership numbers, transaction dates, inventory codes) to optimize lookup performance.</w:t>
      </w:r>
    </w:p>
    <w:p>
      <w:pPr>
        <w:spacing w:after="120"/>
        <w:ind w:left="288"/>
      </w:pPr>
      <w:r>
        <w:rPr>
          <w:b/>
          <w:sz w:val="19"/>
        </w:rPr>
        <w:t xml:space="preserve">Validation &amp; Verification Check: </w:t>
      </w:r>
      <w:r>
        <w:rPr>
          <w:sz w:val="19"/>
        </w:rPr>
        <w:t>Ran 'php artisan route:list' and documented output parameters to identify duplicate and legacy API web routes.</w:t>
      </w:r>
    </w:p>
    <w:p>
      <w:pPr>
        <w:spacing w:before="160"/>
      </w:pPr>
    </w:p>
    <w:p>
      <w:pPr>
        <w:spacing w:before="160" w:after="280"/>
        <w:jc w:val="right"/>
      </w:pPr>
      <w:r>
        <w:rPr>
          <w:rFonts w:ascii="Arial" w:hAnsi="Arial"/>
          <w:b/>
          <w:sz w:val="20"/>
        </w:rPr>
        <w:t>Supervisor Signature: __________________</w:t>
      </w:r>
    </w:p>
    <w:p>
      <w:pPr>
        <w:spacing w:before="80" w:after="80"/>
      </w:pPr>
      <w:r>
        <w:rPr>
          <w:rFonts w:ascii="Arial" w:hAnsi="Arial"/>
          <w:b/>
          <w:color w:val="1F4E79"/>
          <w:sz w:val="22"/>
        </w:rPr>
        <w:t>Supervisor's Remarks</w:t>
      </w:r>
    </w:p>
    <w:p>
      <w:pPr>
        <w:spacing w:before="40" w:after="40"/>
      </w:pPr>
      <w:r>
        <w:rPr>
          <w:rFonts w:ascii="Arial" w:hAnsi="Arial"/>
          <w:sz w:val="19"/>
        </w:rPr>
        <w:t>Approved: __________________________________________________________________________</w:t>
      </w:r>
    </w:p>
    <w:p>
      <w:pPr>
        <w:spacing w:before="40" w:after="40"/>
      </w:pPr>
      <w:r>
        <w:rPr>
          <w:rFonts w:ascii="Arial" w:hAnsi="Arial"/>
          <w:sz w:val="19"/>
        </w:rPr>
        <w:t>Unapproved: ________________________________________________________________________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