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B7433" w14:textId="4DB5BCC5" w:rsidR="00283AD6" w:rsidRDefault="00283AD6" w:rsidP="00CF2FFB">
      <w:pPr>
        <w:rPr>
          <w:b/>
          <w:bCs/>
          <w:sz w:val="36"/>
          <w:szCs w:val="36"/>
          <w:lang w:val="en-US"/>
        </w:rPr>
      </w:pPr>
      <w:r>
        <w:rPr>
          <w:b/>
          <w:bCs/>
          <w:sz w:val="36"/>
          <w:szCs w:val="36"/>
          <w:lang w:val="en-US"/>
        </w:rPr>
        <w:t xml:space="preserve">Name: Shahzaib Ali </w:t>
      </w:r>
    </w:p>
    <w:p w14:paraId="31A1B1B6" w14:textId="232B5462" w:rsidR="00283AD6" w:rsidRDefault="00283AD6" w:rsidP="00283AD6">
      <w:pPr>
        <w:rPr>
          <w:b/>
          <w:bCs/>
          <w:sz w:val="36"/>
          <w:szCs w:val="36"/>
          <w:lang w:val="en-US"/>
        </w:rPr>
      </w:pPr>
      <w:r>
        <w:rPr>
          <w:b/>
          <w:bCs/>
          <w:sz w:val="36"/>
          <w:szCs w:val="36"/>
          <w:lang w:val="en-US"/>
        </w:rPr>
        <w:t>Roll Number: 22i0576</w:t>
      </w:r>
      <w:r>
        <w:rPr>
          <w:b/>
          <w:bCs/>
          <w:sz w:val="36"/>
          <w:szCs w:val="36"/>
          <w:lang w:val="en-US"/>
        </w:rPr>
        <w:br/>
        <w:t>Section: AI-B</w:t>
      </w:r>
    </w:p>
    <w:p w14:paraId="7F8984B8" w14:textId="030FA396" w:rsidR="00283AD6" w:rsidRDefault="00283AD6" w:rsidP="00283AD6">
      <w:pPr>
        <w:rPr>
          <w:b/>
          <w:bCs/>
          <w:sz w:val="36"/>
          <w:szCs w:val="36"/>
          <w:lang w:val="en-US"/>
        </w:rPr>
      </w:pPr>
      <w:r>
        <w:rPr>
          <w:b/>
          <w:bCs/>
          <w:sz w:val="36"/>
          <w:szCs w:val="36"/>
          <w:lang w:val="en-US"/>
        </w:rPr>
        <w:t>Report</w:t>
      </w:r>
    </w:p>
    <w:p w14:paraId="49BD1978" w14:textId="7415B339" w:rsidR="00CF2FFB" w:rsidRPr="00283AD6" w:rsidRDefault="00CF2FFB" w:rsidP="00CF2FFB">
      <w:pPr>
        <w:rPr>
          <w:b/>
          <w:bCs/>
          <w:sz w:val="36"/>
          <w:szCs w:val="36"/>
          <w:lang w:val="en-US"/>
        </w:rPr>
      </w:pPr>
      <w:r w:rsidRPr="00283AD6">
        <w:rPr>
          <w:b/>
          <w:bCs/>
          <w:sz w:val="36"/>
          <w:szCs w:val="36"/>
          <w:lang w:val="en-US"/>
        </w:rPr>
        <w:t xml:space="preserve">DDL and ERD Explanation: </w:t>
      </w:r>
    </w:p>
    <w:p w14:paraId="02EE53A1" w14:textId="0C0AFA98" w:rsidR="003D00B7" w:rsidRDefault="003D00B7" w:rsidP="003D00B7">
      <w:pPr>
        <w:rPr>
          <w:b/>
          <w:bCs/>
          <w:lang w:val="en-US"/>
        </w:rPr>
      </w:pPr>
      <w:r w:rsidRPr="003D00B7">
        <w:rPr>
          <w:b/>
          <w:bCs/>
          <w:lang w:val="en-US"/>
        </w:rPr>
        <w:drawing>
          <wp:inline distT="0" distB="0" distL="0" distR="0" wp14:anchorId="1DDF7FE6" wp14:editId="4E3CD407">
            <wp:extent cx="5731510" cy="3081655"/>
            <wp:effectExtent l="0" t="0" r="2540" b="4445"/>
            <wp:docPr id="1823841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841771" name=""/>
                    <pic:cNvPicPr/>
                  </pic:nvPicPr>
                  <pic:blipFill>
                    <a:blip r:embed="rId7"/>
                    <a:stretch>
                      <a:fillRect/>
                    </a:stretch>
                  </pic:blipFill>
                  <pic:spPr>
                    <a:xfrm>
                      <a:off x="0" y="0"/>
                      <a:ext cx="5731510" cy="3081655"/>
                    </a:xfrm>
                    <a:prstGeom prst="rect">
                      <a:avLst/>
                    </a:prstGeom>
                  </pic:spPr>
                </pic:pic>
              </a:graphicData>
            </a:graphic>
          </wp:inline>
        </w:drawing>
      </w:r>
    </w:p>
    <w:p w14:paraId="4A9FF2EB" w14:textId="0E571753" w:rsidR="00CF2FFB" w:rsidRDefault="00CF2FFB" w:rsidP="00CF2FFB">
      <w:pPr>
        <w:rPr>
          <w:b/>
          <w:bCs/>
          <w:lang w:val="en-US"/>
        </w:rPr>
      </w:pPr>
    </w:p>
    <w:p w14:paraId="5AD426D4" w14:textId="77777777" w:rsidR="00CF2FFB" w:rsidRDefault="00CF2FFB" w:rsidP="00CF2FFB">
      <w:pPr>
        <w:rPr>
          <w:b/>
          <w:bCs/>
          <w:lang w:val="en-US"/>
        </w:rPr>
      </w:pPr>
    </w:p>
    <w:p w14:paraId="3C19A9F1" w14:textId="3E26928F" w:rsidR="00CF2FFB" w:rsidRPr="00CF2FFB" w:rsidRDefault="00CF2FFB" w:rsidP="00CF2FFB">
      <w:pPr>
        <w:rPr>
          <w:lang w:val="en-US"/>
        </w:rPr>
      </w:pPr>
      <w:r w:rsidRPr="00CF2FFB">
        <w:rPr>
          <w:b/>
          <w:bCs/>
          <w:lang w:val="en-US"/>
        </w:rPr>
        <w:t>Sector</w:t>
      </w:r>
      <w:r w:rsidRPr="00CF2FFB">
        <w:rPr>
          <w:lang w:val="en-US"/>
        </w:rPr>
        <w:t>:</w:t>
      </w:r>
    </w:p>
    <w:p w14:paraId="3F99629C" w14:textId="77777777" w:rsidR="00CF2FFB" w:rsidRPr="00CF2FFB" w:rsidRDefault="00CF2FFB" w:rsidP="00CF2FFB">
      <w:pPr>
        <w:numPr>
          <w:ilvl w:val="0"/>
          <w:numId w:val="12"/>
        </w:numPr>
        <w:rPr>
          <w:lang w:val="en-US"/>
        </w:rPr>
      </w:pPr>
      <w:proofErr w:type="gramStart"/>
      <w:r w:rsidRPr="00CF2FFB">
        <w:rPr>
          <w:lang w:val="en-US"/>
        </w:rPr>
        <w:t>Sector</w:t>
      </w:r>
      <w:proofErr w:type="gramEnd"/>
      <w:r w:rsidRPr="00CF2FFB">
        <w:rPr>
          <w:lang w:val="en-US"/>
        </w:rPr>
        <w:t xml:space="preserve"> contains sectors within which stocks can belong.</w:t>
      </w:r>
    </w:p>
    <w:p w14:paraId="7A68CF43" w14:textId="77777777" w:rsidR="00CF2FFB" w:rsidRPr="00CF2FFB" w:rsidRDefault="00CF2FFB" w:rsidP="00CF2FFB">
      <w:pPr>
        <w:numPr>
          <w:ilvl w:val="0"/>
          <w:numId w:val="12"/>
        </w:numPr>
        <w:rPr>
          <w:lang w:val="en-US"/>
        </w:rPr>
      </w:pPr>
      <w:r w:rsidRPr="00CF2FFB">
        <w:rPr>
          <w:lang w:val="en-US"/>
        </w:rPr>
        <w:t>Columns:</w:t>
      </w:r>
    </w:p>
    <w:p w14:paraId="21E44051" w14:textId="77777777" w:rsidR="00CF2FFB" w:rsidRPr="00CF2FFB" w:rsidRDefault="00CF2FFB" w:rsidP="00CF2FFB">
      <w:pPr>
        <w:numPr>
          <w:ilvl w:val="1"/>
          <w:numId w:val="12"/>
        </w:numPr>
        <w:rPr>
          <w:lang w:val="en-US"/>
        </w:rPr>
      </w:pPr>
      <w:proofErr w:type="spellStart"/>
      <w:r w:rsidRPr="00CF2FFB">
        <w:rPr>
          <w:lang w:val="en-US"/>
        </w:rPr>
        <w:t>Sector_ID</w:t>
      </w:r>
      <w:proofErr w:type="spellEnd"/>
      <w:r w:rsidRPr="00CF2FFB">
        <w:rPr>
          <w:lang w:val="en-US"/>
        </w:rPr>
        <w:t>: Primary key, uniquely identifying each sector.</w:t>
      </w:r>
    </w:p>
    <w:p w14:paraId="4C842A62" w14:textId="77777777" w:rsidR="00CF2FFB" w:rsidRPr="00CF2FFB" w:rsidRDefault="00CF2FFB" w:rsidP="00CF2FFB">
      <w:pPr>
        <w:numPr>
          <w:ilvl w:val="1"/>
          <w:numId w:val="12"/>
        </w:numPr>
        <w:rPr>
          <w:lang w:val="en-US"/>
        </w:rPr>
      </w:pPr>
      <w:r w:rsidRPr="00CF2FFB">
        <w:rPr>
          <w:lang w:val="en-US"/>
        </w:rPr>
        <w:t xml:space="preserve">Name: </w:t>
      </w:r>
      <w:proofErr w:type="gramStart"/>
      <w:r w:rsidRPr="00CF2FFB">
        <w:rPr>
          <w:lang w:val="en-US"/>
        </w:rPr>
        <w:t>Name of the sector,</w:t>
      </w:r>
      <w:proofErr w:type="gramEnd"/>
      <w:r w:rsidRPr="00CF2FFB">
        <w:rPr>
          <w:lang w:val="en-US"/>
        </w:rPr>
        <w:t xml:space="preserve"> must be unique.</w:t>
      </w:r>
    </w:p>
    <w:p w14:paraId="055ACBF8" w14:textId="77777777" w:rsidR="00CF2FFB" w:rsidRPr="00CF2FFB" w:rsidRDefault="00CF2FFB" w:rsidP="00CF2FFB">
      <w:pPr>
        <w:numPr>
          <w:ilvl w:val="0"/>
          <w:numId w:val="12"/>
        </w:numPr>
        <w:rPr>
          <w:lang w:val="en-US"/>
        </w:rPr>
      </w:pPr>
      <w:r w:rsidRPr="00CF2FFB">
        <w:rPr>
          <w:lang w:val="en-US"/>
        </w:rPr>
        <w:t xml:space="preserve">In the ERD, this entity is represented by the Sector entity and is linked to Stock and </w:t>
      </w:r>
      <w:proofErr w:type="spellStart"/>
      <w:r w:rsidRPr="00CF2FFB">
        <w:rPr>
          <w:lang w:val="en-US"/>
        </w:rPr>
        <w:t>Sector_Metrics</w:t>
      </w:r>
      <w:proofErr w:type="spellEnd"/>
      <w:r w:rsidRPr="00CF2FFB">
        <w:rPr>
          <w:lang w:val="en-US"/>
        </w:rPr>
        <w:t>.</w:t>
      </w:r>
    </w:p>
    <w:p w14:paraId="074F9ED2" w14:textId="68D155C2" w:rsidR="00CF2FFB" w:rsidRPr="00CF2FFB" w:rsidRDefault="00CF2FFB" w:rsidP="00CF2FFB">
      <w:pPr>
        <w:rPr>
          <w:lang w:val="en-US"/>
        </w:rPr>
      </w:pPr>
      <w:r w:rsidRPr="00CF2FFB">
        <w:rPr>
          <w:b/>
          <w:bCs/>
          <w:lang w:val="en-US"/>
        </w:rPr>
        <w:t>Stock</w:t>
      </w:r>
      <w:r w:rsidRPr="00CF2FFB">
        <w:rPr>
          <w:lang w:val="en-US"/>
        </w:rPr>
        <w:t>:</w:t>
      </w:r>
    </w:p>
    <w:p w14:paraId="148C9AD6" w14:textId="77777777" w:rsidR="00CF2FFB" w:rsidRPr="00CF2FFB" w:rsidRDefault="00CF2FFB" w:rsidP="00CF2FFB">
      <w:pPr>
        <w:numPr>
          <w:ilvl w:val="0"/>
          <w:numId w:val="13"/>
        </w:numPr>
        <w:rPr>
          <w:lang w:val="en-US"/>
        </w:rPr>
      </w:pPr>
      <w:r w:rsidRPr="00CF2FFB">
        <w:rPr>
          <w:lang w:val="en-US"/>
        </w:rPr>
        <w:t>Stock holds information on different stocks.</w:t>
      </w:r>
    </w:p>
    <w:p w14:paraId="711CAE39" w14:textId="77777777" w:rsidR="00CF2FFB" w:rsidRPr="00CF2FFB" w:rsidRDefault="00CF2FFB" w:rsidP="00CF2FFB">
      <w:pPr>
        <w:numPr>
          <w:ilvl w:val="0"/>
          <w:numId w:val="13"/>
        </w:numPr>
        <w:rPr>
          <w:lang w:val="en-US"/>
        </w:rPr>
      </w:pPr>
      <w:r w:rsidRPr="00CF2FFB">
        <w:rPr>
          <w:lang w:val="en-US"/>
        </w:rPr>
        <w:t>Columns:</w:t>
      </w:r>
    </w:p>
    <w:p w14:paraId="7454C088" w14:textId="77777777" w:rsidR="00CF2FFB" w:rsidRPr="00CF2FFB" w:rsidRDefault="00CF2FFB" w:rsidP="00CF2FFB">
      <w:pPr>
        <w:numPr>
          <w:ilvl w:val="1"/>
          <w:numId w:val="13"/>
        </w:numPr>
        <w:rPr>
          <w:lang w:val="en-US"/>
        </w:rPr>
      </w:pPr>
      <w:proofErr w:type="spellStart"/>
      <w:r w:rsidRPr="00CF2FFB">
        <w:rPr>
          <w:lang w:val="en-US"/>
        </w:rPr>
        <w:t>Stock_ID</w:t>
      </w:r>
      <w:proofErr w:type="spellEnd"/>
      <w:r w:rsidRPr="00CF2FFB">
        <w:rPr>
          <w:lang w:val="en-US"/>
        </w:rPr>
        <w:t>: Primary key for stocks.</w:t>
      </w:r>
    </w:p>
    <w:p w14:paraId="726B1D1C" w14:textId="77777777" w:rsidR="00CF2FFB" w:rsidRPr="00CF2FFB" w:rsidRDefault="00CF2FFB" w:rsidP="00CF2FFB">
      <w:pPr>
        <w:numPr>
          <w:ilvl w:val="1"/>
          <w:numId w:val="13"/>
        </w:numPr>
        <w:rPr>
          <w:lang w:val="en-US"/>
        </w:rPr>
      </w:pPr>
      <w:r w:rsidRPr="00CF2FFB">
        <w:rPr>
          <w:lang w:val="en-US"/>
        </w:rPr>
        <w:lastRenderedPageBreak/>
        <w:t xml:space="preserve">Name, City, </w:t>
      </w:r>
      <w:proofErr w:type="spellStart"/>
      <w:r w:rsidRPr="00CF2FFB">
        <w:rPr>
          <w:lang w:val="en-US"/>
        </w:rPr>
        <w:t>Exchange_Service_Name</w:t>
      </w:r>
      <w:proofErr w:type="spellEnd"/>
      <w:r w:rsidRPr="00CF2FFB">
        <w:rPr>
          <w:lang w:val="en-US"/>
        </w:rPr>
        <w:t>: Basic details about each stock.</w:t>
      </w:r>
    </w:p>
    <w:p w14:paraId="1248B72E" w14:textId="77777777" w:rsidR="00CF2FFB" w:rsidRPr="00CF2FFB" w:rsidRDefault="00CF2FFB" w:rsidP="00CF2FFB">
      <w:pPr>
        <w:numPr>
          <w:ilvl w:val="1"/>
          <w:numId w:val="13"/>
        </w:numPr>
        <w:rPr>
          <w:lang w:val="en-US"/>
        </w:rPr>
      </w:pPr>
      <w:proofErr w:type="spellStart"/>
      <w:r w:rsidRPr="00CF2FFB">
        <w:rPr>
          <w:lang w:val="en-US"/>
        </w:rPr>
        <w:t>Sector_ID</w:t>
      </w:r>
      <w:proofErr w:type="spellEnd"/>
      <w:r w:rsidRPr="00CF2FFB">
        <w:rPr>
          <w:lang w:val="en-US"/>
        </w:rPr>
        <w:t>: Foreign key, links each stock to a sector.</w:t>
      </w:r>
    </w:p>
    <w:p w14:paraId="0AA82ADE" w14:textId="77777777" w:rsidR="00CF2FFB" w:rsidRPr="00CF2FFB" w:rsidRDefault="00CF2FFB" w:rsidP="00CF2FFB">
      <w:pPr>
        <w:numPr>
          <w:ilvl w:val="1"/>
          <w:numId w:val="13"/>
        </w:numPr>
        <w:rPr>
          <w:lang w:val="en-US"/>
        </w:rPr>
      </w:pPr>
      <w:proofErr w:type="spellStart"/>
      <w:r w:rsidRPr="00CF2FFB">
        <w:rPr>
          <w:lang w:val="en-US"/>
        </w:rPr>
        <w:t>Stock_Type</w:t>
      </w:r>
      <w:proofErr w:type="spellEnd"/>
      <w:r w:rsidRPr="00CF2FFB">
        <w:rPr>
          <w:lang w:val="en-US"/>
        </w:rPr>
        <w:t>: Enumerated type defining the category of the stock (e.g., 'dividend', 'blue chip').</w:t>
      </w:r>
    </w:p>
    <w:p w14:paraId="7081413D" w14:textId="77777777" w:rsidR="00CF2FFB" w:rsidRPr="00CF2FFB" w:rsidRDefault="00CF2FFB" w:rsidP="00CF2FFB">
      <w:pPr>
        <w:numPr>
          <w:ilvl w:val="0"/>
          <w:numId w:val="13"/>
        </w:numPr>
        <w:rPr>
          <w:lang w:val="en-US"/>
        </w:rPr>
      </w:pPr>
      <w:r w:rsidRPr="00CF2FFB">
        <w:rPr>
          <w:lang w:val="en-US"/>
        </w:rPr>
        <w:t xml:space="preserve">This table is connected to </w:t>
      </w:r>
      <w:proofErr w:type="gramStart"/>
      <w:r w:rsidRPr="00CF2FFB">
        <w:rPr>
          <w:lang w:val="en-US"/>
        </w:rPr>
        <w:t>Sector</w:t>
      </w:r>
      <w:proofErr w:type="gramEnd"/>
      <w:r w:rsidRPr="00CF2FFB">
        <w:rPr>
          <w:lang w:val="en-US"/>
        </w:rPr>
        <w:t xml:space="preserve"> through the foreign key, linking each stock to a specific sector.</w:t>
      </w:r>
    </w:p>
    <w:p w14:paraId="29B0C303" w14:textId="41D3DD33" w:rsidR="00CF2FFB" w:rsidRPr="00CF2FFB" w:rsidRDefault="00CF2FFB" w:rsidP="00CF2FFB">
      <w:pPr>
        <w:rPr>
          <w:lang w:val="en-US"/>
        </w:rPr>
      </w:pPr>
      <w:proofErr w:type="spellStart"/>
      <w:r w:rsidRPr="00CF2FFB">
        <w:rPr>
          <w:b/>
          <w:bCs/>
          <w:lang w:val="en-US"/>
        </w:rPr>
        <w:t>Stock_Price_History</w:t>
      </w:r>
      <w:proofErr w:type="spellEnd"/>
      <w:r w:rsidRPr="00CF2FFB">
        <w:rPr>
          <w:lang w:val="en-US"/>
        </w:rPr>
        <w:t>:</w:t>
      </w:r>
    </w:p>
    <w:p w14:paraId="7D361BAF" w14:textId="77777777" w:rsidR="00CF2FFB" w:rsidRPr="00CF2FFB" w:rsidRDefault="00CF2FFB" w:rsidP="00CF2FFB">
      <w:pPr>
        <w:numPr>
          <w:ilvl w:val="0"/>
          <w:numId w:val="14"/>
        </w:numPr>
        <w:rPr>
          <w:lang w:val="en-US"/>
        </w:rPr>
      </w:pPr>
      <w:r w:rsidRPr="00CF2FFB">
        <w:rPr>
          <w:lang w:val="en-US"/>
        </w:rPr>
        <w:t>Stores the historical price data for each stock.</w:t>
      </w:r>
    </w:p>
    <w:p w14:paraId="1FD1015C" w14:textId="77777777" w:rsidR="00CF2FFB" w:rsidRPr="00CF2FFB" w:rsidRDefault="00CF2FFB" w:rsidP="00CF2FFB">
      <w:pPr>
        <w:numPr>
          <w:ilvl w:val="0"/>
          <w:numId w:val="14"/>
        </w:numPr>
        <w:rPr>
          <w:lang w:val="en-US"/>
        </w:rPr>
      </w:pPr>
      <w:r w:rsidRPr="00CF2FFB">
        <w:rPr>
          <w:lang w:val="en-US"/>
        </w:rPr>
        <w:t>Columns:</w:t>
      </w:r>
    </w:p>
    <w:p w14:paraId="302DF8C5" w14:textId="77777777" w:rsidR="00CF2FFB" w:rsidRPr="00CF2FFB" w:rsidRDefault="00CF2FFB" w:rsidP="00CF2FFB">
      <w:pPr>
        <w:numPr>
          <w:ilvl w:val="1"/>
          <w:numId w:val="14"/>
        </w:numPr>
        <w:rPr>
          <w:lang w:val="en-US"/>
        </w:rPr>
      </w:pPr>
      <w:proofErr w:type="spellStart"/>
      <w:r w:rsidRPr="00CF2FFB">
        <w:rPr>
          <w:lang w:val="en-US"/>
        </w:rPr>
        <w:t>Stock_History_ID</w:t>
      </w:r>
      <w:proofErr w:type="spellEnd"/>
      <w:r w:rsidRPr="00CF2FFB">
        <w:rPr>
          <w:lang w:val="en-US"/>
        </w:rPr>
        <w:t>: Primary key for price history entries.</w:t>
      </w:r>
    </w:p>
    <w:p w14:paraId="6EAD68F1" w14:textId="77777777" w:rsidR="00CF2FFB" w:rsidRPr="00CF2FFB" w:rsidRDefault="00CF2FFB" w:rsidP="00CF2FFB">
      <w:pPr>
        <w:numPr>
          <w:ilvl w:val="1"/>
          <w:numId w:val="14"/>
        </w:numPr>
        <w:rPr>
          <w:lang w:val="en-US"/>
        </w:rPr>
      </w:pPr>
      <w:proofErr w:type="spellStart"/>
      <w:r w:rsidRPr="00CF2FFB">
        <w:rPr>
          <w:lang w:val="en-US"/>
        </w:rPr>
        <w:t>Stock_ID</w:t>
      </w:r>
      <w:proofErr w:type="spellEnd"/>
      <w:r w:rsidRPr="00CF2FFB">
        <w:rPr>
          <w:lang w:val="en-US"/>
        </w:rPr>
        <w:t>: Foreign key linking to the Stock table.</w:t>
      </w:r>
    </w:p>
    <w:p w14:paraId="0D9FDB6B" w14:textId="77777777" w:rsidR="00CF2FFB" w:rsidRPr="00CF2FFB" w:rsidRDefault="00CF2FFB" w:rsidP="00CF2FFB">
      <w:pPr>
        <w:numPr>
          <w:ilvl w:val="1"/>
          <w:numId w:val="14"/>
        </w:numPr>
        <w:rPr>
          <w:lang w:val="en-US"/>
        </w:rPr>
      </w:pPr>
      <w:r w:rsidRPr="00CF2FFB">
        <w:rPr>
          <w:lang w:val="en-US"/>
        </w:rPr>
        <w:t>Date, Open, High, Low, Close, Volume: Details of stock prices on a specific date.</w:t>
      </w:r>
    </w:p>
    <w:p w14:paraId="48B140B5" w14:textId="77777777" w:rsidR="00CF2FFB" w:rsidRPr="00CF2FFB" w:rsidRDefault="00CF2FFB" w:rsidP="00CF2FFB">
      <w:pPr>
        <w:numPr>
          <w:ilvl w:val="0"/>
          <w:numId w:val="14"/>
        </w:numPr>
        <w:rPr>
          <w:lang w:val="en-US"/>
        </w:rPr>
      </w:pPr>
      <w:r w:rsidRPr="00CF2FFB">
        <w:rPr>
          <w:lang w:val="en-US"/>
        </w:rPr>
        <w:t>This corresponds to the Stock Price History entity in the ERD, showing the daily price history of each stock.</w:t>
      </w:r>
    </w:p>
    <w:p w14:paraId="530C395E" w14:textId="77D9D2AD" w:rsidR="00CF2FFB" w:rsidRPr="00CF2FFB" w:rsidRDefault="00CF2FFB" w:rsidP="00CF2FFB">
      <w:pPr>
        <w:rPr>
          <w:lang w:val="en-US"/>
        </w:rPr>
      </w:pPr>
      <w:proofErr w:type="spellStart"/>
      <w:r w:rsidRPr="00CF2FFB">
        <w:rPr>
          <w:b/>
          <w:bCs/>
          <w:lang w:val="en-US"/>
        </w:rPr>
        <w:t>Stock_Metrics</w:t>
      </w:r>
      <w:proofErr w:type="spellEnd"/>
      <w:r w:rsidRPr="00CF2FFB">
        <w:rPr>
          <w:lang w:val="en-US"/>
        </w:rPr>
        <w:t>:</w:t>
      </w:r>
    </w:p>
    <w:p w14:paraId="1701AE48" w14:textId="77777777" w:rsidR="00CF2FFB" w:rsidRPr="00CF2FFB" w:rsidRDefault="00CF2FFB" w:rsidP="00CF2FFB">
      <w:pPr>
        <w:numPr>
          <w:ilvl w:val="0"/>
          <w:numId w:val="15"/>
        </w:numPr>
        <w:rPr>
          <w:lang w:val="en-US"/>
        </w:rPr>
      </w:pPr>
      <w:r w:rsidRPr="00CF2FFB">
        <w:rPr>
          <w:lang w:val="en-US"/>
        </w:rPr>
        <w:t>Holds specific metrics for each stock, such as dividend and historical price records.</w:t>
      </w:r>
    </w:p>
    <w:p w14:paraId="3687BF8C" w14:textId="77777777" w:rsidR="00CF2FFB" w:rsidRPr="00CF2FFB" w:rsidRDefault="00CF2FFB" w:rsidP="00CF2FFB">
      <w:pPr>
        <w:numPr>
          <w:ilvl w:val="0"/>
          <w:numId w:val="15"/>
        </w:numPr>
        <w:rPr>
          <w:lang w:val="en-US"/>
        </w:rPr>
      </w:pPr>
      <w:r w:rsidRPr="00CF2FFB">
        <w:rPr>
          <w:lang w:val="en-US"/>
        </w:rPr>
        <w:t>Columns:</w:t>
      </w:r>
    </w:p>
    <w:p w14:paraId="10CC2AF7" w14:textId="77777777" w:rsidR="00CF2FFB" w:rsidRPr="00CF2FFB" w:rsidRDefault="00CF2FFB" w:rsidP="00CF2FFB">
      <w:pPr>
        <w:numPr>
          <w:ilvl w:val="1"/>
          <w:numId w:val="15"/>
        </w:numPr>
        <w:rPr>
          <w:lang w:val="en-US"/>
        </w:rPr>
      </w:pPr>
      <w:proofErr w:type="spellStart"/>
      <w:r w:rsidRPr="00CF2FFB">
        <w:rPr>
          <w:lang w:val="en-US"/>
        </w:rPr>
        <w:t>Stock_Metrics_ID</w:t>
      </w:r>
      <w:proofErr w:type="spellEnd"/>
      <w:r w:rsidRPr="00CF2FFB">
        <w:rPr>
          <w:lang w:val="en-US"/>
        </w:rPr>
        <w:t>: Primary key for stock metrics.</w:t>
      </w:r>
    </w:p>
    <w:p w14:paraId="0398F5B0" w14:textId="77777777" w:rsidR="00CF2FFB" w:rsidRPr="00CF2FFB" w:rsidRDefault="00CF2FFB" w:rsidP="00CF2FFB">
      <w:pPr>
        <w:numPr>
          <w:ilvl w:val="1"/>
          <w:numId w:val="15"/>
        </w:numPr>
        <w:rPr>
          <w:lang w:val="en-US"/>
        </w:rPr>
      </w:pPr>
      <w:proofErr w:type="spellStart"/>
      <w:r w:rsidRPr="00CF2FFB">
        <w:rPr>
          <w:lang w:val="en-US"/>
        </w:rPr>
        <w:t>Stock_ID</w:t>
      </w:r>
      <w:proofErr w:type="spellEnd"/>
      <w:r w:rsidRPr="00CF2FFB">
        <w:rPr>
          <w:lang w:val="en-US"/>
        </w:rPr>
        <w:t>: Foreign key linking to Stock.</w:t>
      </w:r>
    </w:p>
    <w:p w14:paraId="1E161E02" w14:textId="77777777" w:rsidR="00CF2FFB" w:rsidRPr="00CF2FFB" w:rsidRDefault="00CF2FFB" w:rsidP="00CF2FFB">
      <w:pPr>
        <w:numPr>
          <w:ilvl w:val="1"/>
          <w:numId w:val="15"/>
        </w:numPr>
        <w:rPr>
          <w:lang w:val="en-US"/>
        </w:rPr>
      </w:pPr>
      <w:r w:rsidRPr="00CF2FFB">
        <w:rPr>
          <w:lang w:val="en-US"/>
        </w:rPr>
        <w:t xml:space="preserve">Dividend, </w:t>
      </w:r>
      <w:proofErr w:type="spellStart"/>
      <w:proofErr w:type="gramStart"/>
      <w:r w:rsidRPr="00CF2FFB">
        <w:rPr>
          <w:lang w:val="en-US"/>
        </w:rPr>
        <w:t>All</w:t>
      </w:r>
      <w:proofErr w:type="gramEnd"/>
      <w:r w:rsidRPr="00CF2FFB">
        <w:rPr>
          <w:lang w:val="en-US"/>
        </w:rPr>
        <w:t>_Time_High</w:t>
      </w:r>
      <w:proofErr w:type="spellEnd"/>
      <w:r w:rsidRPr="00CF2FFB">
        <w:rPr>
          <w:lang w:val="en-US"/>
        </w:rPr>
        <w:t xml:space="preserve">, 52_Week_High, 52_Week_Low, </w:t>
      </w:r>
      <w:proofErr w:type="spellStart"/>
      <w:r w:rsidRPr="00CF2FFB">
        <w:rPr>
          <w:lang w:val="en-US"/>
        </w:rPr>
        <w:t>Insider_Ownership</w:t>
      </w:r>
      <w:proofErr w:type="spellEnd"/>
      <w:r w:rsidRPr="00CF2FFB">
        <w:rPr>
          <w:lang w:val="en-US"/>
        </w:rPr>
        <w:t>: Metrics that give additional insight into the stock.</w:t>
      </w:r>
    </w:p>
    <w:p w14:paraId="5189E7A0" w14:textId="77777777" w:rsidR="00CF2FFB" w:rsidRPr="00CF2FFB" w:rsidRDefault="00CF2FFB" w:rsidP="00CF2FFB">
      <w:pPr>
        <w:numPr>
          <w:ilvl w:val="0"/>
          <w:numId w:val="15"/>
        </w:numPr>
        <w:rPr>
          <w:lang w:val="en-US"/>
        </w:rPr>
      </w:pPr>
      <w:r w:rsidRPr="00CF2FFB">
        <w:rPr>
          <w:lang w:val="en-US"/>
        </w:rPr>
        <w:t>This table is represented in the ERD as part of the Stock Metrics entity and is connected to Stock.</w:t>
      </w:r>
    </w:p>
    <w:p w14:paraId="3287C81B" w14:textId="7A743F4A" w:rsidR="00CF2FFB" w:rsidRPr="00CF2FFB" w:rsidRDefault="00CF2FFB" w:rsidP="00CF2FFB">
      <w:pPr>
        <w:rPr>
          <w:lang w:val="en-US"/>
        </w:rPr>
      </w:pPr>
      <w:proofErr w:type="spellStart"/>
      <w:r w:rsidRPr="00CF2FFB">
        <w:rPr>
          <w:b/>
          <w:bCs/>
          <w:lang w:val="en-US"/>
        </w:rPr>
        <w:t>Sector_Metrics</w:t>
      </w:r>
      <w:proofErr w:type="spellEnd"/>
      <w:r w:rsidRPr="00CF2FFB">
        <w:rPr>
          <w:lang w:val="en-US"/>
        </w:rPr>
        <w:t>:</w:t>
      </w:r>
    </w:p>
    <w:p w14:paraId="1E148BA0" w14:textId="77777777" w:rsidR="00CF2FFB" w:rsidRPr="00CF2FFB" w:rsidRDefault="00CF2FFB" w:rsidP="00CF2FFB">
      <w:pPr>
        <w:numPr>
          <w:ilvl w:val="0"/>
          <w:numId w:val="16"/>
        </w:numPr>
        <w:rPr>
          <w:lang w:val="en-US"/>
        </w:rPr>
      </w:pPr>
      <w:r w:rsidRPr="00CF2FFB">
        <w:rPr>
          <w:lang w:val="en-US"/>
        </w:rPr>
        <w:t>Stores metrics specific to each sector.</w:t>
      </w:r>
    </w:p>
    <w:p w14:paraId="153D4E79" w14:textId="77777777" w:rsidR="00CF2FFB" w:rsidRPr="00CF2FFB" w:rsidRDefault="00CF2FFB" w:rsidP="00CF2FFB">
      <w:pPr>
        <w:numPr>
          <w:ilvl w:val="0"/>
          <w:numId w:val="16"/>
        </w:numPr>
        <w:rPr>
          <w:lang w:val="en-US"/>
        </w:rPr>
      </w:pPr>
      <w:r w:rsidRPr="00CF2FFB">
        <w:rPr>
          <w:lang w:val="en-US"/>
        </w:rPr>
        <w:t>Columns:</w:t>
      </w:r>
    </w:p>
    <w:p w14:paraId="6BF82729" w14:textId="77777777" w:rsidR="00CF2FFB" w:rsidRPr="00CF2FFB" w:rsidRDefault="00CF2FFB" w:rsidP="00CF2FFB">
      <w:pPr>
        <w:numPr>
          <w:ilvl w:val="1"/>
          <w:numId w:val="16"/>
        </w:numPr>
        <w:rPr>
          <w:lang w:val="en-US"/>
        </w:rPr>
      </w:pPr>
      <w:proofErr w:type="spellStart"/>
      <w:r w:rsidRPr="00CF2FFB">
        <w:rPr>
          <w:lang w:val="en-US"/>
        </w:rPr>
        <w:t>Sector_Metrics_ID</w:t>
      </w:r>
      <w:proofErr w:type="spellEnd"/>
      <w:r w:rsidRPr="00CF2FFB">
        <w:rPr>
          <w:lang w:val="en-US"/>
        </w:rPr>
        <w:t>: Primary key for sector metrics.</w:t>
      </w:r>
    </w:p>
    <w:p w14:paraId="2A033A5F" w14:textId="77777777" w:rsidR="00CF2FFB" w:rsidRPr="00CF2FFB" w:rsidRDefault="00CF2FFB" w:rsidP="00CF2FFB">
      <w:pPr>
        <w:numPr>
          <w:ilvl w:val="1"/>
          <w:numId w:val="16"/>
        </w:numPr>
        <w:rPr>
          <w:lang w:val="en-US"/>
        </w:rPr>
      </w:pPr>
      <w:proofErr w:type="spellStart"/>
      <w:r w:rsidRPr="00CF2FFB">
        <w:rPr>
          <w:lang w:val="en-US"/>
        </w:rPr>
        <w:t>Sector_ID</w:t>
      </w:r>
      <w:proofErr w:type="spellEnd"/>
      <w:r w:rsidRPr="00CF2FFB">
        <w:rPr>
          <w:lang w:val="en-US"/>
        </w:rPr>
        <w:t>: Foreign key linking to Sector.</w:t>
      </w:r>
    </w:p>
    <w:p w14:paraId="58E30655" w14:textId="77777777" w:rsidR="00CF2FFB" w:rsidRPr="00CF2FFB" w:rsidRDefault="00CF2FFB" w:rsidP="00CF2FFB">
      <w:pPr>
        <w:numPr>
          <w:ilvl w:val="1"/>
          <w:numId w:val="16"/>
        </w:numPr>
        <w:rPr>
          <w:lang w:val="en-US"/>
        </w:rPr>
      </w:pPr>
      <w:proofErr w:type="spellStart"/>
      <w:r w:rsidRPr="00CF2FFB">
        <w:rPr>
          <w:lang w:val="en-US"/>
        </w:rPr>
        <w:t>Dividend_Yield</w:t>
      </w:r>
      <w:proofErr w:type="spellEnd"/>
      <w:r w:rsidRPr="00CF2FFB">
        <w:rPr>
          <w:lang w:val="en-US"/>
        </w:rPr>
        <w:t xml:space="preserve">, </w:t>
      </w:r>
      <w:proofErr w:type="spellStart"/>
      <w:r w:rsidRPr="00CF2FFB">
        <w:rPr>
          <w:lang w:val="en-US"/>
        </w:rPr>
        <w:t>Market_Cap</w:t>
      </w:r>
      <w:proofErr w:type="spellEnd"/>
      <w:r w:rsidRPr="00CF2FFB">
        <w:rPr>
          <w:lang w:val="en-US"/>
        </w:rPr>
        <w:t xml:space="preserve">, </w:t>
      </w:r>
      <w:proofErr w:type="spellStart"/>
      <w:r w:rsidRPr="00CF2FFB">
        <w:rPr>
          <w:lang w:val="en-US"/>
        </w:rPr>
        <w:t>P_E_Ratio</w:t>
      </w:r>
      <w:proofErr w:type="spellEnd"/>
      <w:r w:rsidRPr="00CF2FFB">
        <w:rPr>
          <w:lang w:val="en-US"/>
        </w:rPr>
        <w:t>: Key financial metrics for a sector.</w:t>
      </w:r>
    </w:p>
    <w:p w14:paraId="1876D115" w14:textId="77777777" w:rsidR="00CF2FFB" w:rsidRPr="00CF2FFB" w:rsidRDefault="00CF2FFB" w:rsidP="00CF2FFB">
      <w:pPr>
        <w:numPr>
          <w:ilvl w:val="0"/>
          <w:numId w:val="16"/>
        </w:numPr>
        <w:rPr>
          <w:lang w:val="en-US"/>
        </w:rPr>
      </w:pPr>
      <w:r w:rsidRPr="00CF2FFB">
        <w:rPr>
          <w:lang w:val="en-US"/>
        </w:rPr>
        <w:t>In the ERD, this corresponds to the Sector Metrics entity, which provides overall metrics for each sector.</w:t>
      </w:r>
    </w:p>
    <w:p w14:paraId="213FE32E" w14:textId="58ACF13E" w:rsidR="00CF2FFB" w:rsidRPr="00CF2FFB" w:rsidRDefault="00CF2FFB" w:rsidP="00CF2FFB">
      <w:pPr>
        <w:rPr>
          <w:lang w:val="en-US"/>
        </w:rPr>
      </w:pPr>
      <w:r w:rsidRPr="00CF2FFB">
        <w:rPr>
          <w:b/>
          <w:bCs/>
          <w:lang w:val="en-US"/>
        </w:rPr>
        <w:t>Investor</w:t>
      </w:r>
      <w:r w:rsidRPr="00CF2FFB">
        <w:rPr>
          <w:lang w:val="en-US"/>
        </w:rPr>
        <w:t>:</w:t>
      </w:r>
    </w:p>
    <w:p w14:paraId="2AFB194E" w14:textId="77777777" w:rsidR="00CF2FFB" w:rsidRPr="00CF2FFB" w:rsidRDefault="00CF2FFB" w:rsidP="00CF2FFB">
      <w:pPr>
        <w:numPr>
          <w:ilvl w:val="0"/>
          <w:numId w:val="17"/>
        </w:numPr>
        <w:rPr>
          <w:lang w:val="en-US"/>
        </w:rPr>
      </w:pPr>
      <w:r w:rsidRPr="00CF2FFB">
        <w:rPr>
          <w:lang w:val="en-US"/>
        </w:rPr>
        <w:lastRenderedPageBreak/>
        <w:t>Represents individual investors in the database.</w:t>
      </w:r>
    </w:p>
    <w:p w14:paraId="7E0684A6" w14:textId="77777777" w:rsidR="00CF2FFB" w:rsidRPr="00CF2FFB" w:rsidRDefault="00CF2FFB" w:rsidP="00CF2FFB">
      <w:pPr>
        <w:numPr>
          <w:ilvl w:val="0"/>
          <w:numId w:val="17"/>
        </w:numPr>
        <w:rPr>
          <w:lang w:val="en-US"/>
        </w:rPr>
      </w:pPr>
      <w:r w:rsidRPr="00CF2FFB">
        <w:rPr>
          <w:lang w:val="en-US"/>
        </w:rPr>
        <w:t>Columns:</w:t>
      </w:r>
    </w:p>
    <w:p w14:paraId="5B1BC0CD" w14:textId="77777777" w:rsidR="00CF2FFB" w:rsidRPr="00CF2FFB" w:rsidRDefault="00CF2FFB" w:rsidP="00CF2FFB">
      <w:pPr>
        <w:numPr>
          <w:ilvl w:val="1"/>
          <w:numId w:val="17"/>
        </w:numPr>
        <w:rPr>
          <w:lang w:val="en-US"/>
        </w:rPr>
      </w:pPr>
      <w:proofErr w:type="spellStart"/>
      <w:r w:rsidRPr="00CF2FFB">
        <w:rPr>
          <w:lang w:val="en-US"/>
        </w:rPr>
        <w:t>Investor_ID</w:t>
      </w:r>
      <w:proofErr w:type="spellEnd"/>
      <w:r w:rsidRPr="00CF2FFB">
        <w:rPr>
          <w:lang w:val="en-US"/>
        </w:rPr>
        <w:t>: Primary key for each investor.</w:t>
      </w:r>
    </w:p>
    <w:p w14:paraId="52C052E9" w14:textId="77777777" w:rsidR="00CF2FFB" w:rsidRPr="00CF2FFB" w:rsidRDefault="00CF2FFB" w:rsidP="00CF2FFB">
      <w:pPr>
        <w:numPr>
          <w:ilvl w:val="1"/>
          <w:numId w:val="17"/>
        </w:numPr>
        <w:rPr>
          <w:lang w:val="en-US"/>
        </w:rPr>
      </w:pPr>
      <w:r w:rsidRPr="00CF2FFB">
        <w:rPr>
          <w:lang w:val="en-US"/>
        </w:rPr>
        <w:t>Name: The investor's name.</w:t>
      </w:r>
    </w:p>
    <w:p w14:paraId="373997B3" w14:textId="77777777" w:rsidR="00CF2FFB" w:rsidRPr="00CF2FFB" w:rsidRDefault="00CF2FFB" w:rsidP="00CF2FFB">
      <w:pPr>
        <w:numPr>
          <w:ilvl w:val="0"/>
          <w:numId w:val="17"/>
        </w:numPr>
        <w:rPr>
          <w:lang w:val="en-US"/>
        </w:rPr>
      </w:pPr>
      <w:r w:rsidRPr="00CF2FFB">
        <w:rPr>
          <w:lang w:val="en-US"/>
        </w:rPr>
        <w:t>This table corresponds to the Investor entity in the ERD.</w:t>
      </w:r>
    </w:p>
    <w:p w14:paraId="377D8CD0" w14:textId="31DBB936" w:rsidR="00CF2FFB" w:rsidRPr="00CF2FFB" w:rsidRDefault="00CF2FFB" w:rsidP="00CF2FFB">
      <w:pPr>
        <w:rPr>
          <w:lang w:val="en-US"/>
        </w:rPr>
      </w:pPr>
      <w:r w:rsidRPr="00CF2FFB">
        <w:rPr>
          <w:b/>
          <w:bCs/>
          <w:lang w:val="en-US"/>
        </w:rPr>
        <w:t>Investment Table</w:t>
      </w:r>
      <w:r w:rsidRPr="00CF2FFB">
        <w:rPr>
          <w:lang w:val="en-US"/>
        </w:rPr>
        <w:t>:</w:t>
      </w:r>
    </w:p>
    <w:p w14:paraId="668FD8C8" w14:textId="77777777" w:rsidR="00CF2FFB" w:rsidRPr="00CF2FFB" w:rsidRDefault="00CF2FFB" w:rsidP="00CF2FFB">
      <w:pPr>
        <w:numPr>
          <w:ilvl w:val="0"/>
          <w:numId w:val="18"/>
        </w:numPr>
        <w:rPr>
          <w:lang w:val="en-US"/>
        </w:rPr>
      </w:pPr>
      <w:r w:rsidRPr="00CF2FFB">
        <w:rPr>
          <w:lang w:val="en-US"/>
        </w:rPr>
        <w:t>Details individual investments made by investors.</w:t>
      </w:r>
    </w:p>
    <w:p w14:paraId="377C6CF7" w14:textId="77777777" w:rsidR="00CF2FFB" w:rsidRPr="00CF2FFB" w:rsidRDefault="00CF2FFB" w:rsidP="00CF2FFB">
      <w:pPr>
        <w:numPr>
          <w:ilvl w:val="0"/>
          <w:numId w:val="18"/>
        </w:numPr>
        <w:rPr>
          <w:lang w:val="en-US"/>
        </w:rPr>
      </w:pPr>
      <w:r w:rsidRPr="00CF2FFB">
        <w:rPr>
          <w:lang w:val="en-US"/>
        </w:rPr>
        <w:t>Columns:</w:t>
      </w:r>
    </w:p>
    <w:p w14:paraId="3B6D0052" w14:textId="77777777" w:rsidR="00CF2FFB" w:rsidRPr="00CF2FFB" w:rsidRDefault="00CF2FFB" w:rsidP="00CF2FFB">
      <w:pPr>
        <w:numPr>
          <w:ilvl w:val="1"/>
          <w:numId w:val="18"/>
        </w:numPr>
        <w:rPr>
          <w:lang w:val="en-US"/>
        </w:rPr>
      </w:pPr>
      <w:proofErr w:type="spellStart"/>
      <w:r w:rsidRPr="00CF2FFB">
        <w:rPr>
          <w:lang w:val="en-US"/>
        </w:rPr>
        <w:t>Investment_ID</w:t>
      </w:r>
      <w:proofErr w:type="spellEnd"/>
      <w:r w:rsidRPr="00CF2FFB">
        <w:rPr>
          <w:lang w:val="en-US"/>
        </w:rPr>
        <w:t>: Primary key for each investment.</w:t>
      </w:r>
    </w:p>
    <w:p w14:paraId="5FB2134B" w14:textId="77777777" w:rsidR="00CF2FFB" w:rsidRPr="00CF2FFB" w:rsidRDefault="00CF2FFB" w:rsidP="00CF2FFB">
      <w:pPr>
        <w:numPr>
          <w:ilvl w:val="1"/>
          <w:numId w:val="18"/>
        </w:numPr>
        <w:rPr>
          <w:lang w:val="en-US"/>
        </w:rPr>
      </w:pPr>
      <w:proofErr w:type="spellStart"/>
      <w:r w:rsidRPr="00CF2FFB">
        <w:rPr>
          <w:lang w:val="en-US"/>
        </w:rPr>
        <w:t>Investor_ID</w:t>
      </w:r>
      <w:proofErr w:type="spellEnd"/>
      <w:r w:rsidRPr="00CF2FFB">
        <w:rPr>
          <w:lang w:val="en-US"/>
        </w:rPr>
        <w:t>: Foreign key linking to the Investor table.</w:t>
      </w:r>
    </w:p>
    <w:p w14:paraId="4D9B055A" w14:textId="77777777" w:rsidR="00CF2FFB" w:rsidRPr="00CF2FFB" w:rsidRDefault="00CF2FFB" w:rsidP="00CF2FFB">
      <w:pPr>
        <w:numPr>
          <w:ilvl w:val="1"/>
          <w:numId w:val="18"/>
        </w:numPr>
        <w:rPr>
          <w:lang w:val="en-US"/>
        </w:rPr>
      </w:pPr>
      <w:proofErr w:type="spellStart"/>
      <w:r w:rsidRPr="00CF2FFB">
        <w:rPr>
          <w:lang w:val="en-US"/>
        </w:rPr>
        <w:t>Investment_Type</w:t>
      </w:r>
      <w:proofErr w:type="spellEnd"/>
      <w:r w:rsidRPr="00CF2FFB">
        <w:rPr>
          <w:lang w:val="en-US"/>
        </w:rPr>
        <w:t>: Type of investment (e.g., 'Short', 'Long').</w:t>
      </w:r>
    </w:p>
    <w:p w14:paraId="4F29371E" w14:textId="77777777" w:rsidR="00CF2FFB" w:rsidRPr="00CF2FFB" w:rsidRDefault="00CF2FFB" w:rsidP="00CF2FFB">
      <w:pPr>
        <w:numPr>
          <w:ilvl w:val="1"/>
          <w:numId w:val="18"/>
        </w:numPr>
        <w:rPr>
          <w:lang w:val="en-US"/>
        </w:rPr>
      </w:pPr>
      <w:r w:rsidRPr="00CF2FFB">
        <w:rPr>
          <w:lang w:val="en-US"/>
        </w:rPr>
        <w:t xml:space="preserve">Fees, </w:t>
      </w:r>
      <w:proofErr w:type="spellStart"/>
      <w:r w:rsidRPr="00CF2FFB">
        <w:rPr>
          <w:lang w:val="en-US"/>
        </w:rPr>
        <w:t>Net_Gain_Loss</w:t>
      </w:r>
      <w:proofErr w:type="spellEnd"/>
      <w:r w:rsidRPr="00CF2FFB">
        <w:rPr>
          <w:lang w:val="en-US"/>
        </w:rPr>
        <w:t xml:space="preserve">, </w:t>
      </w:r>
      <w:proofErr w:type="spellStart"/>
      <w:r w:rsidRPr="00CF2FFB">
        <w:rPr>
          <w:lang w:val="en-US"/>
        </w:rPr>
        <w:t>Investment_Date</w:t>
      </w:r>
      <w:proofErr w:type="spellEnd"/>
      <w:r w:rsidRPr="00CF2FFB">
        <w:rPr>
          <w:lang w:val="en-US"/>
        </w:rPr>
        <w:t>: Financial details related to the investment.</w:t>
      </w:r>
    </w:p>
    <w:p w14:paraId="7B34698A" w14:textId="77777777" w:rsidR="00CF2FFB" w:rsidRPr="00CF2FFB" w:rsidRDefault="00CF2FFB" w:rsidP="00CF2FFB">
      <w:pPr>
        <w:numPr>
          <w:ilvl w:val="0"/>
          <w:numId w:val="18"/>
        </w:numPr>
        <w:rPr>
          <w:lang w:val="en-US"/>
        </w:rPr>
      </w:pPr>
      <w:r w:rsidRPr="00CF2FFB">
        <w:rPr>
          <w:lang w:val="en-US"/>
        </w:rPr>
        <w:t>This corresponds to the Investment entity in the ERD, representing specific investments by each investor.</w:t>
      </w:r>
    </w:p>
    <w:p w14:paraId="24C1C5B3" w14:textId="7DAFBEFF" w:rsidR="00CF2FFB" w:rsidRPr="00CF2FFB" w:rsidRDefault="00CF2FFB" w:rsidP="00CF2FFB">
      <w:pPr>
        <w:rPr>
          <w:lang w:val="en-US"/>
        </w:rPr>
      </w:pPr>
      <w:r w:rsidRPr="00CF2FFB">
        <w:rPr>
          <w:b/>
          <w:bCs/>
          <w:lang w:val="en-US"/>
        </w:rPr>
        <w:t>Trade</w:t>
      </w:r>
      <w:r w:rsidRPr="00CF2FFB">
        <w:rPr>
          <w:lang w:val="en-US"/>
        </w:rPr>
        <w:t>:</w:t>
      </w:r>
    </w:p>
    <w:p w14:paraId="38CA3387" w14:textId="77777777" w:rsidR="00CF2FFB" w:rsidRPr="00CF2FFB" w:rsidRDefault="00CF2FFB" w:rsidP="00CF2FFB">
      <w:pPr>
        <w:numPr>
          <w:ilvl w:val="0"/>
          <w:numId w:val="19"/>
        </w:numPr>
        <w:rPr>
          <w:lang w:val="en-US"/>
        </w:rPr>
      </w:pPr>
      <w:r w:rsidRPr="00CF2FFB">
        <w:rPr>
          <w:lang w:val="en-US"/>
        </w:rPr>
        <w:t>Stores details of each trade transaction.</w:t>
      </w:r>
    </w:p>
    <w:p w14:paraId="4027912B" w14:textId="77777777" w:rsidR="00CF2FFB" w:rsidRPr="00CF2FFB" w:rsidRDefault="00CF2FFB" w:rsidP="00CF2FFB">
      <w:pPr>
        <w:numPr>
          <w:ilvl w:val="0"/>
          <w:numId w:val="19"/>
        </w:numPr>
        <w:rPr>
          <w:lang w:val="en-US"/>
        </w:rPr>
      </w:pPr>
      <w:r w:rsidRPr="00CF2FFB">
        <w:rPr>
          <w:lang w:val="en-US"/>
        </w:rPr>
        <w:t>Columns:</w:t>
      </w:r>
    </w:p>
    <w:p w14:paraId="48F8F144" w14:textId="77777777" w:rsidR="00CF2FFB" w:rsidRPr="00CF2FFB" w:rsidRDefault="00CF2FFB" w:rsidP="00CF2FFB">
      <w:pPr>
        <w:numPr>
          <w:ilvl w:val="1"/>
          <w:numId w:val="19"/>
        </w:numPr>
        <w:rPr>
          <w:lang w:val="en-US"/>
        </w:rPr>
      </w:pPr>
      <w:proofErr w:type="spellStart"/>
      <w:r w:rsidRPr="00CF2FFB">
        <w:rPr>
          <w:lang w:val="en-US"/>
        </w:rPr>
        <w:t>Trade_ID</w:t>
      </w:r>
      <w:proofErr w:type="spellEnd"/>
      <w:r w:rsidRPr="00CF2FFB">
        <w:rPr>
          <w:lang w:val="en-US"/>
        </w:rPr>
        <w:t>: Primary key for each trade.</w:t>
      </w:r>
    </w:p>
    <w:p w14:paraId="114CA4F5" w14:textId="77777777" w:rsidR="00CF2FFB" w:rsidRPr="00CF2FFB" w:rsidRDefault="00CF2FFB" w:rsidP="00CF2FFB">
      <w:pPr>
        <w:numPr>
          <w:ilvl w:val="1"/>
          <w:numId w:val="19"/>
        </w:numPr>
        <w:rPr>
          <w:lang w:val="en-US"/>
        </w:rPr>
      </w:pPr>
      <w:proofErr w:type="spellStart"/>
      <w:r w:rsidRPr="00CF2FFB">
        <w:rPr>
          <w:lang w:val="en-US"/>
        </w:rPr>
        <w:t>Trade_Date</w:t>
      </w:r>
      <w:proofErr w:type="spellEnd"/>
      <w:r w:rsidRPr="00CF2FFB">
        <w:rPr>
          <w:lang w:val="en-US"/>
        </w:rPr>
        <w:t xml:space="preserve">, </w:t>
      </w:r>
      <w:proofErr w:type="spellStart"/>
      <w:r w:rsidRPr="00CF2FFB">
        <w:rPr>
          <w:lang w:val="en-US"/>
        </w:rPr>
        <w:t>Asset_Class</w:t>
      </w:r>
      <w:proofErr w:type="spellEnd"/>
      <w:r w:rsidRPr="00CF2FFB">
        <w:rPr>
          <w:lang w:val="en-US"/>
        </w:rPr>
        <w:t xml:space="preserve">, Quantity, </w:t>
      </w:r>
      <w:proofErr w:type="spellStart"/>
      <w:r w:rsidRPr="00CF2FFB">
        <w:rPr>
          <w:lang w:val="en-US"/>
        </w:rPr>
        <w:t>Price_Per_Unit</w:t>
      </w:r>
      <w:proofErr w:type="spellEnd"/>
      <w:r w:rsidRPr="00CF2FFB">
        <w:rPr>
          <w:lang w:val="en-US"/>
        </w:rPr>
        <w:t>: Basic details of the trade, such as the date, asset type, and quantity.</w:t>
      </w:r>
    </w:p>
    <w:p w14:paraId="44610A05" w14:textId="77777777" w:rsidR="00CF2FFB" w:rsidRPr="00CF2FFB" w:rsidRDefault="00CF2FFB" w:rsidP="00CF2FFB">
      <w:pPr>
        <w:numPr>
          <w:ilvl w:val="0"/>
          <w:numId w:val="19"/>
        </w:numPr>
        <w:rPr>
          <w:lang w:val="en-US"/>
        </w:rPr>
      </w:pPr>
      <w:r w:rsidRPr="00CF2FFB">
        <w:rPr>
          <w:lang w:val="en-US"/>
        </w:rPr>
        <w:t>This table represents the Trade entity in the ERD, detailing individual trade activities.</w:t>
      </w:r>
    </w:p>
    <w:p w14:paraId="59CA3270" w14:textId="5A3F36EB" w:rsidR="00CF2FFB" w:rsidRPr="00CF2FFB" w:rsidRDefault="00CF2FFB" w:rsidP="00CF2FFB">
      <w:pPr>
        <w:rPr>
          <w:lang w:val="en-US"/>
        </w:rPr>
      </w:pPr>
      <w:proofErr w:type="spellStart"/>
      <w:r w:rsidRPr="00CF2FFB">
        <w:rPr>
          <w:b/>
          <w:bCs/>
          <w:lang w:val="en-US"/>
        </w:rPr>
        <w:t>Trade_Stock_Relation</w:t>
      </w:r>
      <w:proofErr w:type="spellEnd"/>
      <w:r w:rsidRPr="00CF2FFB">
        <w:rPr>
          <w:lang w:val="en-US"/>
        </w:rPr>
        <w:t>:</w:t>
      </w:r>
    </w:p>
    <w:p w14:paraId="3CFDDD9C" w14:textId="77777777" w:rsidR="00CF2FFB" w:rsidRPr="00CF2FFB" w:rsidRDefault="00CF2FFB" w:rsidP="00CF2FFB">
      <w:pPr>
        <w:numPr>
          <w:ilvl w:val="0"/>
          <w:numId w:val="20"/>
        </w:numPr>
        <w:rPr>
          <w:lang w:val="en-US"/>
        </w:rPr>
      </w:pPr>
      <w:proofErr w:type="gramStart"/>
      <w:r w:rsidRPr="00CF2FFB">
        <w:rPr>
          <w:lang w:val="en-US"/>
        </w:rPr>
        <w:t>Associates</w:t>
      </w:r>
      <w:proofErr w:type="gramEnd"/>
      <w:r w:rsidRPr="00CF2FFB">
        <w:rPr>
          <w:lang w:val="en-US"/>
        </w:rPr>
        <w:t xml:space="preserve"> </w:t>
      </w:r>
      <w:proofErr w:type="gramStart"/>
      <w:r w:rsidRPr="00CF2FFB">
        <w:rPr>
          <w:lang w:val="en-US"/>
        </w:rPr>
        <w:t>trades</w:t>
      </w:r>
      <w:proofErr w:type="gramEnd"/>
      <w:r w:rsidRPr="00CF2FFB">
        <w:rPr>
          <w:lang w:val="en-US"/>
        </w:rPr>
        <w:t xml:space="preserve"> with specific stocks.</w:t>
      </w:r>
    </w:p>
    <w:p w14:paraId="722B8B3A" w14:textId="77777777" w:rsidR="00CF2FFB" w:rsidRPr="00CF2FFB" w:rsidRDefault="00CF2FFB" w:rsidP="00CF2FFB">
      <w:pPr>
        <w:numPr>
          <w:ilvl w:val="0"/>
          <w:numId w:val="20"/>
        </w:numPr>
        <w:rPr>
          <w:lang w:val="en-US"/>
        </w:rPr>
      </w:pPr>
      <w:r w:rsidRPr="00CF2FFB">
        <w:rPr>
          <w:lang w:val="en-US"/>
        </w:rPr>
        <w:t>Columns:</w:t>
      </w:r>
    </w:p>
    <w:p w14:paraId="0B891CF2" w14:textId="77777777" w:rsidR="00CF2FFB" w:rsidRPr="00CF2FFB" w:rsidRDefault="00CF2FFB" w:rsidP="00CF2FFB">
      <w:pPr>
        <w:numPr>
          <w:ilvl w:val="1"/>
          <w:numId w:val="20"/>
        </w:numPr>
        <w:rPr>
          <w:lang w:val="en-US"/>
        </w:rPr>
      </w:pPr>
      <w:proofErr w:type="spellStart"/>
      <w:r w:rsidRPr="00CF2FFB">
        <w:rPr>
          <w:lang w:val="en-US"/>
        </w:rPr>
        <w:t>Trade_Stock_ID</w:t>
      </w:r>
      <w:proofErr w:type="spellEnd"/>
      <w:r w:rsidRPr="00CF2FFB">
        <w:rPr>
          <w:lang w:val="en-US"/>
        </w:rPr>
        <w:t>: Primary key for trade-stock relationships.</w:t>
      </w:r>
    </w:p>
    <w:p w14:paraId="2628208B" w14:textId="77777777" w:rsidR="00CF2FFB" w:rsidRPr="00CF2FFB" w:rsidRDefault="00CF2FFB" w:rsidP="00CF2FFB">
      <w:pPr>
        <w:numPr>
          <w:ilvl w:val="1"/>
          <w:numId w:val="20"/>
        </w:numPr>
        <w:rPr>
          <w:lang w:val="en-US"/>
        </w:rPr>
      </w:pPr>
      <w:proofErr w:type="spellStart"/>
      <w:r w:rsidRPr="00CF2FFB">
        <w:rPr>
          <w:lang w:val="en-US"/>
        </w:rPr>
        <w:t>Trade_ID</w:t>
      </w:r>
      <w:proofErr w:type="spellEnd"/>
      <w:r w:rsidRPr="00CF2FFB">
        <w:rPr>
          <w:lang w:val="en-US"/>
        </w:rPr>
        <w:t>: Foreign key linking to Trade.</w:t>
      </w:r>
    </w:p>
    <w:p w14:paraId="6C7549E9" w14:textId="77777777" w:rsidR="00CF2FFB" w:rsidRPr="00CF2FFB" w:rsidRDefault="00CF2FFB" w:rsidP="00CF2FFB">
      <w:pPr>
        <w:numPr>
          <w:ilvl w:val="1"/>
          <w:numId w:val="20"/>
        </w:numPr>
        <w:rPr>
          <w:lang w:val="en-US"/>
        </w:rPr>
      </w:pPr>
      <w:proofErr w:type="spellStart"/>
      <w:r w:rsidRPr="00CF2FFB">
        <w:rPr>
          <w:lang w:val="en-US"/>
        </w:rPr>
        <w:t>Stock_ID</w:t>
      </w:r>
      <w:proofErr w:type="spellEnd"/>
      <w:r w:rsidRPr="00CF2FFB">
        <w:rPr>
          <w:lang w:val="en-US"/>
        </w:rPr>
        <w:t>: Foreign key linking to Stock.</w:t>
      </w:r>
    </w:p>
    <w:p w14:paraId="6AA1728B" w14:textId="77777777" w:rsidR="00CF2FFB" w:rsidRPr="00CF2FFB" w:rsidRDefault="00CF2FFB" w:rsidP="00CF2FFB">
      <w:pPr>
        <w:numPr>
          <w:ilvl w:val="0"/>
          <w:numId w:val="20"/>
        </w:numPr>
        <w:rPr>
          <w:lang w:val="en-US"/>
        </w:rPr>
      </w:pPr>
      <w:r w:rsidRPr="00CF2FFB">
        <w:rPr>
          <w:lang w:val="en-US"/>
        </w:rPr>
        <w:t>This table creates a many-to-many relationship between Trade and Stock, representing trades that involve specific stocks.</w:t>
      </w:r>
    </w:p>
    <w:p w14:paraId="4EB424EC" w14:textId="26B2DE72" w:rsidR="00CF2FFB" w:rsidRPr="00CF2FFB" w:rsidRDefault="00CF2FFB" w:rsidP="00CF2FFB">
      <w:pPr>
        <w:rPr>
          <w:lang w:val="en-US"/>
        </w:rPr>
      </w:pPr>
      <w:r w:rsidRPr="00CF2FFB">
        <w:rPr>
          <w:b/>
          <w:bCs/>
          <w:lang w:val="en-US"/>
        </w:rPr>
        <w:t>Market Table</w:t>
      </w:r>
      <w:r w:rsidRPr="00CF2FFB">
        <w:rPr>
          <w:lang w:val="en-US"/>
        </w:rPr>
        <w:t>:</w:t>
      </w:r>
    </w:p>
    <w:p w14:paraId="6FF9572F" w14:textId="77777777" w:rsidR="00CF2FFB" w:rsidRPr="00CF2FFB" w:rsidRDefault="00CF2FFB" w:rsidP="00CF2FFB">
      <w:pPr>
        <w:numPr>
          <w:ilvl w:val="0"/>
          <w:numId w:val="21"/>
        </w:numPr>
        <w:rPr>
          <w:lang w:val="en-US"/>
        </w:rPr>
      </w:pPr>
      <w:r w:rsidRPr="00CF2FFB">
        <w:rPr>
          <w:lang w:val="en-US"/>
        </w:rPr>
        <w:t>Represents different markets where trades can occur.</w:t>
      </w:r>
    </w:p>
    <w:p w14:paraId="4B92A407" w14:textId="77777777" w:rsidR="00CF2FFB" w:rsidRPr="00CF2FFB" w:rsidRDefault="00CF2FFB" w:rsidP="00CF2FFB">
      <w:pPr>
        <w:numPr>
          <w:ilvl w:val="0"/>
          <w:numId w:val="21"/>
        </w:numPr>
        <w:rPr>
          <w:lang w:val="en-US"/>
        </w:rPr>
      </w:pPr>
      <w:r w:rsidRPr="00CF2FFB">
        <w:rPr>
          <w:lang w:val="en-US"/>
        </w:rPr>
        <w:lastRenderedPageBreak/>
        <w:t>Columns:</w:t>
      </w:r>
    </w:p>
    <w:p w14:paraId="53AB876B" w14:textId="77777777" w:rsidR="00CF2FFB" w:rsidRPr="00CF2FFB" w:rsidRDefault="00CF2FFB" w:rsidP="00CF2FFB">
      <w:pPr>
        <w:numPr>
          <w:ilvl w:val="1"/>
          <w:numId w:val="21"/>
        </w:numPr>
        <w:rPr>
          <w:lang w:val="en-US"/>
        </w:rPr>
      </w:pPr>
      <w:proofErr w:type="spellStart"/>
      <w:r w:rsidRPr="00CF2FFB">
        <w:rPr>
          <w:lang w:val="en-US"/>
        </w:rPr>
        <w:t>Market_ID</w:t>
      </w:r>
      <w:proofErr w:type="spellEnd"/>
      <w:r w:rsidRPr="00CF2FFB">
        <w:rPr>
          <w:lang w:val="en-US"/>
        </w:rPr>
        <w:t>: Primary key for each market.</w:t>
      </w:r>
    </w:p>
    <w:p w14:paraId="7676FCC5" w14:textId="77777777" w:rsidR="00CF2FFB" w:rsidRPr="00CF2FFB" w:rsidRDefault="00CF2FFB" w:rsidP="00CF2FFB">
      <w:pPr>
        <w:numPr>
          <w:ilvl w:val="1"/>
          <w:numId w:val="21"/>
        </w:numPr>
        <w:rPr>
          <w:lang w:val="en-US"/>
        </w:rPr>
      </w:pPr>
      <w:r w:rsidRPr="00CF2FFB">
        <w:rPr>
          <w:lang w:val="en-US"/>
        </w:rPr>
        <w:t xml:space="preserve">Market: </w:t>
      </w:r>
      <w:proofErr w:type="gramStart"/>
      <w:r w:rsidRPr="00CF2FFB">
        <w:rPr>
          <w:lang w:val="en-US"/>
        </w:rPr>
        <w:t>Name of the market,</w:t>
      </w:r>
      <w:proofErr w:type="gramEnd"/>
      <w:r w:rsidRPr="00CF2FFB">
        <w:rPr>
          <w:lang w:val="en-US"/>
        </w:rPr>
        <w:t xml:space="preserve"> must be unique.</w:t>
      </w:r>
    </w:p>
    <w:p w14:paraId="4DCBF6CB" w14:textId="77777777" w:rsidR="00CF2FFB" w:rsidRPr="00CF2FFB" w:rsidRDefault="00CF2FFB" w:rsidP="00CF2FFB">
      <w:pPr>
        <w:numPr>
          <w:ilvl w:val="0"/>
          <w:numId w:val="21"/>
        </w:numPr>
        <w:rPr>
          <w:lang w:val="en-US"/>
        </w:rPr>
      </w:pPr>
      <w:r w:rsidRPr="00CF2FFB">
        <w:rPr>
          <w:lang w:val="en-US"/>
        </w:rPr>
        <w:t>This table corresponds to the Market entity in the ERD.</w:t>
      </w:r>
    </w:p>
    <w:p w14:paraId="24C7B2DF" w14:textId="0D586DFD" w:rsidR="00CF2FFB" w:rsidRPr="00CF2FFB" w:rsidRDefault="00CF2FFB" w:rsidP="00CF2FFB">
      <w:pPr>
        <w:rPr>
          <w:lang w:val="en-US"/>
        </w:rPr>
      </w:pPr>
      <w:proofErr w:type="spellStart"/>
      <w:r w:rsidRPr="00CF2FFB">
        <w:rPr>
          <w:b/>
          <w:bCs/>
          <w:lang w:val="en-US"/>
        </w:rPr>
        <w:t>Market_Order</w:t>
      </w:r>
      <w:proofErr w:type="spellEnd"/>
      <w:r w:rsidRPr="00CF2FFB">
        <w:rPr>
          <w:lang w:val="en-US"/>
        </w:rPr>
        <w:t>:</w:t>
      </w:r>
    </w:p>
    <w:p w14:paraId="1C25E8C9" w14:textId="77777777" w:rsidR="00CF2FFB" w:rsidRPr="00CF2FFB" w:rsidRDefault="00CF2FFB" w:rsidP="00CF2FFB">
      <w:pPr>
        <w:numPr>
          <w:ilvl w:val="0"/>
          <w:numId w:val="22"/>
        </w:numPr>
        <w:rPr>
          <w:lang w:val="en-US"/>
        </w:rPr>
      </w:pPr>
      <w:r w:rsidRPr="00CF2FFB">
        <w:rPr>
          <w:lang w:val="en-US"/>
        </w:rPr>
        <w:t>Represents orders placed in the market.</w:t>
      </w:r>
    </w:p>
    <w:p w14:paraId="75601D57" w14:textId="77777777" w:rsidR="00CF2FFB" w:rsidRPr="00CF2FFB" w:rsidRDefault="00CF2FFB" w:rsidP="00CF2FFB">
      <w:pPr>
        <w:numPr>
          <w:ilvl w:val="0"/>
          <w:numId w:val="22"/>
        </w:numPr>
        <w:rPr>
          <w:lang w:val="en-US"/>
        </w:rPr>
      </w:pPr>
      <w:r w:rsidRPr="00CF2FFB">
        <w:rPr>
          <w:lang w:val="en-US"/>
        </w:rPr>
        <w:t>Columns:</w:t>
      </w:r>
    </w:p>
    <w:p w14:paraId="035286E6" w14:textId="77777777" w:rsidR="00CF2FFB" w:rsidRPr="00CF2FFB" w:rsidRDefault="00CF2FFB" w:rsidP="00CF2FFB">
      <w:pPr>
        <w:numPr>
          <w:ilvl w:val="1"/>
          <w:numId w:val="22"/>
        </w:numPr>
        <w:rPr>
          <w:lang w:val="en-US"/>
        </w:rPr>
      </w:pPr>
      <w:proofErr w:type="spellStart"/>
      <w:r w:rsidRPr="00CF2FFB">
        <w:rPr>
          <w:lang w:val="en-US"/>
        </w:rPr>
        <w:t>Market_Order_ID</w:t>
      </w:r>
      <w:proofErr w:type="spellEnd"/>
      <w:r w:rsidRPr="00CF2FFB">
        <w:rPr>
          <w:lang w:val="en-US"/>
        </w:rPr>
        <w:t>: Primary key for each order.</w:t>
      </w:r>
    </w:p>
    <w:p w14:paraId="100DD570" w14:textId="77777777" w:rsidR="00CF2FFB" w:rsidRPr="00CF2FFB" w:rsidRDefault="00CF2FFB" w:rsidP="00CF2FFB">
      <w:pPr>
        <w:numPr>
          <w:ilvl w:val="1"/>
          <w:numId w:val="22"/>
        </w:numPr>
        <w:rPr>
          <w:lang w:val="en-US"/>
        </w:rPr>
      </w:pPr>
      <w:proofErr w:type="spellStart"/>
      <w:r w:rsidRPr="00CF2FFB">
        <w:rPr>
          <w:lang w:val="en-US"/>
        </w:rPr>
        <w:t>Market_ID</w:t>
      </w:r>
      <w:proofErr w:type="spellEnd"/>
      <w:r w:rsidRPr="00CF2FFB">
        <w:rPr>
          <w:lang w:val="en-US"/>
        </w:rPr>
        <w:t>: Foreign key linking to Market.</w:t>
      </w:r>
    </w:p>
    <w:p w14:paraId="7DC1DFC9" w14:textId="77777777" w:rsidR="00CF2FFB" w:rsidRPr="00CF2FFB" w:rsidRDefault="00CF2FFB" w:rsidP="00CF2FFB">
      <w:pPr>
        <w:numPr>
          <w:ilvl w:val="1"/>
          <w:numId w:val="22"/>
        </w:numPr>
        <w:rPr>
          <w:lang w:val="en-US"/>
        </w:rPr>
      </w:pPr>
      <w:proofErr w:type="spellStart"/>
      <w:r w:rsidRPr="00CF2FFB">
        <w:rPr>
          <w:lang w:val="en-US"/>
        </w:rPr>
        <w:t>Trade_Amount</w:t>
      </w:r>
      <w:proofErr w:type="spellEnd"/>
      <w:r w:rsidRPr="00CF2FFB">
        <w:rPr>
          <w:lang w:val="en-US"/>
        </w:rPr>
        <w:t xml:space="preserve">, </w:t>
      </w:r>
      <w:proofErr w:type="spellStart"/>
      <w:r w:rsidRPr="00CF2FFB">
        <w:rPr>
          <w:lang w:val="en-US"/>
        </w:rPr>
        <w:t>Order_Type</w:t>
      </w:r>
      <w:proofErr w:type="spellEnd"/>
      <w:r w:rsidRPr="00CF2FFB">
        <w:rPr>
          <w:lang w:val="en-US"/>
        </w:rPr>
        <w:t xml:space="preserve">, </w:t>
      </w:r>
      <w:proofErr w:type="spellStart"/>
      <w:r w:rsidRPr="00CF2FFB">
        <w:rPr>
          <w:lang w:val="en-US"/>
        </w:rPr>
        <w:t>Time_in_Trade</w:t>
      </w:r>
      <w:proofErr w:type="spellEnd"/>
      <w:r w:rsidRPr="00CF2FFB">
        <w:rPr>
          <w:lang w:val="en-US"/>
        </w:rPr>
        <w:t>: Details related to the market order, such as order type (limit or market).</w:t>
      </w:r>
    </w:p>
    <w:p w14:paraId="11B31869" w14:textId="77777777" w:rsidR="00CF2FFB" w:rsidRPr="00CF2FFB" w:rsidRDefault="00CF2FFB" w:rsidP="00CF2FFB">
      <w:pPr>
        <w:numPr>
          <w:ilvl w:val="0"/>
          <w:numId w:val="22"/>
        </w:numPr>
        <w:rPr>
          <w:lang w:val="en-US"/>
        </w:rPr>
      </w:pPr>
      <w:r w:rsidRPr="00CF2FFB">
        <w:rPr>
          <w:lang w:val="en-US"/>
        </w:rPr>
        <w:t>This entity corresponds to the Market Order entity in the ERD, showing individual market orders placed by investors.</w:t>
      </w:r>
    </w:p>
    <w:p w14:paraId="1EBC2753" w14:textId="38C70534" w:rsidR="00CF2FFB" w:rsidRPr="00CF2FFB" w:rsidRDefault="00CF2FFB" w:rsidP="00CF2FFB">
      <w:pPr>
        <w:rPr>
          <w:lang w:val="en-US"/>
        </w:rPr>
      </w:pPr>
      <w:r w:rsidRPr="00CF2FFB">
        <w:rPr>
          <w:b/>
          <w:bCs/>
          <w:lang w:val="en-US"/>
        </w:rPr>
        <w:t>Brokerage</w:t>
      </w:r>
      <w:r w:rsidRPr="00CF2FFB">
        <w:rPr>
          <w:lang w:val="en-US"/>
        </w:rPr>
        <w:t>:</w:t>
      </w:r>
    </w:p>
    <w:p w14:paraId="333D50F4" w14:textId="77777777" w:rsidR="00CF2FFB" w:rsidRPr="00CF2FFB" w:rsidRDefault="00CF2FFB" w:rsidP="00CF2FFB">
      <w:pPr>
        <w:numPr>
          <w:ilvl w:val="0"/>
          <w:numId w:val="23"/>
        </w:numPr>
        <w:rPr>
          <w:lang w:val="en-US"/>
        </w:rPr>
      </w:pPr>
      <w:r w:rsidRPr="00CF2FFB">
        <w:rPr>
          <w:lang w:val="en-US"/>
        </w:rPr>
        <w:t>Holds details about the brokerage services.</w:t>
      </w:r>
    </w:p>
    <w:p w14:paraId="52576426" w14:textId="77777777" w:rsidR="00CF2FFB" w:rsidRPr="00CF2FFB" w:rsidRDefault="00CF2FFB" w:rsidP="00CF2FFB">
      <w:pPr>
        <w:numPr>
          <w:ilvl w:val="0"/>
          <w:numId w:val="23"/>
        </w:numPr>
        <w:rPr>
          <w:lang w:val="en-US"/>
        </w:rPr>
      </w:pPr>
      <w:r w:rsidRPr="00CF2FFB">
        <w:rPr>
          <w:lang w:val="en-US"/>
        </w:rPr>
        <w:t>Columns:</w:t>
      </w:r>
    </w:p>
    <w:p w14:paraId="7DA9F8E4" w14:textId="77777777" w:rsidR="00CF2FFB" w:rsidRPr="00CF2FFB" w:rsidRDefault="00CF2FFB" w:rsidP="00CF2FFB">
      <w:pPr>
        <w:numPr>
          <w:ilvl w:val="1"/>
          <w:numId w:val="23"/>
        </w:numPr>
        <w:rPr>
          <w:lang w:val="en-US"/>
        </w:rPr>
      </w:pPr>
      <w:proofErr w:type="spellStart"/>
      <w:r w:rsidRPr="00CF2FFB">
        <w:rPr>
          <w:lang w:val="en-US"/>
        </w:rPr>
        <w:t>Brokerage_ID</w:t>
      </w:r>
      <w:proofErr w:type="spellEnd"/>
      <w:r w:rsidRPr="00CF2FFB">
        <w:rPr>
          <w:lang w:val="en-US"/>
        </w:rPr>
        <w:t>: Primary key for each brokerage record.</w:t>
      </w:r>
    </w:p>
    <w:p w14:paraId="7CBE4307" w14:textId="77777777" w:rsidR="00CF2FFB" w:rsidRPr="00CF2FFB" w:rsidRDefault="00CF2FFB" w:rsidP="00CF2FFB">
      <w:pPr>
        <w:numPr>
          <w:ilvl w:val="1"/>
          <w:numId w:val="23"/>
        </w:numPr>
        <w:rPr>
          <w:lang w:val="en-US"/>
        </w:rPr>
      </w:pPr>
      <w:proofErr w:type="spellStart"/>
      <w:r w:rsidRPr="00CF2FFB">
        <w:rPr>
          <w:lang w:val="en-US"/>
        </w:rPr>
        <w:t>Broker_Fee</w:t>
      </w:r>
      <w:proofErr w:type="spellEnd"/>
      <w:r w:rsidRPr="00CF2FFB">
        <w:rPr>
          <w:lang w:val="en-US"/>
        </w:rPr>
        <w:t xml:space="preserve">, </w:t>
      </w:r>
      <w:proofErr w:type="spellStart"/>
      <w:proofErr w:type="gramStart"/>
      <w:r w:rsidRPr="00CF2FFB">
        <w:rPr>
          <w:lang w:val="en-US"/>
        </w:rPr>
        <w:t>Holding</w:t>
      </w:r>
      <w:proofErr w:type="gramEnd"/>
      <w:r w:rsidRPr="00CF2FFB">
        <w:rPr>
          <w:lang w:val="en-US"/>
        </w:rPr>
        <w:t>_Period</w:t>
      </w:r>
      <w:proofErr w:type="spellEnd"/>
      <w:r w:rsidRPr="00CF2FFB">
        <w:rPr>
          <w:lang w:val="en-US"/>
        </w:rPr>
        <w:t xml:space="preserve">, </w:t>
      </w:r>
      <w:proofErr w:type="spellStart"/>
      <w:r w:rsidRPr="00CF2FFB">
        <w:rPr>
          <w:lang w:val="en-US"/>
        </w:rPr>
        <w:t>Exit_Price</w:t>
      </w:r>
      <w:proofErr w:type="spellEnd"/>
      <w:r w:rsidRPr="00CF2FFB">
        <w:rPr>
          <w:lang w:val="en-US"/>
        </w:rPr>
        <w:t xml:space="preserve">, </w:t>
      </w:r>
      <w:proofErr w:type="spellStart"/>
      <w:r w:rsidRPr="00CF2FFB">
        <w:rPr>
          <w:lang w:val="en-US"/>
        </w:rPr>
        <w:t>Price_Per_Unit</w:t>
      </w:r>
      <w:proofErr w:type="spellEnd"/>
      <w:r w:rsidRPr="00CF2FFB">
        <w:rPr>
          <w:lang w:val="en-US"/>
        </w:rPr>
        <w:t>: Financial details related to brokerage services.</w:t>
      </w:r>
    </w:p>
    <w:p w14:paraId="2A1E5BA8" w14:textId="77777777" w:rsidR="00CF2FFB" w:rsidRDefault="00CF2FFB" w:rsidP="00CF2FFB">
      <w:pPr>
        <w:numPr>
          <w:ilvl w:val="0"/>
          <w:numId w:val="23"/>
        </w:numPr>
        <w:rPr>
          <w:lang w:val="en-US"/>
        </w:rPr>
      </w:pPr>
      <w:r w:rsidRPr="00CF2FFB">
        <w:rPr>
          <w:lang w:val="en-US"/>
        </w:rPr>
        <w:t>This table represents the Brokerage entity in the ERD, detailing broker fees and related information.</w:t>
      </w:r>
    </w:p>
    <w:p w14:paraId="3587D5BD" w14:textId="77777777" w:rsidR="00283AD6" w:rsidRPr="00CF2FFB" w:rsidRDefault="00283AD6" w:rsidP="00283AD6">
      <w:pPr>
        <w:ind w:left="720"/>
        <w:rPr>
          <w:lang w:val="en-US"/>
        </w:rPr>
      </w:pPr>
    </w:p>
    <w:p w14:paraId="3592F680" w14:textId="686D5809" w:rsidR="00F53B8E" w:rsidRPr="00283AD6" w:rsidRDefault="00283AD6">
      <w:pPr>
        <w:rPr>
          <w:b/>
          <w:bCs/>
          <w:sz w:val="40"/>
          <w:szCs w:val="40"/>
          <w:lang w:val="en-US"/>
        </w:rPr>
      </w:pPr>
      <w:r w:rsidRPr="00283AD6">
        <w:rPr>
          <w:b/>
          <w:bCs/>
          <w:sz w:val="40"/>
          <w:szCs w:val="40"/>
          <w:lang w:val="en-US"/>
        </w:rPr>
        <w:t>Challenges Faced:</w:t>
      </w:r>
    </w:p>
    <w:p w14:paraId="0604054E" w14:textId="77777777" w:rsidR="00283AD6" w:rsidRPr="00283AD6" w:rsidRDefault="00283AD6" w:rsidP="00283AD6">
      <w:pPr>
        <w:rPr>
          <w:b/>
          <w:bCs/>
          <w:lang w:val="en-US"/>
        </w:rPr>
      </w:pPr>
      <w:r w:rsidRPr="00283AD6">
        <w:rPr>
          <w:b/>
          <w:bCs/>
          <w:lang w:val="en-US"/>
        </w:rPr>
        <w:t>1. Ensuring Data Integrity Across Relationships</w:t>
      </w:r>
    </w:p>
    <w:p w14:paraId="634C3137" w14:textId="77777777" w:rsidR="00283AD6" w:rsidRPr="00283AD6" w:rsidRDefault="00283AD6" w:rsidP="00283AD6">
      <w:pPr>
        <w:numPr>
          <w:ilvl w:val="0"/>
          <w:numId w:val="24"/>
        </w:numPr>
        <w:rPr>
          <w:lang w:val="en-US"/>
        </w:rPr>
      </w:pPr>
      <w:r w:rsidRPr="00283AD6">
        <w:rPr>
          <w:b/>
          <w:bCs/>
          <w:lang w:val="en-US"/>
        </w:rPr>
        <w:t>Challenge</w:t>
      </w:r>
      <w:r w:rsidRPr="00283AD6">
        <w:rPr>
          <w:lang w:val="en-US"/>
        </w:rPr>
        <w:t>: With multiple interdependent tables (e.g., Stock, Sector, Investment, and Trade), maintaining data consistency and enforcing relationships between entities can become complex.</w:t>
      </w:r>
    </w:p>
    <w:p w14:paraId="7D08E770" w14:textId="77777777" w:rsidR="00283AD6" w:rsidRPr="00283AD6" w:rsidRDefault="00283AD6" w:rsidP="00283AD6">
      <w:pPr>
        <w:numPr>
          <w:ilvl w:val="0"/>
          <w:numId w:val="24"/>
        </w:numPr>
        <w:rPr>
          <w:lang w:val="en-US"/>
        </w:rPr>
      </w:pPr>
      <w:r w:rsidRPr="00283AD6">
        <w:rPr>
          <w:b/>
          <w:bCs/>
          <w:lang w:val="en-US"/>
        </w:rPr>
        <w:t>Solution</w:t>
      </w:r>
      <w:r w:rsidRPr="00283AD6">
        <w:rPr>
          <w:lang w:val="en-US"/>
        </w:rPr>
        <w:t xml:space="preserve">: Using </w:t>
      </w:r>
      <w:r w:rsidRPr="00283AD6">
        <w:rPr>
          <w:b/>
          <w:bCs/>
          <w:lang w:val="en-US"/>
        </w:rPr>
        <w:t>foreign key constraints</w:t>
      </w:r>
      <w:r w:rsidRPr="00283AD6">
        <w:rPr>
          <w:lang w:val="en-US"/>
        </w:rPr>
        <w:t xml:space="preserve"> ensures that records in related tables (e.g., </w:t>
      </w:r>
      <w:proofErr w:type="spellStart"/>
      <w:r w:rsidRPr="00283AD6">
        <w:rPr>
          <w:lang w:val="en-US"/>
        </w:rPr>
        <w:t>Stock_ID</w:t>
      </w:r>
      <w:proofErr w:type="spellEnd"/>
      <w:r w:rsidRPr="00283AD6">
        <w:rPr>
          <w:lang w:val="en-US"/>
        </w:rPr>
        <w:t xml:space="preserve"> in </w:t>
      </w:r>
      <w:proofErr w:type="spellStart"/>
      <w:r w:rsidRPr="00283AD6">
        <w:rPr>
          <w:lang w:val="en-US"/>
        </w:rPr>
        <w:t>Stock_Price_History</w:t>
      </w:r>
      <w:proofErr w:type="spellEnd"/>
      <w:r w:rsidRPr="00283AD6">
        <w:rPr>
          <w:lang w:val="en-US"/>
        </w:rPr>
        <w:t xml:space="preserve"> referencing </w:t>
      </w:r>
      <w:proofErr w:type="spellStart"/>
      <w:r w:rsidRPr="00283AD6">
        <w:rPr>
          <w:lang w:val="en-US"/>
        </w:rPr>
        <w:t>Stock_ID</w:t>
      </w:r>
      <w:proofErr w:type="spellEnd"/>
      <w:r w:rsidRPr="00283AD6">
        <w:rPr>
          <w:lang w:val="en-US"/>
        </w:rPr>
        <w:t xml:space="preserve"> in Stock) are consistent. These constraints enforce referential integrity by preventing orphaned records and ensuring that all relationships align with business rules.</w:t>
      </w:r>
    </w:p>
    <w:p w14:paraId="59A3B96F" w14:textId="77777777" w:rsidR="00283AD6" w:rsidRPr="00283AD6" w:rsidRDefault="00283AD6" w:rsidP="00283AD6">
      <w:pPr>
        <w:rPr>
          <w:b/>
          <w:bCs/>
          <w:lang w:val="en-US"/>
        </w:rPr>
      </w:pPr>
      <w:r w:rsidRPr="00283AD6">
        <w:rPr>
          <w:b/>
          <w:bCs/>
          <w:lang w:val="en-US"/>
        </w:rPr>
        <w:t>2. Handling Many-to-Many Relationships</w:t>
      </w:r>
    </w:p>
    <w:p w14:paraId="790DBA00" w14:textId="77777777" w:rsidR="00283AD6" w:rsidRPr="00283AD6" w:rsidRDefault="00283AD6" w:rsidP="00283AD6">
      <w:pPr>
        <w:numPr>
          <w:ilvl w:val="0"/>
          <w:numId w:val="25"/>
        </w:numPr>
        <w:rPr>
          <w:lang w:val="en-US"/>
        </w:rPr>
      </w:pPr>
      <w:r w:rsidRPr="00283AD6">
        <w:rPr>
          <w:b/>
          <w:bCs/>
          <w:lang w:val="en-US"/>
        </w:rPr>
        <w:lastRenderedPageBreak/>
        <w:t>Challenge</w:t>
      </w:r>
      <w:r w:rsidRPr="00283AD6">
        <w:rPr>
          <w:lang w:val="en-US"/>
        </w:rPr>
        <w:t>: In cases like linking stocks to trades, a many-to-many relationship exists where each trade can involve multiple stocks, and each stock can be involved in multiple trades.</w:t>
      </w:r>
    </w:p>
    <w:p w14:paraId="1EA59AAC" w14:textId="77777777" w:rsidR="00283AD6" w:rsidRPr="00283AD6" w:rsidRDefault="00283AD6" w:rsidP="00283AD6">
      <w:pPr>
        <w:numPr>
          <w:ilvl w:val="0"/>
          <w:numId w:val="25"/>
        </w:numPr>
        <w:rPr>
          <w:lang w:val="en-US"/>
        </w:rPr>
      </w:pPr>
      <w:r w:rsidRPr="00283AD6">
        <w:rPr>
          <w:b/>
          <w:bCs/>
          <w:lang w:val="en-US"/>
        </w:rPr>
        <w:t>Solution</w:t>
      </w:r>
      <w:r w:rsidRPr="00283AD6">
        <w:rPr>
          <w:lang w:val="en-US"/>
        </w:rPr>
        <w:t xml:space="preserve">: This is addressed by creating a </w:t>
      </w:r>
      <w:r w:rsidRPr="00283AD6">
        <w:rPr>
          <w:b/>
          <w:bCs/>
          <w:lang w:val="en-US"/>
        </w:rPr>
        <w:t>junction table</w:t>
      </w:r>
      <w:r w:rsidRPr="00283AD6">
        <w:rPr>
          <w:lang w:val="en-US"/>
        </w:rPr>
        <w:t xml:space="preserve"> (</w:t>
      </w:r>
      <w:proofErr w:type="spellStart"/>
      <w:r w:rsidRPr="00283AD6">
        <w:rPr>
          <w:lang w:val="en-US"/>
        </w:rPr>
        <w:t>Trade_Stock_Relation</w:t>
      </w:r>
      <w:proofErr w:type="spellEnd"/>
      <w:r w:rsidRPr="00283AD6">
        <w:rPr>
          <w:lang w:val="en-US"/>
        </w:rPr>
        <w:t xml:space="preserve">) to break down the many-to-many relationship into two one-to-many relationships. This table efficiently manages associations between trades and stocks by storing the </w:t>
      </w:r>
      <w:proofErr w:type="spellStart"/>
      <w:r w:rsidRPr="00283AD6">
        <w:rPr>
          <w:lang w:val="en-US"/>
        </w:rPr>
        <w:t>Trade_ID</w:t>
      </w:r>
      <w:proofErr w:type="spellEnd"/>
      <w:r w:rsidRPr="00283AD6">
        <w:rPr>
          <w:lang w:val="en-US"/>
        </w:rPr>
        <w:t xml:space="preserve"> and </w:t>
      </w:r>
      <w:proofErr w:type="spellStart"/>
      <w:r w:rsidRPr="00283AD6">
        <w:rPr>
          <w:lang w:val="en-US"/>
        </w:rPr>
        <w:t>Stock_ID</w:t>
      </w:r>
      <w:proofErr w:type="spellEnd"/>
      <w:r w:rsidRPr="00283AD6">
        <w:rPr>
          <w:lang w:val="en-US"/>
        </w:rPr>
        <w:t xml:space="preserve"> for each combination.</w:t>
      </w:r>
    </w:p>
    <w:p w14:paraId="522B77F3" w14:textId="77777777" w:rsidR="00283AD6" w:rsidRPr="00283AD6" w:rsidRDefault="00283AD6" w:rsidP="00283AD6">
      <w:pPr>
        <w:rPr>
          <w:b/>
          <w:bCs/>
          <w:lang w:val="en-US"/>
        </w:rPr>
      </w:pPr>
      <w:r w:rsidRPr="00283AD6">
        <w:rPr>
          <w:b/>
          <w:bCs/>
          <w:lang w:val="en-US"/>
        </w:rPr>
        <w:t>3. Defining Appropriate Data Types for Financial Data</w:t>
      </w:r>
    </w:p>
    <w:p w14:paraId="68A57958" w14:textId="77777777" w:rsidR="00283AD6" w:rsidRPr="00283AD6" w:rsidRDefault="00283AD6" w:rsidP="00283AD6">
      <w:pPr>
        <w:numPr>
          <w:ilvl w:val="0"/>
          <w:numId w:val="26"/>
        </w:numPr>
        <w:rPr>
          <w:lang w:val="en-US"/>
        </w:rPr>
      </w:pPr>
      <w:r w:rsidRPr="00283AD6">
        <w:rPr>
          <w:b/>
          <w:bCs/>
          <w:lang w:val="en-US"/>
        </w:rPr>
        <w:t>Challenge</w:t>
      </w:r>
      <w:r w:rsidRPr="00283AD6">
        <w:rPr>
          <w:lang w:val="en-US"/>
        </w:rPr>
        <w:t>: Financial data, like stock prices and volumes, require precise data types to avoid rounding errors or data inaccuracies. Additionally, large data volumes need to be handled correctly to avoid storage issues.</w:t>
      </w:r>
    </w:p>
    <w:p w14:paraId="2F2D1D88" w14:textId="77777777" w:rsidR="00283AD6" w:rsidRPr="00283AD6" w:rsidRDefault="00283AD6" w:rsidP="00283AD6">
      <w:pPr>
        <w:numPr>
          <w:ilvl w:val="0"/>
          <w:numId w:val="26"/>
        </w:numPr>
        <w:rPr>
          <w:lang w:val="en-US"/>
        </w:rPr>
      </w:pPr>
      <w:r w:rsidRPr="00283AD6">
        <w:rPr>
          <w:b/>
          <w:bCs/>
          <w:lang w:val="en-US"/>
        </w:rPr>
        <w:t>Solution</w:t>
      </w:r>
      <w:r w:rsidRPr="00283AD6">
        <w:rPr>
          <w:lang w:val="en-US"/>
        </w:rPr>
        <w:t xml:space="preserve">: Decimal data types (e.g., </w:t>
      </w:r>
      <w:proofErr w:type="gramStart"/>
      <w:r w:rsidRPr="00283AD6">
        <w:rPr>
          <w:lang w:val="en-US"/>
        </w:rPr>
        <w:t>DECIMAL(</w:t>
      </w:r>
      <w:proofErr w:type="gramEnd"/>
      <w:r w:rsidRPr="00283AD6">
        <w:rPr>
          <w:lang w:val="en-US"/>
        </w:rPr>
        <w:t>10, 2) for prices and BIGINT for Volume) were chosen to provide both precision and the ability to store large values. This ensures accurate calculations for financial records.</w:t>
      </w:r>
    </w:p>
    <w:p w14:paraId="27B0D0CB" w14:textId="5AFFF257" w:rsidR="00283AD6" w:rsidRPr="00283AD6" w:rsidRDefault="00283AD6" w:rsidP="00283AD6">
      <w:pPr>
        <w:rPr>
          <w:b/>
          <w:bCs/>
          <w:lang w:val="en-US"/>
        </w:rPr>
      </w:pPr>
      <w:r>
        <w:rPr>
          <w:b/>
          <w:bCs/>
          <w:lang w:val="en-US"/>
        </w:rPr>
        <w:t xml:space="preserve">4. </w:t>
      </w:r>
      <w:r w:rsidRPr="00283AD6">
        <w:rPr>
          <w:b/>
          <w:bCs/>
          <w:lang w:val="en-US"/>
        </w:rPr>
        <w:t xml:space="preserve"> Dealing with Data Duplication</w:t>
      </w:r>
    </w:p>
    <w:p w14:paraId="4546C8A0" w14:textId="77777777" w:rsidR="00283AD6" w:rsidRPr="00283AD6" w:rsidRDefault="00283AD6" w:rsidP="00283AD6">
      <w:pPr>
        <w:numPr>
          <w:ilvl w:val="0"/>
          <w:numId w:val="27"/>
        </w:numPr>
        <w:rPr>
          <w:lang w:val="en-US"/>
        </w:rPr>
      </w:pPr>
      <w:r w:rsidRPr="00283AD6">
        <w:rPr>
          <w:b/>
          <w:bCs/>
          <w:lang w:val="en-US"/>
        </w:rPr>
        <w:t>Challenge</w:t>
      </w:r>
      <w:r w:rsidRPr="00283AD6">
        <w:rPr>
          <w:lang w:val="en-US"/>
        </w:rPr>
        <w:t>: Redundant data (e.g., repeating Sector or Investor names) can increase storage needs and make it harder to manage updates.</w:t>
      </w:r>
    </w:p>
    <w:p w14:paraId="478B7A8A" w14:textId="0579F0B6" w:rsidR="00283AD6" w:rsidRDefault="00283AD6" w:rsidP="00283AD6">
      <w:pPr>
        <w:numPr>
          <w:ilvl w:val="0"/>
          <w:numId w:val="27"/>
        </w:numPr>
        <w:rPr>
          <w:lang w:val="en-US"/>
        </w:rPr>
      </w:pPr>
      <w:r w:rsidRPr="00283AD6">
        <w:rPr>
          <w:b/>
          <w:bCs/>
          <w:lang w:val="en-US"/>
        </w:rPr>
        <w:t>Solution</w:t>
      </w:r>
      <w:r w:rsidRPr="00283AD6">
        <w:rPr>
          <w:lang w:val="en-US"/>
        </w:rPr>
        <w:t xml:space="preserve">: The schema uses </w:t>
      </w:r>
      <w:r w:rsidRPr="00283AD6">
        <w:rPr>
          <w:b/>
          <w:bCs/>
          <w:lang w:val="en-US"/>
        </w:rPr>
        <w:t>normalization</w:t>
      </w:r>
      <w:r w:rsidRPr="00283AD6">
        <w:rPr>
          <w:lang w:val="en-US"/>
        </w:rPr>
        <w:t>, where tables like Investor, Sector, and Market are stored separately with unique keys. This reduces data redundancy, makes updates easier, and prevents inconsistencies.</w:t>
      </w:r>
    </w:p>
    <w:p w14:paraId="283ACDC5" w14:textId="77777777" w:rsidR="00E547A0" w:rsidRDefault="00E547A0" w:rsidP="00E547A0">
      <w:pPr>
        <w:ind w:left="360"/>
        <w:rPr>
          <w:lang w:val="en-US"/>
        </w:rPr>
      </w:pPr>
    </w:p>
    <w:p w14:paraId="49532BFD" w14:textId="29EA8102" w:rsidR="00E547A0" w:rsidRPr="00E547A0" w:rsidRDefault="00E547A0" w:rsidP="00E547A0">
      <w:pPr>
        <w:rPr>
          <w:b/>
          <w:bCs/>
          <w:sz w:val="36"/>
          <w:szCs w:val="36"/>
          <w:lang w:val="en-US"/>
        </w:rPr>
      </w:pPr>
      <w:r w:rsidRPr="00E547A0">
        <w:rPr>
          <w:b/>
          <w:bCs/>
          <w:sz w:val="36"/>
          <w:szCs w:val="36"/>
          <w:lang w:val="en-US"/>
        </w:rPr>
        <w:t>Differences Between ERD and schema</w:t>
      </w:r>
      <w:r>
        <w:rPr>
          <w:b/>
          <w:bCs/>
          <w:sz w:val="36"/>
          <w:szCs w:val="36"/>
          <w:lang w:val="en-U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1"/>
        <w:gridCol w:w="3113"/>
        <w:gridCol w:w="3872"/>
      </w:tblGrid>
      <w:tr w:rsidR="00E547A0" w:rsidRPr="00E547A0" w14:paraId="2D85005D" w14:textId="77777777" w:rsidTr="00E547A0">
        <w:trPr>
          <w:tblHeader/>
          <w:tblCellSpacing w:w="15" w:type="dxa"/>
        </w:trPr>
        <w:tc>
          <w:tcPr>
            <w:tcW w:w="0" w:type="auto"/>
            <w:vAlign w:val="center"/>
            <w:hideMark/>
          </w:tcPr>
          <w:p w14:paraId="76AFD7B3" w14:textId="77777777" w:rsidR="00E547A0" w:rsidRPr="00E547A0" w:rsidRDefault="00E547A0" w:rsidP="00E547A0">
            <w:pPr>
              <w:rPr>
                <w:b/>
                <w:bCs/>
                <w:lang w:val="en-US"/>
              </w:rPr>
            </w:pPr>
            <w:r w:rsidRPr="00E547A0">
              <w:rPr>
                <w:b/>
                <w:bCs/>
                <w:lang w:val="en-US"/>
              </w:rPr>
              <w:t>Aspect</w:t>
            </w:r>
          </w:p>
        </w:tc>
        <w:tc>
          <w:tcPr>
            <w:tcW w:w="0" w:type="auto"/>
            <w:vAlign w:val="center"/>
            <w:hideMark/>
          </w:tcPr>
          <w:p w14:paraId="52F2F20D" w14:textId="77777777" w:rsidR="00E547A0" w:rsidRPr="00E547A0" w:rsidRDefault="00E547A0" w:rsidP="00E547A0">
            <w:pPr>
              <w:rPr>
                <w:b/>
                <w:bCs/>
                <w:lang w:val="en-US"/>
              </w:rPr>
            </w:pPr>
            <w:r w:rsidRPr="00E547A0">
              <w:rPr>
                <w:b/>
                <w:bCs/>
                <w:lang w:val="en-US"/>
              </w:rPr>
              <w:t>EERD Image</w:t>
            </w:r>
          </w:p>
        </w:tc>
        <w:tc>
          <w:tcPr>
            <w:tcW w:w="0" w:type="auto"/>
            <w:vAlign w:val="center"/>
            <w:hideMark/>
          </w:tcPr>
          <w:p w14:paraId="4D3CB8A9" w14:textId="77777777" w:rsidR="00E547A0" w:rsidRPr="00E547A0" w:rsidRDefault="00E547A0" w:rsidP="00E547A0">
            <w:pPr>
              <w:rPr>
                <w:b/>
                <w:bCs/>
                <w:lang w:val="en-US"/>
              </w:rPr>
            </w:pPr>
            <w:r w:rsidRPr="00E547A0">
              <w:rPr>
                <w:b/>
                <w:bCs/>
                <w:lang w:val="en-US"/>
              </w:rPr>
              <w:t>Schema Diagram</w:t>
            </w:r>
          </w:p>
        </w:tc>
      </w:tr>
      <w:tr w:rsidR="00E547A0" w:rsidRPr="00E547A0" w14:paraId="05B209B4" w14:textId="77777777" w:rsidTr="00E547A0">
        <w:trPr>
          <w:tblCellSpacing w:w="15" w:type="dxa"/>
        </w:trPr>
        <w:tc>
          <w:tcPr>
            <w:tcW w:w="0" w:type="auto"/>
            <w:vAlign w:val="center"/>
            <w:hideMark/>
          </w:tcPr>
          <w:p w14:paraId="626BC8E0" w14:textId="77777777" w:rsidR="00E547A0" w:rsidRPr="00E547A0" w:rsidRDefault="00E547A0" w:rsidP="00E547A0">
            <w:pPr>
              <w:rPr>
                <w:lang w:val="en-US"/>
              </w:rPr>
            </w:pPr>
            <w:r w:rsidRPr="00E547A0">
              <w:rPr>
                <w:b/>
                <w:bCs/>
                <w:lang w:val="en-US"/>
              </w:rPr>
              <w:t>Level of Detail</w:t>
            </w:r>
          </w:p>
        </w:tc>
        <w:tc>
          <w:tcPr>
            <w:tcW w:w="0" w:type="auto"/>
            <w:vAlign w:val="center"/>
            <w:hideMark/>
          </w:tcPr>
          <w:p w14:paraId="5C061217" w14:textId="77777777" w:rsidR="00E547A0" w:rsidRPr="00E547A0" w:rsidRDefault="00E547A0" w:rsidP="00E547A0">
            <w:pPr>
              <w:rPr>
                <w:lang w:val="en-US"/>
              </w:rPr>
            </w:pPr>
            <w:r w:rsidRPr="00E547A0">
              <w:rPr>
                <w:lang w:val="en-US"/>
              </w:rPr>
              <w:t>High-level conceptual</w:t>
            </w:r>
          </w:p>
        </w:tc>
        <w:tc>
          <w:tcPr>
            <w:tcW w:w="0" w:type="auto"/>
            <w:vAlign w:val="center"/>
            <w:hideMark/>
          </w:tcPr>
          <w:p w14:paraId="6FF0D897" w14:textId="77777777" w:rsidR="00E547A0" w:rsidRPr="00E547A0" w:rsidRDefault="00E547A0" w:rsidP="00E547A0">
            <w:pPr>
              <w:rPr>
                <w:lang w:val="en-US"/>
              </w:rPr>
            </w:pPr>
            <w:proofErr w:type="gramStart"/>
            <w:r w:rsidRPr="00E547A0">
              <w:rPr>
                <w:lang w:val="en-US"/>
              </w:rPr>
              <w:t>Implementation</w:t>
            </w:r>
            <w:proofErr w:type="gramEnd"/>
            <w:r w:rsidRPr="00E547A0">
              <w:rPr>
                <w:lang w:val="en-US"/>
              </w:rPr>
              <w:t xml:space="preserve"> details with data types</w:t>
            </w:r>
          </w:p>
        </w:tc>
      </w:tr>
      <w:tr w:rsidR="00E547A0" w:rsidRPr="00E547A0" w14:paraId="37FBF6C8" w14:textId="77777777" w:rsidTr="00E547A0">
        <w:trPr>
          <w:tblCellSpacing w:w="15" w:type="dxa"/>
        </w:trPr>
        <w:tc>
          <w:tcPr>
            <w:tcW w:w="0" w:type="auto"/>
            <w:vAlign w:val="center"/>
            <w:hideMark/>
          </w:tcPr>
          <w:p w14:paraId="1A2AE0C9" w14:textId="77777777" w:rsidR="00E547A0" w:rsidRPr="00E547A0" w:rsidRDefault="00E547A0" w:rsidP="00E547A0">
            <w:pPr>
              <w:rPr>
                <w:lang w:val="en-US"/>
              </w:rPr>
            </w:pPr>
            <w:r w:rsidRPr="00E547A0">
              <w:rPr>
                <w:b/>
                <w:bCs/>
                <w:lang w:val="en-US"/>
              </w:rPr>
              <w:t>Entity Representation</w:t>
            </w:r>
          </w:p>
        </w:tc>
        <w:tc>
          <w:tcPr>
            <w:tcW w:w="0" w:type="auto"/>
            <w:vAlign w:val="center"/>
            <w:hideMark/>
          </w:tcPr>
          <w:p w14:paraId="79FE40CE" w14:textId="77777777" w:rsidR="00E547A0" w:rsidRPr="00E547A0" w:rsidRDefault="00E547A0" w:rsidP="00E547A0">
            <w:pPr>
              <w:rPr>
                <w:lang w:val="en-US"/>
              </w:rPr>
            </w:pPr>
            <w:r w:rsidRPr="00E547A0">
              <w:rPr>
                <w:lang w:val="en-US"/>
              </w:rPr>
              <w:t>Entities, relationships, attributes</w:t>
            </w:r>
          </w:p>
        </w:tc>
        <w:tc>
          <w:tcPr>
            <w:tcW w:w="0" w:type="auto"/>
            <w:vAlign w:val="center"/>
            <w:hideMark/>
          </w:tcPr>
          <w:p w14:paraId="2A090B1C" w14:textId="77777777" w:rsidR="00E547A0" w:rsidRPr="00E547A0" w:rsidRDefault="00E547A0" w:rsidP="00E547A0">
            <w:pPr>
              <w:rPr>
                <w:lang w:val="en-US"/>
              </w:rPr>
            </w:pPr>
            <w:r w:rsidRPr="00E547A0">
              <w:rPr>
                <w:lang w:val="en-US"/>
              </w:rPr>
              <w:t>Tables and columns with data types</w:t>
            </w:r>
          </w:p>
        </w:tc>
      </w:tr>
      <w:tr w:rsidR="00E547A0" w:rsidRPr="00E547A0" w14:paraId="69C45B84" w14:textId="77777777" w:rsidTr="00E547A0">
        <w:trPr>
          <w:tblCellSpacing w:w="15" w:type="dxa"/>
        </w:trPr>
        <w:tc>
          <w:tcPr>
            <w:tcW w:w="0" w:type="auto"/>
            <w:vAlign w:val="center"/>
            <w:hideMark/>
          </w:tcPr>
          <w:p w14:paraId="583726AE" w14:textId="77777777" w:rsidR="00E547A0" w:rsidRPr="00E547A0" w:rsidRDefault="00E547A0" w:rsidP="00E547A0">
            <w:pPr>
              <w:rPr>
                <w:lang w:val="en-US"/>
              </w:rPr>
            </w:pPr>
            <w:r w:rsidRPr="00E547A0">
              <w:rPr>
                <w:b/>
                <w:bCs/>
                <w:lang w:val="en-US"/>
              </w:rPr>
              <w:t>Specialization</w:t>
            </w:r>
          </w:p>
        </w:tc>
        <w:tc>
          <w:tcPr>
            <w:tcW w:w="0" w:type="auto"/>
            <w:vAlign w:val="center"/>
            <w:hideMark/>
          </w:tcPr>
          <w:p w14:paraId="56D3BAC0" w14:textId="77777777" w:rsidR="00E547A0" w:rsidRPr="00E547A0" w:rsidRDefault="00E547A0" w:rsidP="00E547A0">
            <w:pPr>
              <w:rPr>
                <w:lang w:val="en-US"/>
              </w:rPr>
            </w:pPr>
            <w:r w:rsidRPr="00E547A0">
              <w:rPr>
                <w:lang w:val="en-US"/>
              </w:rPr>
              <w:t>Shows hierarchies visually</w:t>
            </w:r>
          </w:p>
        </w:tc>
        <w:tc>
          <w:tcPr>
            <w:tcW w:w="0" w:type="auto"/>
            <w:vAlign w:val="center"/>
            <w:hideMark/>
          </w:tcPr>
          <w:p w14:paraId="13B033EA" w14:textId="77777777" w:rsidR="00E547A0" w:rsidRPr="00E547A0" w:rsidRDefault="00E547A0" w:rsidP="00E547A0">
            <w:pPr>
              <w:rPr>
                <w:lang w:val="en-US"/>
              </w:rPr>
            </w:pPr>
            <w:r w:rsidRPr="00E547A0">
              <w:rPr>
                <w:lang w:val="en-US"/>
              </w:rPr>
              <w:t>Implemented using tables or ENUM</w:t>
            </w:r>
          </w:p>
        </w:tc>
      </w:tr>
      <w:tr w:rsidR="00E547A0" w:rsidRPr="00E547A0" w14:paraId="4BE8DBE6" w14:textId="77777777" w:rsidTr="00E547A0">
        <w:trPr>
          <w:tblCellSpacing w:w="15" w:type="dxa"/>
        </w:trPr>
        <w:tc>
          <w:tcPr>
            <w:tcW w:w="0" w:type="auto"/>
            <w:vAlign w:val="center"/>
            <w:hideMark/>
          </w:tcPr>
          <w:p w14:paraId="2CF7CA0B" w14:textId="77777777" w:rsidR="00E547A0" w:rsidRPr="00E547A0" w:rsidRDefault="00E547A0" w:rsidP="00E547A0">
            <w:pPr>
              <w:rPr>
                <w:lang w:val="en-US"/>
              </w:rPr>
            </w:pPr>
            <w:r w:rsidRPr="00E547A0">
              <w:rPr>
                <w:b/>
                <w:bCs/>
                <w:lang w:val="en-US"/>
              </w:rPr>
              <w:t>Relationships</w:t>
            </w:r>
          </w:p>
        </w:tc>
        <w:tc>
          <w:tcPr>
            <w:tcW w:w="0" w:type="auto"/>
            <w:vAlign w:val="center"/>
            <w:hideMark/>
          </w:tcPr>
          <w:p w14:paraId="390EE1D6" w14:textId="77777777" w:rsidR="00E547A0" w:rsidRPr="00E547A0" w:rsidRDefault="00E547A0" w:rsidP="00E547A0">
            <w:pPr>
              <w:rPr>
                <w:lang w:val="en-US"/>
              </w:rPr>
            </w:pPr>
            <w:r w:rsidRPr="00E547A0">
              <w:rPr>
                <w:lang w:val="en-US"/>
              </w:rPr>
              <w:t>Visual lines with cardinality</w:t>
            </w:r>
          </w:p>
        </w:tc>
        <w:tc>
          <w:tcPr>
            <w:tcW w:w="0" w:type="auto"/>
            <w:vAlign w:val="center"/>
            <w:hideMark/>
          </w:tcPr>
          <w:p w14:paraId="0AFAA06B" w14:textId="77777777" w:rsidR="00E547A0" w:rsidRPr="00E547A0" w:rsidRDefault="00E547A0" w:rsidP="00E547A0">
            <w:pPr>
              <w:rPr>
                <w:lang w:val="en-US"/>
              </w:rPr>
            </w:pPr>
            <w:r w:rsidRPr="00E547A0">
              <w:rPr>
                <w:lang w:val="en-US"/>
              </w:rPr>
              <w:t>Foreign keys with constraints</w:t>
            </w:r>
          </w:p>
        </w:tc>
      </w:tr>
      <w:tr w:rsidR="00E547A0" w:rsidRPr="00E547A0" w14:paraId="31F2F625" w14:textId="77777777" w:rsidTr="00E547A0">
        <w:trPr>
          <w:tblCellSpacing w:w="15" w:type="dxa"/>
        </w:trPr>
        <w:tc>
          <w:tcPr>
            <w:tcW w:w="0" w:type="auto"/>
            <w:vAlign w:val="center"/>
            <w:hideMark/>
          </w:tcPr>
          <w:p w14:paraId="3F48D4C8" w14:textId="77777777" w:rsidR="00E547A0" w:rsidRPr="00E547A0" w:rsidRDefault="00E547A0" w:rsidP="00E547A0">
            <w:pPr>
              <w:rPr>
                <w:lang w:val="en-US"/>
              </w:rPr>
            </w:pPr>
            <w:r w:rsidRPr="00E547A0">
              <w:rPr>
                <w:b/>
                <w:bCs/>
                <w:lang w:val="en-US"/>
              </w:rPr>
              <w:t>Constraints</w:t>
            </w:r>
          </w:p>
        </w:tc>
        <w:tc>
          <w:tcPr>
            <w:tcW w:w="0" w:type="auto"/>
            <w:vAlign w:val="center"/>
            <w:hideMark/>
          </w:tcPr>
          <w:p w14:paraId="6817C868" w14:textId="77777777" w:rsidR="00E547A0" w:rsidRPr="00E547A0" w:rsidRDefault="00E547A0" w:rsidP="00E547A0">
            <w:pPr>
              <w:rPr>
                <w:lang w:val="en-US"/>
              </w:rPr>
            </w:pPr>
            <w:r w:rsidRPr="00E547A0">
              <w:rPr>
                <w:lang w:val="en-US"/>
              </w:rPr>
              <w:t>Disjoint/overlapping visually indicated</w:t>
            </w:r>
          </w:p>
        </w:tc>
        <w:tc>
          <w:tcPr>
            <w:tcW w:w="0" w:type="auto"/>
            <w:vAlign w:val="center"/>
            <w:hideMark/>
          </w:tcPr>
          <w:p w14:paraId="7370301E" w14:textId="77777777" w:rsidR="00E547A0" w:rsidRPr="00E547A0" w:rsidRDefault="00E547A0" w:rsidP="00E547A0">
            <w:pPr>
              <w:rPr>
                <w:lang w:val="en-US"/>
              </w:rPr>
            </w:pPr>
            <w:r w:rsidRPr="00E547A0">
              <w:rPr>
                <w:lang w:val="en-US"/>
              </w:rPr>
              <w:t>Enforced with primary, foreign keys, and constraints</w:t>
            </w:r>
          </w:p>
        </w:tc>
      </w:tr>
      <w:tr w:rsidR="00E547A0" w:rsidRPr="00E547A0" w14:paraId="78785DCF" w14:textId="77777777" w:rsidTr="00E547A0">
        <w:trPr>
          <w:tblCellSpacing w:w="15" w:type="dxa"/>
        </w:trPr>
        <w:tc>
          <w:tcPr>
            <w:tcW w:w="0" w:type="auto"/>
            <w:vAlign w:val="center"/>
            <w:hideMark/>
          </w:tcPr>
          <w:p w14:paraId="50D9BE09" w14:textId="77777777" w:rsidR="00E547A0" w:rsidRPr="00E547A0" w:rsidRDefault="00E547A0" w:rsidP="00E547A0">
            <w:pPr>
              <w:rPr>
                <w:lang w:val="en-US"/>
              </w:rPr>
            </w:pPr>
            <w:r w:rsidRPr="00E547A0">
              <w:rPr>
                <w:b/>
                <w:bCs/>
                <w:lang w:val="en-US"/>
              </w:rPr>
              <w:t>Aggregation</w:t>
            </w:r>
          </w:p>
        </w:tc>
        <w:tc>
          <w:tcPr>
            <w:tcW w:w="0" w:type="auto"/>
            <w:vAlign w:val="center"/>
            <w:hideMark/>
          </w:tcPr>
          <w:p w14:paraId="4C5C3BE1" w14:textId="77777777" w:rsidR="00E547A0" w:rsidRPr="00E547A0" w:rsidRDefault="00E547A0" w:rsidP="00E547A0">
            <w:pPr>
              <w:rPr>
                <w:lang w:val="en-US"/>
              </w:rPr>
            </w:pPr>
            <w:r w:rsidRPr="00E547A0">
              <w:rPr>
                <w:lang w:val="en-US"/>
              </w:rPr>
              <w:t>Represented visually</w:t>
            </w:r>
          </w:p>
        </w:tc>
        <w:tc>
          <w:tcPr>
            <w:tcW w:w="0" w:type="auto"/>
            <w:vAlign w:val="center"/>
            <w:hideMark/>
          </w:tcPr>
          <w:p w14:paraId="09721410" w14:textId="77777777" w:rsidR="00E547A0" w:rsidRPr="00E547A0" w:rsidRDefault="00E547A0" w:rsidP="00E547A0">
            <w:pPr>
              <w:rPr>
                <w:lang w:val="en-US"/>
              </w:rPr>
            </w:pPr>
            <w:r w:rsidRPr="00E547A0">
              <w:rPr>
                <w:lang w:val="en-US"/>
              </w:rPr>
              <w:t>Not directly supported, foreign keys used instead</w:t>
            </w:r>
          </w:p>
        </w:tc>
      </w:tr>
      <w:tr w:rsidR="00E547A0" w:rsidRPr="00E547A0" w14:paraId="430D8B96" w14:textId="77777777" w:rsidTr="00E547A0">
        <w:trPr>
          <w:tblCellSpacing w:w="15" w:type="dxa"/>
        </w:trPr>
        <w:tc>
          <w:tcPr>
            <w:tcW w:w="0" w:type="auto"/>
            <w:vAlign w:val="center"/>
            <w:hideMark/>
          </w:tcPr>
          <w:p w14:paraId="3CB3D0A6" w14:textId="77777777" w:rsidR="00E547A0" w:rsidRPr="00E547A0" w:rsidRDefault="00E547A0" w:rsidP="00E547A0">
            <w:pPr>
              <w:rPr>
                <w:lang w:val="en-US"/>
              </w:rPr>
            </w:pPr>
            <w:r w:rsidRPr="00E547A0">
              <w:rPr>
                <w:b/>
                <w:bCs/>
                <w:lang w:val="en-US"/>
              </w:rPr>
              <w:t>Data Types</w:t>
            </w:r>
          </w:p>
        </w:tc>
        <w:tc>
          <w:tcPr>
            <w:tcW w:w="0" w:type="auto"/>
            <w:vAlign w:val="center"/>
            <w:hideMark/>
          </w:tcPr>
          <w:p w14:paraId="59585349" w14:textId="77777777" w:rsidR="00E547A0" w:rsidRPr="00E547A0" w:rsidRDefault="00E547A0" w:rsidP="00E547A0">
            <w:pPr>
              <w:rPr>
                <w:lang w:val="en-US"/>
              </w:rPr>
            </w:pPr>
            <w:r w:rsidRPr="00E547A0">
              <w:rPr>
                <w:lang w:val="en-US"/>
              </w:rPr>
              <w:t>Not shown</w:t>
            </w:r>
          </w:p>
        </w:tc>
        <w:tc>
          <w:tcPr>
            <w:tcW w:w="0" w:type="auto"/>
            <w:vAlign w:val="center"/>
            <w:hideMark/>
          </w:tcPr>
          <w:p w14:paraId="2C7FEF56" w14:textId="77777777" w:rsidR="00E547A0" w:rsidRPr="00E547A0" w:rsidRDefault="00E547A0" w:rsidP="00E547A0">
            <w:pPr>
              <w:rPr>
                <w:lang w:val="en-US"/>
              </w:rPr>
            </w:pPr>
            <w:r w:rsidRPr="00E547A0">
              <w:rPr>
                <w:lang w:val="en-US"/>
              </w:rPr>
              <w:t>Explicitly defined (e.g., DECIMAL, VARCHAR)</w:t>
            </w:r>
          </w:p>
        </w:tc>
      </w:tr>
      <w:tr w:rsidR="00E547A0" w:rsidRPr="00E547A0" w14:paraId="4ACFC893" w14:textId="77777777" w:rsidTr="00E547A0">
        <w:trPr>
          <w:tblCellSpacing w:w="15" w:type="dxa"/>
        </w:trPr>
        <w:tc>
          <w:tcPr>
            <w:tcW w:w="0" w:type="auto"/>
            <w:vAlign w:val="center"/>
            <w:hideMark/>
          </w:tcPr>
          <w:p w14:paraId="79B0CF0F" w14:textId="77777777" w:rsidR="00E547A0" w:rsidRPr="00E547A0" w:rsidRDefault="00E547A0" w:rsidP="00E547A0">
            <w:pPr>
              <w:rPr>
                <w:lang w:val="en-US"/>
              </w:rPr>
            </w:pPr>
            <w:r w:rsidRPr="00E547A0">
              <w:rPr>
                <w:b/>
                <w:bCs/>
                <w:lang w:val="en-US"/>
              </w:rPr>
              <w:lastRenderedPageBreak/>
              <w:t>Derived Attributes</w:t>
            </w:r>
          </w:p>
        </w:tc>
        <w:tc>
          <w:tcPr>
            <w:tcW w:w="0" w:type="auto"/>
            <w:vAlign w:val="center"/>
            <w:hideMark/>
          </w:tcPr>
          <w:p w14:paraId="0F045CED" w14:textId="77777777" w:rsidR="00E547A0" w:rsidRPr="00E547A0" w:rsidRDefault="00E547A0" w:rsidP="00E547A0">
            <w:pPr>
              <w:rPr>
                <w:lang w:val="en-US"/>
              </w:rPr>
            </w:pPr>
            <w:r w:rsidRPr="00E547A0">
              <w:rPr>
                <w:lang w:val="en-US"/>
              </w:rPr>
              <w:t>Conceptual</w:t>
            </w:r>
          </w:p>
        </w:tc>
        <w:tc>
          <w:tcPr>
            <w:tcW w:w="0" w:type="auto"/>
            <w:vAlign w:val="center"/>
            <w:hideMark/>
          </w:tcPr>
          <w:p w14:paraId="356DA7EC" w14:textId="77777777" w:rsidR="00E547A0" w:rsidRPr="00E547A0" w:rsidRDefault="00E547A0" w:rsidP="00E547A0">
            <w:pPr>
              <w:rPr>
                <w:lang w:val="en-US"/>
              </w:rPr>
            </w:pPr>
            <w:r w:rsidRPr="00E547A0">
              <w:rPr>
                <w:lang w:val="en-US"/>
              </w:rPr>
              <w:t>Needs explicit implementation or calculation</w:t>
            </w:r>
          </w:p>
        </w:tc>
      </w:tr>
    </w:tbl>
    <w:p w14:paraId="451ADA74" w14:textId="77777777" w:rsidR="00283AD6" w:rsidRPr="00283AD6" w:rsidRDefault="00283AD6" w:rsidP="00283AD6">
      <w:pPr>
        <w:rPr>
          <w:lang w:val="en-US"/>
        </w:rPr>
      </w:pPr>
    </w:p>
    <w:p w14:paraId="6F15AF5F" w14:textId="77777777" w:rsidR="00283AD6" w:rsidRPr="00283AD6" w:rsidRDefault="00283AD6">
      <w:pPr>
        <w:rPr>
          <w:lang w:val="en-US"/>
        </w:rPr>
      </w:pPr>
    </w:p>
    <w:sectPr w:rsidR="00283AD6" w:rsidRPr="00283AD6" w:rsidSect="00F53B8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B700F"/>
    <w:multiLevelType w:val="multilevel"/>
    <w:tmpl w:val="78F26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A2A38"/>
    <w:multiLevelType w:val="multilevel"/>
    <w:tmpl w:val="B658F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41343"/>
    <w:multiLevelType w:val="multilevel"/>
    <w:tmpl w:val="4602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2426F"/>
    <w:multiLevelType w:val="multilevel"/>
    <w:tmpl w:val="C5A26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B6001"/>
    <w:multiLevelType w:val="multilevel"/>
    <w:tmpl w:val="97C6E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D53EC"/>
    <w:multiLevelType w:val="multilevel"/>
    <w:tmpl w:val="ACD27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345BC"/>
    <w:multiLevelType w:val="multilevel"/>
    <w:tmpl w:val="F51E4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BA4F0B"/>
    <w:multiLevelType w:val="multilevel"/>
    <w:tmpl w:val="3A1EE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497378"/>
    <w:multiLevelType w:val="multilevel"/>
    <w:tmpl w:val="443A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5B2ED3"/>
    <w:multiLevelType w:val="multilevel"/>
    <w:tmpl w:val="3466A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8D0E3F"/>
    <w:multiLevelType w:val="hybridMultilevel"/>
    <w:tmpl w:val="8DC8B290"/>
    <w:lvl w:ilvl="0" w:tplc="FBCC5D8E">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F1F4B66"/>
    <w:multiLevelType w:val="multilevel"/>
    <w:tmpl w:val="B08E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2C0DD8"/>
    <w:multiLevelType w:val="hybridMultilevel"/>
    <w:tmpl w:val="6AE07FBA"/>
    <w:lvl w:ilvl="0" w:tplc="2000000F">
      <w:start w:val="4"/>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C5A686F"/>
    <w:multiLevelType w:val="multilevel"/>
    <w:tmpl w:val="87EC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9B013E"/>
    <w:multiLevelType w:val="multilevel"/>
    <w:tmpl w:val="A258A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5313ED"/>
    <w:multiLevelType w:val="multilevel"/>
    <w:tmpl w:val="1C7C1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9471A6"/>
    <w:multiLevelType w:val="multilevel"/>
    <w:tmpl w:val="73F02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0674E3"/>
    <w:multiLevelType w:val="multilevel"/>
    <w:tmpl w:val="0C22D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BC498D"/>
    <w:multiLevelType w:val="multilevel"/>
    <w:tmpl w:val="DB8AC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7D1035"/>
    <w:multiLevelType w:val="multilevel"/>
    <w:tmpl w:val="F8265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9A6C94"/>
    <w:multiLevelType w:val="multilevel"/>
    <w:tmpl w:val="8048A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E670A2"/>
    <w:multiLevelType w:val="multilevel"/>
    <w:tmpl w:val="6A7E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022382"/>
    <w:multiLevelType w:val="multilevel"/>
    <w:tmpl w:val="E1A4E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6E648E"/>
    <w:multiLevelType w:val="multilevel"/>
    <w:tmpl w:val="D7543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233074"/>
    <w:multiLevelType w:val="multilevel"/>
    <w:tmpl w:val="1B3C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C43725"/>
    <w:multiLevelType w:val="multilevel"/>
    <w:tmpl w:val="6812F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777927"/>
    <w:multiLevelType w:val="multilevel"/>
    <w:tmpl w:val="30A6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2732738">
    <w:abstractNumId w:val="10"/>
  </w:num>
  <w:num w:numId="2" w16cid:durableId="1673602859">
    <w:abstractNumId w:val="7"/>
  </w:num>
  <w:num w:numId="3" w16cid:durableId="1443646036">
    <w:abstractNumId w:val="12"/>
  </w:num>
  <w:num w:numId="4" w16cid:durableId="669211732">
    <w:abstractNumId w:val="21"/>
  </w:num>
  <w:num w:numId="5" w16cid:durableId="1804033549">
    <w:abstractNumId w:val="8"/>
  </w:num>
  <w:num w:numId="6" w16cid:durableId="2038578893">
    <w:abstractNumId w:val="15"/>
  </w:num>
  <w:num w:numId="7" w16cid:durableId="2030255079">
    <w:abstractNumId w:val="25"/>
  </w:num>
  <w:num w:numId="8" w16cid:durableId="1776360653">
    <w:abstractNumId w:val="19"/>
  </w:num>
  <w:num w:numId="9" w16cid:durableId="526336257">
    <w:abstractNumId w:val="6"/>
  </w:num>
  <w:num w:numId="10" w16cid:durableId="2040861124">
    <w:abstractNumId w:val="1"/>
  </w:num>
  <w:num w:numId="11" w16cid:durableId="1714425842">
    <w:abstractNumId w:val="11"/>
  </w:num>
  <w:num w:numId="12" w16cid:durableId="1819230190">
    <w:abstractNumId w:val="17"/>
  </w:num>
  <w:num w:numId="13" w16cid:durableId="652024466">
    <w:abstractNumId w:val="16"/>
  </w:num>
  <w:num w:numId="14" w16cid:durableId="1298560163">
    <w:abstractNumId w:val="4"/>
  </w:num>
  <w:num w:numId="15" w16cid:durableId="1977878668">
    <w:abstractNumId w:val="18"/>
  </w:num>
  <w:num w:numId="16" w16cid:durableId="1514952297">
    <w:abstractNumId w:val="3"/>
  </w:num>
  <w:num w:numId="17" w16cid:durableId="362903190">
    <w:abstractNumId w:val="9"/>
  </w:num>
  <w:num w:numId="18" w16cid:durableId="1315530700">
    <w:abstractNumId w:val="5"/>
  </w:num>
  <w:num w:numId="19" w16cid:durableId="543250177">
    <w:abstractNumId w:val="14"/>
  </w:num>
  <w:num w:numId="20" w16cid:durableId="1344624968">
    <w:abstractNumId w:val="0"/>
  </w:num>
  <w:num w:numId="21" w16cid:durableId="1095248851">
    <w:abstractNumId w:val="22"/>
  </w:num>
  <w:num w:numId="22" w16cid:durableId="2110151915">
    <w:abstractNumId w:val="20"/>
  </w:num>
  <w:num w:numId="23" w16cid:durableId="1216893678">
    <w:abstractNumId w:val="23"/>
  </w:num>
  <w:num w:numId="24" w16cid:durableId="992754971">
    <w:abstractNumId w:val="24"/>
  </w:num>
  <w:num w:numId="25" w16cid:durableId="1507867888">
    <w:abstractNumId w:val="26"/>
  </w:num>
  <w:num w:numId="26" w16cid:durableId="1308899368">
    <w:abstractNumId w:val="2"/>
  </w:num>
  <w:num w:numId="27" w16cid:durableId="10417873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B8E"/>
    <w:rsid w:val="000032F5"/>
    <w:rsid w:val="00023BCF"/>
    <w:rsid w:val="000612A7"/>
    <w:rsid w:val="00075D3C"/>
    <w:rsid w:val="001177E8"/>
    <w:rsid w:val="0016492A"/>
    <w:rsid w:val="00180037"/>
    <w:rsid w:val="00185F8A"/>
    <w:rsid w:val="001D185F"/>
    <w:rsid w:val="001E1FE7"/>
    <w:rsid w:val="001E2116"/>
    <w:rsid w:val="00210811"/>
    <w:rsid w:val="0021108C"/>
    <w:rsid w:val="00233930"/>
    <w:rsid w:val="00273D88"/>
    <w:rsid w:val="00283AD6"/>
    <w:rsid w:val="00285F70"/>
    <w:rsid w:val="002C7626"/>
    <w:rsid w:val="002E1676"/>
    <w:rsid w:val="002F247C"/>
    <w:rsid w:val="0030533C"/>
    <w:rsid w:val="00324886"/>
    <w:rsid w:val="00376529"/>
    <w:rsid w:val="003D00B7"/>
    <w:rsid w:val="003D1B78"/>
    <w:rsid w:val="00414F36"/>
    <w:rsid w:val="00442040"/>
    <w:rsid w:val="004B3E39"/>
    <w:rsid w:val="004D23AC"/>
    <w:rsid w:val="00525081"/>
    <w:rsid w:val="005F1096"/>
    <w:rsid w:val="006427BD"/>
    <w:rsid w:val="00651934"/>
    <w:rsid w:val="00652B08"/>
    <w:rsid w:val="006900B2"/>
    <w:rsid w:val="006C5689"/>
    <w:rsid w:val="006C7BA9"/>
    <w:rsid w:val="006F4FF1"/>
    <w:rsid w:val="007704E4"/>
    <w:rsid w:val="00797FBC"/>
    <w:rsid w:val="007C5118"/>
    <w:rsid w:val="008538DD"/>
    <w:rsid w:val="008546E5"/>
    <w:rsid w:val="00876E15"/>
    <w:rsid w:val="008845FC"/>
    <w:rsid w:val="008D4594"/>
    <w:rsid w:val="008D76B4"/>
    <w:rsid w:val="008F5BB9"/>
    <w:rsid w:val="00912369"/>
    <w:rsid w:val="009149F0"/>
    <w:rsid w:val="00934FC1"/>
    <w:rsid w:val="009543BC"/>
    <w:rsid w:val="00987F50"/>
    <w:rsid w:val="009F5985"/>
    <w:rsid w:val="00A1589F"/>
    <w:rsid w:val="00A27DBD"/>
    <w:rsid w:val="00A3641A"/>
    <w:rsid w:val="00A56290"/>
    <w:rsid w:val="00A62E85"/>
    <w:rsid w:val="00A84512"/>
    <w:rsid w:val="00A950D0"/>
    <w:rsid w:val="00AA2875"/>
    <w:rsid w:val="00AC367D"/>
    <w:rsid w:val="00AD5187"/>
    <w:rsid w:val="00B0238E"/>
    <w:rsid w:val="00B75D49"/>
    <w:rsid w:val="00B92EB5"/>
    <w:rsid w:val="00BA0C94"/>
    <w:rsid w:val="00BA6648"/>
    <w:rsid w:val="00BB6832"/>
    <w:rsid w:val="00C671C4"/>
    <w:rsid w:val="00C855BD"/>
    <w:rsid w:val="00CA08CE"/>
    <w:rsid w:val="00CE39B3"/>
    <w:rsid w:val="00CF2FFB"/>
    <w:rsid w:val="00D023A3"/>
    <w:rsid w:val="00D261AC"/>
    <w:rsid w:val="00D460F2"/>
    <w:rsid w:val="00DB0E5F"/>
    <w:rsid w:val="00DE3FF2"/>
    <w:rsid w:val="00DE7AE0"/>
    <w:rsid w:val="00E544F3"/>
    <w:rsid w:val="00E547A0"/>
    <w:rsid w:val="00E82859"/>
    <w:rsid w:val="00EC29E0"/>
    <w:rsid w:val="00EE1D59"/>
    <w:rsid w:val="00EF1750"/>
    <w:rsid w:val="00EF3E18"/>
    <w:rsid w:val="00F33D10"/>
    <w:rsid w:val="00F53B8E"/>
    <w:rsid w:val="00F81A86"/>
    <w:rsid w:val="00FD78DA"/>
    <w:rsid w:val="00FF1FF6"/>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B1BB8"/>
  <w15:chartTrackingRefBased/>
  <w15:docId w15:val="{FBF0DC16-D4FE-466D-8B4B-488552043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B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3B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3B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3B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3B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3B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B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B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B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B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3B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53B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3B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3B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3B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B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B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B8E"/>
    <w:rPr>
      <w:rFonts w:eastAsiaTheme="majorEastAsia" w:cstheme="majorBidi"/>
      <w:color w:val="272727" w:themeColor="text1" w:themeTint="D8"/>
    </w:rPr>
  </w:style>
  <w:style w:type="paragraph" w:styleId="Title">
    <w:name w:val="Title"/>
    <w:basedOn w:val="Normal"/>
    <w:next w:val="Normal"/>
    <w:link w:val="TitleChar"/>
    <w:uiPriority w:val="10"/>
    <w:qFormat/>
    <w:rsid w:val="00F53B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B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B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B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B8E"/>
    <w:pPr>
      <w:spacing w:before="160"/>
      <w:jc w:val="center"/>
    </w:pPr>
    <w:rPr>
      <w:i/>
      <w:iCs/>
      <w:color w:val="404040" w:themeColor="text1" w:themeTint="BF"/>
    </w:rPr>
  </w:style>
  <w:style w:type="character" w:customStyle="1" w:styleId="QuoteChar">
    <w:name w:val="Quote Char"/>
    <w:basedOn w:val="DefaultParagraphFont"/>
    <w:link w:val="Quote"/>
    <w:uiPriority w:val="29"/>
    <w:rsid w:val="00F53B8E"/>
    <w:rPr>
      <w:i/>
      <w:iCs/>
      <w:color w:val="404040" w:themeColor="text1" w:themeTint="BF"/>
    </w:rPr>
  </w:style>
  <w:style w:type="paragraph" w:styleId="ListParagraph">
    <w:name w:val="List Paragraph"/>
    <w:basedOn w:val="Normal"/>
    <w:uiPriority w:val="34"/>
    <w:qFormat/>
    <w:rsid w:val="00F53B8E"/>
    <w:pPr>
      <w:ind w:left="720"/>
      <w:contextualSpacing/>
    </w:pPr>
  </w:style>
  <w:style w:type="character" w:styleId="IntenseEmphasis">
    <w:name w:val="Intense Emphasis"/>
    <w:basedOn w:val="DefaultParagraphFont"/>
    <w:uiPriority w:val="21"/>
    <w:qFormat/>
    <w:rsid w:val="00F53B8E"/>
    <w:rPr>
      <w:i/>
      <w:iCs/>
      <w:color w:val="0F4761" w:themeColor="accent1" w:themeShade="BF"/>
    </w:rPr>
  </w:style>
  <w:style w:type="paragraph" w:styleId="IntenseQuote">
    <w:name w:val="Intense Quote"/>
    <w:basedOn w:val="Normal"/>
    <w:next w:val="Normal"/>
    <w:link w:val="IntenseQuoteChar"/>
    <w:uiPriority w:val="30"/>
    <w:qFormat/>
    <w:rsid w:val="00F53B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3B8E"/>
    <w:rPr>
      <w:i/>
      <w:iCs/>
      <w:color w:val="0F4761" w:themeColor="accent1" w:themeShade="BF"/>
    </w:rPr>
  </w:style>
  <w:style w:type="character" w:styleId="IntenseReference">
    <w:name w:val="Intense Reference"/>
    <w:basedOn w:val="DefaultParagraphFont"/>
    <w:uiPriority w:val="32"/>
    <w:qFormat/>
    <w:rsid w:val="00F53B8E"/>
    <w:rPr>
      <w:b/>
      <w:bCs/>
      <w:smallCaps/>
      <w:color w:val="0F4761" w:themeColor="accent1" w:themeShade="BF"/>
      <w:spacing w:val="5"/>
    </w:rPr>
  </w:style>
  <w:style w:type="paragraph" w:styleId="NoSpacing">
    <w:name w:val="No Spacing"/>
    <w:link w:val="NoSpacingChar"/>
    <w:uiPriority w:val="1"/>
    <w:qFormat/>
    <w:rsid w:val="00F53B8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53B8E"/>
    <w:rPr>
      <w:rFonts w:eastAsiaTheme="minorEastAsia"/>
      <w:lang w:val="en-US"/>
    </w:rPr>
  </w:style>
  <w:style w:type="paragraph" w:styleId="TOCHeading">
    <w:name w:val="TOC Heading"/>
    <w:basedOn w:val="Heading1"/>
    <w:next w:val="Normal"/>
    <w:uiPriority w:val="39"/>
    <w:unhideWhenUsed/>
    <w:qFormat/>
    <w:rsid w:val="00F53B8E"/>
    <w:pPr>
      <w:spacing w:before="240" w:after="0"/>
      <w:outlineLvl w:val="9"/>
    </w:pPr>
    <w:rPr>
      <w:sz w:val="32"/>
      <w:szCs w:val="32"/>
      <w:lang w:val="en-US"/>
    </w:rPr>
  </w:style>
  <w:style w:type="table" w:styleId="TableGrid">
    <w:name w:val="Table Grid"/>
    <w:basedOn w:val="TableNormal"/>
    <w:uiPriority w:val="39"/>
    <w:rsid w:val="00690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538DD"/>
    <w:pPr>
      <w:spacing w:before="100" w:beforeAutospacing="1" w:after="100" w:afterAutospacing="1" w:line="240" w:lineRule="auto"/>
    </w:pPr>
    <w:rPr>
      <w:rFonts w:ascii="Times New Roman" w:eastAsia="Times New Roman" w:hAnsi="Times New Roman" w:cs="Times New Roman"/>
      <w:sz w:val="24"/>
      <w:szCs w:val="24"/>
      <w:lang/>
    </w:rPr>
  </w:style>
  <w:style w:type="paragraph" w:styleId="TOC2">
    <w:name w:val="toc 2"/>
    <w:basedOn w:val="Normal"/>
    <w:next w:val="Normal"/>
    <w:autoRedefine/>
    <w:uiPriority w:val="39"/>
    <w:unhideWhenUsed/>
    <w:rsid w:val="00DE3FF2"/>
    <w:pPr>
      <w:spacing w:after="100"/>
      <w:ind w:left="220"/>
    </w:pPr>
  </w:style>
  <w:style w:type="paragraph" w:styleId="TOC3">
    <w:name w:val="toc 3"/>
    <w:basedOn w:val="Normal"/>
    <w:next w:val="Normal"/>
    <w:autoRedefine/>
    <w:uiPriority w:val="39"/>
    <w:unhideWhenUsed/>
    <w:rsid w:val="00DE3FF2"/>
    <w:pPr>
      <w:spacing w:after="100"/>
      <w:ind w:left="440"/>
    </w:pPr>
  </w:style>
  <w:style w:type="character" w:styleId="Hyperlink">
    <w:name w:val="Hyperlink"/>
    <w:basedOn w:val="DefaultParagraphFont"/>
    <w:uiPriority w:val="99"/>
    <w:unhideWhenUsed/>
    <w:rsid w:val="00DE3FF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72452">
      <w:bodyDiv w:val="1"/>
      <w:marLeft w:val="0"/>
      <w:marRight w:val="0"/>
      <w:marTop w:val="0"/>
      <w:marBottom w:val="0"/>
      <w:divBdr>
        <w:top w:val="none" w:sz="0" w:space="0" w:color="auto"/>
        <w:left w:val="none" w:sz="0" w:space="0" w:color="auto"/>
        <w:bottom w:val="none" w:sz="0" w:space="0" w:color="auto"/>
        <w:right w:val="none" w:sz="0" w:space="0" w:color="auto"/>
      </w:divBdr>
    </w:div>
    <w:div w:id="61293515">
      <w:bodyDiv w:val="1"/>
      <w:marLeft w:val="0"/>
      <w:marRight w:val="0"/>
      <w:marTop w:val="0"/>
      <w:marBottom w:val="0"/>
      <w:divBdr>
        <w:top w:val="none" w:sz="0" w:space="0" w:color="auto"/>
        <w:left w:val="none" w:sz="0" w:space="0" w:color="auto"/>
        <w:bottom w:val="none" w:sz="0" w:space="0" w:color="auto"/>
        <w:right w:val="none" w:sz="0" w:space="0" w:color="auto"/>
      </w:divBdr>
    </w:div>
    <w:div w:id="120612065">
      <w:bodyDiv w:val="1"/>
      <w:marLeft w:val="0"/>
      <w:marRight w:val="0"/>
      <w:marTop w:val="0"/>
      <w:marBottom w:val="0"/>
      <w:divBdr>
        <w:top w:val="none" w:sz="0" w:space="0" w:color="auto"/>
        <w:left w:val="none" w:sz="0" w:space="0" w:color="auto"/>
        <w:bottom w:val="none" w:sz="0" w:space="0" w:color="auto"/>
        <w:right w:val="none" w:sz="0" w:space="0" w:color="auto"/>
      </w:divBdr>
    </w:div>
    <w:div w:id="127169319">
      <w:bodyDiv w:val="1"/>
      <w:marLeft w:val="0"/>
      <w:marRight w:val="0"/>
      <w:marTop w:val="0"/>
      <w:marBottom w:val="0"/>
      <w:divBdr>
        <w:top w:val="none" w:sz="0" w:space="0" w:color="auto"/>
        <w:left w:val="none" w:sz="0" w:space="0" w:color="auto"/>
        <w:bottom w:val="none" w:sz="0" w:space="0" w:color="auto"/>
        <w:right w:val="none" w:sz="0" w:space="0" w:color="auto"/>
      </w:divBdr>
    </w:div>
    <w:div w:id="183129410">
      <w:bodyDiv w:val="1"/>
      <w:marLeft w:val="0"/>
      <w:marRight w:val="0"/>
      <w:marTop w:val="0"/>
      <w:marBottom w:val="0"/>
      <w:divBdr>
        <w:top w:val="none" w:sz="0" w:space="0" w:color="auto"/>
        <w:left w:val="none" w:sz="0" w:space="0" w:color="auto"/>
        <w:bottom w:val="none" w:sz="0" w:space="0" w:color="auto"/>
        <w:right w:val="none" w:sz="0" w:space="0" w:color="auto"/>
      </w:divBdr>
    </w:div>
    <w:div w:id="202179714">
      <w:bodyDiv w:val="1"/>
      <w:marLeft w:val="0"/>
      <w:marRight w:val="0"/>
      <w:marTop w:val="0"/>
      <w:marBottom w:val="0"/>
      <w:divBdr>
        <w:top w:val="none" w:sz="0" w:space="0" w:color="auto"/>
        <w:left w:val="none" w:sz="0" w:space="0" w:color="auto"/>
        <w:bottom w:val="none" w:sz="0" w:space="0" w:color="auto"/>
        <w:right w:val="none" w:sz="0" w:space="0" w:color="auto"/>
      </w:divBdr>
    </w:div>
    <w:div w:id="333382852">
      <w:bodyDiv w:val="1"/>
      <w:marLeft w:val="0"/>
      <w:marRight w:val="0"/>
      <w:marTop w:val="0"/>
      <w:marBottom w:val="0"/>
      <w:divBdr>
        <w:top w:val="none" w:sz="0" w:space="0" w:color="auto"/>
        <w:left w:val="none" w:sz="0" w:space="0" w:color="auto"/>
        <w:bottom w:val="none" w:sz="0" w:space="0" w:color="auto"/>
        <w:right w:val="none" w:sz="0" w:space="0" w:color="auto"/>
      </w:divBdr>
    </w:div>
    <w:div w:id="369257642">
      <w:bodyDiv w:val="1"/>
      <w:marLeft w:val="0"/>
      <w:marRight w:val="0"/>
      <w:marTop w:val="0"/>
      <w:marBottom w:val="0"/>
      <w:divBdr>
        <w:top w:val="none" w:sz="0" w:space="0" w:color="auto"/>
        <w:left w:val="none" w:sz="0" w:space="0" w:color="auto"/>
        <w:bottom w:val="none" w:sz="0" w:space="0" w:color="auto"/>
        <w:right w:val="none" w:sz="0" w:space="0" w:color="auto"/>
      </w:divBdr>
    </w:div>
    <w:div w:id="391851017">
      <w:bodyDiv w:val="1"/>
      <w:marLeft w:val="0"/>
      <w:marRight w:val="0"/>
      <w:marTop w:val="0"/>
      <w:marBottom w:val="0"/>
      <w:divBdr>
        <w:top w:val="none" w:sz="0" w:space="0" w:color="auto"/>
        <w:left w:val="none" w:sz="0" w:space="0" w:color="auto"/>
        <w:bottom w:val="none" w:sz="0" w:space="0" w:color="auto"/>
        <w:right w:val="none" w:sz="0" w:space="0" w:color="auto"/>
      </w:divBdr>
    </w:div>
    <w:div w:id="569006417">
      <w:bodyDiv w:val="1"/>
      <w:marLeft w:val="0"/>
      <w:marRight w:val="0"/>
      <w:marTop w:val="0"/>
      <w:marBottom w:val="0"/>
      <w:divBdr>
        <w:top w:val="none" w:sz="0" w:space="0" w:color="auto"/>
        <w:left w:val="none" w:sz="0" w:space="0" w:color="auto"/>
        <w:bottom w:val="none" w:sz="0" w:space="0" w:color="auto"/>
        <w:right w:val="none" w:sz="0" w:space="0" w:color="auto"/>
      </w:divBdr>
    </w:div>
    <w:div w:id="599261868">
      <w:bodyDiv w:val="1"/>
      <w:marLeft w:val="0"/>
      <w:marRight w:val="0"/>
      <w:marTop w:val="0"/>
      <w:marBottom w:val="0"/>
      <w:divBdr>
        <w:top w:val="none" w:sz="0" w:space="0" w:color="auto"/>
        <w:left w:val="none" w:sz="0" w:space="0" w:color="auto"/>
        <w:bottom w:val="none" w:sz="0" w:space="0" w:color="auto"/>
        <w:right w:val="none" w:sz="0" w:space="0" w:color="auto"/>
      </w:divBdr>
    </w:div>
    <w:div w:id="687102176">
      <w:bodyDiv w:val="1"/>
      <w:marLeft w:val="0"/>
      <w:marRight w:val="0"/>
      <w:marTop w:val="0"/>
      <w:marBottom w:val="0"/>
      <w:divBdr>
        <w:top w:val="none" w:sz="0" w:space="0" w:color="auto"/>
        <w:left w:val="none" w:sz="0" w:space="0" w:color="auto"/>
        <w:bottom w:val="none" w:sz="0" w:space="0" w:color="auto"/>
        <w:right w:val="none" w:sz="0" w:space="0" w:color="auto"/>
      </w:divBdr>
    </w:div>
    <w:div w:id="723413433">
      <w:bodyDiv w:val="1"/>
      <w:marLeft w:val="0"/>
      <w:marRight w:val="0"/>
      <w:marTop w:val="0"/>
      <w:marBottom w:val="0"/>
      <w:divBdr>
        <w:top w:val="none" w:sz="0" w:space="0" w:color="auto"/>
        <w:left w:val="none" w:sz="0" w:space="0" w:color="auto"/>
        <w:bottom w:val="none" w:sz="0" w:space="0" w:color="auto"/>
        <w:right w:val="none" w:sz="0" w:space="0" w:color="auto"/>
      </w:divBdr>
    </w:div>
    <w:div w:id="742603391">
      <w:bodyDiv w:val="1"/>
      <w:marLeft w:val="0"/>
      <w:marRight w:val="0"/>
      <w:marTop w:val="0"/>
      <w:marBottom w:val="0"/>
      <w:divBdr>
        <w:top w:val="none" w:sz="0" w:space="0" w:color="auto"/>
        <w:left w:val="none" w:sz="0" w:space="0" w:color="auto"/>
        <w:bottom w:val="none" w:sz="0" w:space="0" w:color="auto"/>
        <w:right w:val="none" w:sz="0" w:space="0" w:color="auto"/>
      </w:divBdr>
    </w:div>
    <w:div w:id="835875422">
      <w:bodyDiv w:val="1"/>
      <w:marLeft w:val="0"/>
      <w:marRight w:val="0"/>
      <w:marTop w:val="0"/>
      <w:marBottom w:val="0"/>
      <w:divBdr>
        <w:top w:val="none" w:sz="0" w:space="0" w:color="auto"/>
        <w:left w:val="none" w:sz="0" w:space="0" w:color="auto"/>
        <w:bottom w:val="none" w:sz="0" w:space="0" w:color="auto"/>
        <w:right w:val="none" w:sz="0" w:space="0" w:color="auto"/>
      </w:divBdr>
    </w:div>
    <w:div w:id="864831946">
      <w:bodyDiv w:val="1"/>
      <w:marLeft w:val="0"/>
      <w:marRight w:val="0"/>
      <w:marTop w:val="0"/>
      <w:marBottom w:val="0"/>
      <w:divBdr>
        <w:top w:val="none" w:sz="0" w:space="0" w:color="auto"/>
        <w:left w:val="none" w:sz="0" w:space="0" w:color="auto"/>
        <w:bottom w:val="none" w:sz="0" w:space="0" w:color="auto"/>
        <w:right w:val="none" w:sz="0" w:space="0" w:color="auto"/>
      </w:divBdr>
    </w:div>
    <w:div w:id="891113283">
      <w:bodyDiv w:val="1"/>
      <w:marLeft w:val="0"/>
      <w:marRight w:val="0"/>
      <w:marTop w:val="0"/>
      <w:marBottom w:val="0"/>
      <w:divBdr>
        <w:top w:val="none" w:sz="0" w:space="0" w:color="auto"/>
        <w:left w:val="none" w:sz="0" w:space="0" w:color="auto"/>
        <w:bottom w:val="none" w:sz="0" w:space="0" w:color="auto"/>
        <w:right w:val="none" w:sz="0" w:space="0" w:color="auto"/>
      </w:divBdr>
    </w:div>
    <w:div w:id="934479454">
      <w:bodyDiv w:val="1"/>
      <w:marLeft w:val="0"/>
      <w:marRight w:val="0"/>
      <w:marTop w:val="0"/>
      <w:marBottom w:val="0"/>
      <w:divBdr>
        <w:top w:val="none" w:sz="0" w:space="0" w:color="auto"/>
        <w:left w:val="none" w:sz="0" w:space="0" w:color="auto"/>
        <w:bottom w:val="none" w:sz="0" w:space="0" w:color="auto"/>
        <w:right w:val="none" w:sz="0" w:space="0" w:color="auto"/>
      </w:divBdr>
    </w:div>
    <w:div w:id="1030447834">
      <w:bodyDiv w:val="1"/>
      <w:marLeft w:val="0"/>
      <w:marRight w:val="0"/>
      <w:marTop w:val="0"/>
      <w:marBottom w:val="0"/>
      <w:divBdr>
        <w:top w:val="none" w:sz="0" w:space="0" w:color="auto"/>
        <w:left w:val="none" w:sz="0" w:space="0" w:color="auto"/>
        <w:bottom w:val="none" w:sz="0" w:space="0" w:color="auto"/>
        <w:right w:val="none" w:sz="0" w:space="0" w:color="auto"/>
      </w:divBdr>
    </w:div>
    <w:div w:id="1050150136">
      <w:bodyDiv w:val="1"/>
      <w:marLeft w:val="0"/>
      <w:marRight w:val="0"/>
      <w:marTop w:val="0"/>
      <w:marBottom w:val="0"/>
      <w:divBdr>
        <w:top w:val="none" w:sz="0" w:space="0" w:color="auto"/>
        <w:left w:val="none" w:sz="0" w:space="0" w:color="auto"/>
        <w:bottom w:val="none" w:sz="0" w:space="0" w:color="auto"/>
        <w:right w:val="none" w:sz="0" w:space="0" w:color="auto"/>
      </w:divBdr>
    </w:div>
    <w:div w:id="1193345594">
      <w:bodyDiv w:val="1"/>
      <w:marLeft w:val="0"/>
      <w:marRight w:val="0"/>
      <w:marTop w:val="0"/>
      <w:marBottom w:val="0"/>
      <w:divBdr>
        <w:top w:val="none" w:sz="0" w:space="0" w:color="auto"/>
        <w:left w:val="none" w:sz="0" w:space="0" w:color="auto"/>
        <w:bottom w:val="none" w:sz="0" w:space="0" w:color="auto"/>
        <w:right w:val="none" w:sz="0" w:space="0" w:color="auto"/>
      </w:divBdr>
    </w:div>
    <w:div w:id="1309936216">
      <w:bodyDiv w:val="1"/>
      <w:marLeft w:val="0"/>
      <w:marRight w:val="0"/>
      <w:marTop w:val="0"/>
      <w:marBottom w:val="0"/>
      <w:divBdr>
        <w:top w:val="none" w:sz="0" w:space="0" w:color="auto"/>
        <w:left w:val="none" w:sz="0" w:space="0" w:color="auto"/>
        <w:bottom w:val="none" w:sz="0" w:space="0" w:color="auto"/>
        <w:right w:val="none" w:sz="0" w:space="0" w:color="auto"/>
      </w:divBdr>
    </w:div>
    <w:div w:id="1356078698">
      <w:bodyDiv w:val="1"/>
      <w:marLeft w:val="0"/>
      <w:marRight w:val="0"/>
      <w:marTop w:val="0"/>
      <w:marBottom w:val="0"/>
      <w:divBdr>
        <w:top w:val="none" w:sz="0" w:space="0" w:color="auto"/>
        <w:left w:val="none" w:sz="0" w:space="0" w:color="auto"/>
        <w:bottom w:val="none" w:sz="0" w:space="0" w:color="auto"/>
        <w:right w:val="none" w:sz="0" w:space="0" w:color="auto"/>
      </w:divBdr>
    </w:div>
    <w:div w:id="1361200668">
      <w:bodyDiv w:val="1"/>
      <w:marLeft w:val="0"/>
      <w:marRight w:val="0"/>
      <w:marTop w:val="0"/>
      <w:marBottom w:val="0"/>
      <w:divBdr>
        <w:top w:val="none" w:sz="0" w:space="0" w:color="auto"/>
        <w:left w:val="none" w:sz="0" w:space="0" w:color="auto"/>
        <w:bottom w:val="none" w:sz="0" w:space="0" w:color="auto"/>
        <w:right w:val="none" w:sz="0" w:space="0" w:color="auto"/>
      </w:divBdr>
    </w:div>
    <w:div w:id="1373069690">
      <w:bodyDiv w:val="1"/>
      <w:marLeft w:val="0"/>
      <w:marRight w:val="0"/>
      <w:marTop w:val="0"/>
      <w:marBottom w:val="0"/>
      <w:divBdr>
        <w:top w:val="none" w:sz="0" w:space="0" w:color="auto"/>
        <w:left w:val="none" w:sz="0" w:space="0" w:color="auto"/>
        <w:bottom w:val="none" w:sz="0" w:space="0" w:color="auto"/>
        <w:right w:val="none" w:sz="0" w:space="0" w:color="auto"/>
      </w:divBdr>
    </w:div>
    <w:div w:id="1427767802">
      <w:bodyDiv w:val="1"/>
      <w:marLeft w:val="0"/>
      <w:marRight w:val="0"/>
      <w:marTop w:val="0"/>
      <w:marBottom w:val="0"/>
      <w:divBdr>
        <w:top w:val="none" w:sz="0" w:space="0" w:color="auto"/>
        <w:left w:val="none" w:sz="0" w:space="0" w:color="auto"/>
        <w:bottom w:val="none" w:sz="0" w:space="0" w:color="auto"/>
        <w:right w:val="none" w:sz="0" w:space="0" w:color="auto"/>
      </w:divBdr>
    </w:div>
    <w:div w:id="1449160158">
      <w:bodyDiv w:val="1"/>
      <w:marLeft w:val="0"/>
      <w:marRight w:val="0"/>
      <w:marTop w:val="0"/>
      <w:marBottom w:val="0"/>
      <w:divBdr>
        <w:top w:val="none" w:sz="0" w:space="0" w:color="auto"/>
        <w:left w:val="none" w:sz="0" w:space="0" w:color="auto"/>
        <w:bottom w:val="none" w:sz="0" w:space="0" w:color="auto"/>
        <w:right w:val="none" w:sz="0" w:space="0" w:color="auto"/>
      </w:divBdr>
    </w:div>
    <w:div w:id="1469057058">
      <w:bodyDiv w:val="1"/>
      <w:marLeft w:val="0"/>
      <w:marRight w:val="0"/>
      <w:marTop w:val="0"/>
      <w:marBottom w:val="0"/>
      <w:divBdr>
        <w:top w:val="none" w:sz="0" w:space="0" w:color="auto"/>
        <w:left w:val="none" w:sz="0" w:space="0" w:color="auto"/>
        <w:bottom w:val="none" w:sz="0" w:space="0" w:color="auto"/>
        <w:right w:val="none" w:sz="0" w:space="0" w:color="auto"/>
      </w:divBdr>
    </w:div>
    <w:div w:id="1577471601">
      <w:bodyDiv w:val="1"/>
      <w:marLeft w:val="0"/>
      <w:marRight w:val="0"/>
      <w:marTop w:val="0"/>
      <w:marBottom w:val="0"/>
      <w:divBdr>
        <w:top w:val="none" w:sz="0" w:space="0" w:color="auto"/>
        <w:left w:val="none" w:sz="0" w:space="0" w:color="auto"/>
        <w:bottom w:val="none" w:sz="0" w:space="0" w:color="auto"/>
        <w:right w:val="none" w:sz="0" w:space="0" w:color="auto"/>
      </w:divBdr>
    </w:div>
    <w:div w:id="1603681528">
      <w:bodyDiv w:val="1"/>
      <w:marLeft w:val="0"/>
      <w:marRight w:val="0"/>
      <w:marTop w:val="0"/>
      <w:marBottom w:val="0"/>
      <w:divBdr>
        <w:top w:val="none" w:sz="0" w:space="0" w:color="auto"/>
        <w:left w:val="none" w:sz="0" w:space="0" w:color="auto"/>
        <w:bottom w:val="none" w:sz="0" w:space="0" w:color="auto"/>
        <w:right w:val="none" w:sz="0" w:space="0" w:color="auto"/>
      </w:divBdr>
    </w:div>
    <w:div w:id="1796631841">
      <w:bodyDiv w:val="1"/>
      <w:marLeft w:val="0"/>
      <w:marRight w:val="0"/>
      <w:marTop w:val="0"/>
      <w:marBottom w:val="0"/>
      <w:divBdr>
        <w:top w:val="none" w:sz="0" w:space="0" w:color="auto"/>
        <w:left w:val="none" w:sz="0" w:space="0" w:color="auto"/>
        <w:bottom w:val="none" w:sz="0" w:space="0" w:color="auto"/>
        <w:right w:val="none" w:sz="0" w:space="0" w:color="auto"/>
      </w:divBdr>
    </w:div>
    <w:div w:id="1816799982">
      <w:bodyDiv w:val="1"/>
      <w:marLeft w:val="0"/>
      <w:marRight w:val="0"/>
      <w:marTop w:val="0"/>
      <w:marBottom w:val="0"/>
      <w:divBdr>
        <w:top w:val="none" w:sz="0" w:space="0" w:color="auto"/>
        <w:left w:val="none" w:sz="0" w:space="0" w:color="auto"/>
        <w:bottom w:val="none" w:sz="0" w:space="0" w:color="auto"/>
        <w:right w:val="none" w:sz="0" w:space="0" w:color="auto"/>
      </w:divBdr>
    </w:div>
    <w:div w:id="1953784022">
      <w:bodyDiv w:val="1"/>
      <w:marLeft w:val="0"/>
      <w:marRight w:val="0"/>
      <w:marTop w:val="0"/>
      <w:marBottom w:val="0"/>
      <w:divBdr>
        <w:top w:val="none" w:sz="0" w:space="0" w:color="auto"/>
        <w:left w:val="none" w:sz="0" w:space="0" w:color="auto"/>
        <w:bottom w:val="none" w:sz="0" w:space="0" w:color="auto"/>
        <w:right w:val="none" w:sz="0" w:space="0" w:color="auto"/>
      </w:divBdr>
    </w:div>
    <w:div w:id="1971671220">
      <w:bodyDiv w:val="1"/>
      <w:marLeft w:val="0"/>
      <w:marRight w:val="0"/>
      <w:marTop w:val="0"/>
      <w:marBottom w:val="0"/>
      <w:divBdr>
        <w:top w:val="none" w:sz="0" w:space="0" w:color="auto"/>
        <w:left w:val="none" w:sz="0" w:space="0" w:color="auto"/>
        <w:bottom w:val="none" w:sz="0" w:space="0" w:color="auto"/>
        <w:right w:val="none" w:sz="0" w:space="0" w:color="auto"/>
      </w:divBdr>
    </w:div>
    <w:div w:id="2034987492">
      <w:bodyDiv w:val="1"/>
      <w:marLeft w:val="0"/>
      <w:marRight w:val="0"/>
      <w:marTop w:val="0"/>
      <w:marBottom w:val="0"/>
      <w:divBdr>
        <w:top w:val="none" w:sz="0" w:space="0" w:color="auto"/>
        <w:left w:val="none" w:sz="0" w:space="0" w:color="auto"/>
        <w:bottom w:val="none" w:sz="0" w:space="0" w:color="auto"/>
        <w:right w:val="none" w:sz="0" w:space="0" w:color="auto"/>
      </w:divBdr>
    </w:div>
    <w:div w:id="214272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832B0C-DD5F-4A47-BF3D-B48622EC0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6</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Design And Analysis of algoriths</vt:lpstr>
    </vt:vector>
  </TitlesOfParts>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Systems</dc:title>
  <dc:subject>Assignment-02</dc:subject>
  <dc:creator>Umar iftikhar</dc:creator>
  <cp:keywords/>
  <dc:description/>
  <cp:lastModifiedBy>Shahzaib Ali</cp:lastModifiedBy>
  <cp:revision>98</cp:revision>
  <dcterms:created xsi:type="dcterms:W3CDTF">2024-10-27T10:17:00Z</dcterms:created>
  <dcterms:modified xsi:type="dcterms:W3CDTF">2024-10-31T17:28:00Z</dcterms:modified>
</cp:coreProperties>
</file>