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B8B1E" w14:textId="4A600007" w:rsidR="0051631A" w:rsidRDefault="00C022BA">
      <w:pPr>
        <w:rPr>
          <w:rtl/>
        </w:rPr>
      </w:pPr>
      <w:r>
        <w:rPr>
          <w:rFonts w:hint="cs"/>
          <w:rtl/>
        </w:rPr>
        <w:t xml:space="preserve">29. התקה </w:t>
      </w:r>
      <w:r>
        <w:rPr>
          <w:rtl/>
        </w:rPr>
        <w:t>–</w:t>
      </w:r>
      <w:r>
        <w:rPr>
          <w:rFonts w:hint="cs"/>
          <w:rtl/>
        </w:rPr>
        <w:t xml:space="preserve"> הטלה</w:t>
      </w:r>
    </w:p>
    <w:p w14:paraId="711813D8" w14:textId="2314FA9D" w:rsidR="00061701" w:rsidRDefault="00061701">
      <w:pPr>
        <w:rPr>
          <w:rtl/>
        </w:rPr>
      </w:pPr>
      <w:r>
        <w:rPr>
          <w:rFonts w:hint="cs"/>
          <w:rtl/>
        </w:rPr>
        <w:t xml:space="preserve">כאשר מדברים על מנגנוני הגנה </w:t>
      </w:r>
      <w:proofErr w:type="spellStart"/>
      <w:r>
        <w:rPr>
          <w:rFonts w:hint="cs"/>
          <w:rtl/>
        </w:rPr>
        <w:t>מובחניים</w:t>
      </w:r>
      <w:proofErr w:type="spellEnd"/>
      <w:r>
        <w:rPr>
          <w:rFonts w:hint="cs"/>
          <w:rtl/>
        </w:rPr>
        <w:t xml:space="preserve"> כמו שנעשה הבוקר: למשל 'התקה' מול מנגנון שנקרא לו הטלה' </w:t>
      </w:r>
      <w:r>
        <w:rPr>
          <w:rtl/>
        </w:rPr>
        <w:t>–</w:t>
      </w:r>
      <w:r>
        <w:rPr>
          <w:rFonts w:hint="cs"/>
          <w:rtl/>
        </w:rPr>
        <w:t xml:space="preserve"> צריך לזכור שמדובר בחלוקה תאורטית ודידקטית מכיוון שהאגו </w:t>
      </w:r>
      <w:r>
        <w:rPr>
          <w:rtl/>
        </w:rPr>
        <w:t>–</w:t>
      </w:r>
      <w:r>
        <w:rPr>
          <w:rFonts w:hint="cs"/>
          <w:rtl/>
        </w:rPr>
        <w:t xml:space="preserve"> או במילים פשוטות יותר אופיו של מטופל </w:t>
      </w:r>
      <w:r>
        <w:rPr>
          <w:rtl/>
        </w:rPr>
        <w:t>–</w:t>
      </w:r>
      <w:r>
        <w:rPr>
          <w:rFonts w:hint="cs"/>
          <w:rtl/>
        </w:rPr>
        <w:t xml:space="preserve"> הוא אינסופי בגיוון שלו ולא ניתן להפריד מנגנון ממנגנון </w:t>
      </w:r>
      <w:r w:rsidR="002266D0">
        <w:rPr>
          <w:rFonts w:hint="cs"/>
          <w:rtl/>
        </w:rPr>
        <w:t>ולהישאר נאמנים להיכרות האינטימית עם המטופל. למרות שמנגנוני ההגנה מובחנים הם פועלים בסוג של התמזגות שהיא טביעת האצבע הייחודית לכל אדם.</w:t>
      </w:r>
    </w:p>
    <w:p w14:paraId="0D756D52" w14:textId="2B0FE542" w:rsidR="002266D0" w:rsidRDefault="002266D0" w:rsidP="002266D0">
      <w:pPr>
        <w:rPr>
          <w:rtl/>
        </w:rPr>
      </w:pPr>
      <w:r>
        <w:rPr>
          <w:rFonts w:hint="cs"/>
          <w:rtl/>
        </w:rPr>
        <w:t xml:space="preserve">לכן צריך לזכור שמנגנון הוא סוג של מגמה בתוך מכלול האופי. יחד עם זאת ההפרדה המלאכותית שנעשה היום אולי תזקק ותוליד משהו מעניין, איזושהי נקודה למחשבה שתתאים לרגע קליני </w:t>
      </w:r>
      <w:proofErr w:type="spellStart"/>
      <w:r>
        <w:rPr>
          <w:rFonts w:hint="cs"/>
          <w:rtl/>
        </w:rPr>
        <w:t>מסויים</w:t>
      </w:r>
      <w:proofErr w:type="spellEnd"/>
      <w:r>
        <w:rPr>
          <w:rFonts w:hint="cs"/>
          <w:rtl/>
        </w:rPr>
        <w:t>.</w:t>
      </w:r>
    </w:p>
    <w:p w14:paraId="5C41099A" w14:textId="0AA5D1B1" w:rsidR="002266D0" w:rsidRDefault="002266D0" w:rsidP="002266D0">
      <w:pPr>
        <w:rPr>
          <w:rFonts w:cs="Arial"/>
          <w:rtl/>
        </w:rPr>
      </w:pPr>
      <w:r w:rsidRPr="002266D0">
        <w:rPr>
          <w:rFonts w:cs="Arial"/>
          <w:rtl/>
        </w:rPr>
        <w:t>פרויד גילה את רוב מנגנוני ההגנה עליהם אנו מדברים היום וזיהה חמישה מהמאפיינים החשובים שלהם: (1)</w:t>
      </w:r>
      <w:r>
        <w:rPr>
          <w:rFonts w:cs="Arial" w:hint="cs"/>
          <w:rtl/>
        </w:rPr>
        <w:t>מנגנוני ההגנה</w:t>
      </w:r>
      <w:r w:rsidRPr="002266D0">
        <w:rPr>
          <w:rFonts w:cs="Arial"/>
          <w:rtl/>
        </w:rPr>
        <w:t xml:space="preserve"> ה</w:t>
      </w:r>
      <w:r>
        <w:rPr>
          <w:rFonts w:cs="Arial" w:hint="cs"/>
          <w:rtl/>
        </w:rPr>
        <w:t>ם</w:t>
      </w:r>
      <w:r w:rsidRPr="002266D0">
        <w:rPr>
          <w:rFonts w:cs="Arial"/>
          <w:rtl/>
        </w:rPr>
        <w:t xml:space="preserve"> אמצעי מרכזי ל</w:t>
      </w:r>
      <w:r>
        <w:rPr>
          <w:rFonts w:cs="Arial" w:hint="cs"/>
          <w:rtl/>
        </w:rPr>
        <w:t>התמודדות עם</w:t>
      </w:r>
      <w:r w:rsidRPr="002266D0">
        <w:rPr>
          <w:rFonts w:cs="Arial"/>
          <w:rtl/>
        </w:rPr>
        <w:t xml:space="preserve"> </w:t>
      </w:r>
      <w:r>
        <w:rPr>
          <w:rFonts w:cs="Arial" w:hint="cs"/>
          <w:rtl/>
        </w:rPr>
        <w:t>דחפים ורגשות</w:t>
      </w:r>
    </w:p>
    <w:p w14:paraId="67E2DDC8" w14:textId="77777777" w:rsidR="002266D0" w:rsidRDefault="002266D0" w:rsidP="002266D0">
      <w:pPr>
        <w:rPr>
          <w:rFonts w:cs="Arial"/>
          <w:rtl/>
        </w:rPr>
      </w:pPr>
      <w:r w:rsidRPr="002266D0">
        <w:rPr>
          <w:rFonts w:cs="Arial"/>
          <w:rtl/>
        </w:rPr>
        <w:t xml:space="preserve"> (2) הם </w:t>
      </w:r>
      <w:r>
        <w:rPr>
          <w:rFonts w:cs="Arial" w:hint="cs"/>
          <w:rtl/>
        </w:rPr>
        <w:t>לא מודעים</w:t>
      </w:r>
      <w:r w:rsidRPr="002266D0">
        <w:rPr>
          <w:rFonts w:cs="Arial"/>
          <w:rtl/>
        </w:rPr>
        <w:t xml:space="preserve">; </w:t>
      </w:r>
    </w:p>
    <w:p w14:paraId="1BAEDD3F" w14:textId="77777777" w:rsidR="002266D0" w:rsidRDefault="002266D0" w:rsidP="002266D0">
      <w:pPr>
        <w:rPr>
          <w:rFonts w:cs="Arial"/>
          <w:rtl/>
        </w:rPr>
      </w:pPr>
      <w:r w:rsidRPr="002266D0">
        <w:rPr>
          <w:rFonts w:cs="Arial"/>
          <w:rtl/>
        </w:rPr>
        <w:t xml:space="preserve">(3) הם היו </w:t>
      </w:r>
      <w:r>
        <w:rPr>
          <w:rFonts w:cs="Arial" w:hint="cs"/>
          <w:rtl/>
        </w:rPr>
        <w:t xml:space="preserve">מובחנים </w:t>
      </w:r>
      <w:r w:rsidRPr="002266D0">
        <w:rPr>
          <w:rFonts w:cs="Arial"/>
          <w:rtl/>
        </w:rPr>
        <w:t>זה מזה;</w:t>
      </w:r>
    </w:p>
    <w:p w14:paraId="54B02159" w14:textId="77777777" w:rsidR="002266D0" w:rsidRDefault="002266D0" w:rsidP="002266D0">
      <w:pPr>
        <w:rPr>
          <w:rFonts w:cs="Arial"/>
          <w:rtl/>
        </w:rPr>
      </w:pPr>
      <w:r w:rsidRPr="002266D0">
        <w:rPr>
          <w:rFonts w:cs="Arial"/>
          <w:rtl/>
        </w:rPr>
        <w:t xml:space="preserve"> (4) למרות שלעתים קרובות הם סימני ההיכר של תסמונות פסיכיאטריות </w:t>
      </w:r>
      <w:r>
        <w:rPr>
          <w:rFonts w:cs="Arial" w:hint="cs"/>
          <w:rtl/>
        </w:rPr>
        <w:t>משמעותיות</w:t>
      </w:r>
      <w:r w:rsidRPr="002266D0">
        <w:rPr>
          <w:rFonts w:cs="Arial"/>
          <w:rtl/>
        </w:rPr>
        <w:t>, ההגנות ה</w:t>
      </w:r>
      <w:r>
        <w:rPr>
          <w:rFonts w:cs="Arial" w:hint="cs"/>
          <w:rtl/>
        </w:rPr>
        <w:t>ן גם</w:t>
      </w:r>
      <w:r w:rsidRPr="002266D0">
        <w:rPr>
          <w:rFonts w:cs="Arial"/>
          <w:rtl/>
        </w:rPr>
        <w:t xml:space="preserve"> דינמיות והפיכות; </w:t>
      </w:r>
    </w:p>
    <w:p w14:paraId="2477D56D" w14:textId="51848749" w:rsidR="00C022BA" w:rsidRDefault="002266D0" w:rsidP="002266D0">
      <w:pPr>
        <w:rPr>
          <w:rFonts w:cs="Arial"/>
          <w:color w:val="000000"/>
          <w:rtl/>
        </w:rPr>
      </w:pPr>
      <w:r w:rsidRPr="002266D0">
        <w:rPr>
          <w:rFonts w:cs="Arial"/>
          <w:rtl/>
        </w:rPr>
        <w:t xml:space="preserve">(5) לבסוף, </w:t>
      </w:r>
      <w:r>
        <w:rPr>
          <w:rFonts w:cs="Arial" w:hint="cs"/>
          <w:rtl/>
        </w:rPr>
        <w:t>מנגנוני ההגנה</w:t>
      </w:r>
      <w:r w:rsidRPr="002266D0">
        <w:rPr>
          <w:rFonts w:cs="Arial"/>
          <w:rtl/>
        </w:rPr>
        <w:t xml:space="preserve"> יכולים להיות אדפטיביים</w:t>
      </w:r>
      <w:r>
        <w:rPr>
          <w:rFonts w:cs="Arial" w:hint="cs"/>
          <w:rtl/>
        </w:rPr>
        <w:t xml:space="preserve">, אך </w:t>
      </w:r>
      <w:r w:rsidRPr="002266D0">
        <w:rPr>
          <w:rFonts w:cs="Arial"/>
          <w:rtl/>
        </w:rPr>
        <w:t xml:space="preserve">גם פתולוגיים. </w:t>
      </w:r>
      <w:r w:rsidR="000D598F">
        <w:rPr>
          <w:rFonts w:cs="Arial" w:hint="cs"/>
          <w:rtl/>
        </w:rPr>
        <w:t xml:space="preserve"> </w:t>
      </w:r>
      <w:sdt>
        <w:sdtPr>
          <w:rPr>
            <w:rFonts w:cs="Arial" w:hint="cs"/>
            <w:color w:val="000000"/>
            <w:rtl/>
          </w:rPr>
          <w:tag w:val="MENDELEY_CITATION_v3_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"/>
          <w:id w:val="-1115597210"/>
          <w:placeholder>
            <w:docPart w:val="DefaultPlaceholder_-1854013440"/>
          </w:placeholder>
        </w:sdtPr>
        <w:sdtContent>
          <w:r w:rsidR="000D598F" w:rsidRPr="000D598F">
            <w:rPr>
              <w:rFonts w:cs="Arial"/>
              <w:color w:val="000000"/>
              <w:rtl/>
            </w:rPr>
            <w:t>(</w:t>
          </w:r>
          <w:r w:rsidR="000D598F" w:rsidRPr="000D598F">
            <w:rPr>
              <w:rFonts w:cs="Arial"/>
              <w:color w:val="000000"/>
            </w:rPr>
            <w:t>Vaillant, 1992</w:t>
          </w:r>
          <w:r w:rsidR="000D598F" w:rsidRPr="000D598F">
            <w:rPr>
              <w:rFonts w:cs="Arial"/>
              <w:color w:val="000000"/>
              <w:rtl/>
            </w:rPr>
            <w:t>)</w:t>
          </w:r>
        </w:sdtContent>
      </w:sdt>
    </w:p>
    <w:p w14:paraId="0D7F06BE" w14:textId="77777777" w:rsidR="00CC38B1" w:rsidRDefault="00CC38B1" w:rsidP="002266D0">
      <w:pPr>
        <w:rPr>
          <w:rFonts w:cs="Arial"/>
          <w:color w:val="000000"/>
          <w:rtl/>
        </w:rPr>
      </w:pPr>
    </w:p>
    <w:p w14:paraId="76C01870" w14:textId="7CB8E758" w:rsidR="00CC38B1" w:rsidRDefault="00CC38B1" w:rsidP="002266D0">
      <w:pPr>
        <w:rPr>
          <w:rFonts w:cs="Arial"/>
          <w:color w:val="000000"/>
          <w:rtl/>
        </w:rPr>
      </w:pPr>
      <w:proofErr w:type="spellStart"/>
      <w:r>
        <w:rPr>
          <w:rFonts w:cs="Arial" w:hint="cs"/>
          <w:color w:val="000000"/>
          <w:rtl/>
        </w:rPr>
        <w:t>חאופלד</w:t>
      </w:r>
      <w:proofErr w:type="spellEnd"/>
      <w:r>
        <w:rPr>
          <w:rFonts w:cs="Arial" w:hint="cs"/>
          <w:color w:val="000000"/>
          <w:rtl/>
        </w:rPr>
        <w:t xml:space="preserve"> </w:t>
      </w:r>
      <w:proofErr w:type="spellStart"/>
      <w:r>
        <w:rPr>
          <w:rFonts w:cs="Arial" w:hint="cs"/>
          <w:color w:val="000000"/>
          <w:rtl/>
        </w:rPr>
        <w:t>בלאק</w:t>
      </w:r>
      <w:proofErr w:type="spellEnd"/>
      <w:r>
        <w:rPr>
          <w:rFonts w:cs="Arial" w:hint="cs"/>
          <w:color w:val="000000"/>
          <w:rtl/>
        </w:rPr>
        <w:t xml:space="preserve"> </w:t>
      </w:r>
      <w:r>
        <w:rPr>
          <w:rFonts w:cs="Arial"/>
          <w:color w:val="000000"/>
          <w:rtl/>
        </w:rPr>
        <w:t>–</w:t>
      </w:r>
      <w:r>
        <w:rPr>
          <w:rFonts w:cs="Arial" w:hint="cs"/>
          <w:color w:val="000000"/>
          <w:rtl/>
        </w:rPr>
        <w:t xml:space="preserve"> היה אנליטיקאי אשר השתתף ביצירתם של המבחנים ההשלכתיים לילדים ומבוגרים </w:t>
      </w:r>
      <w:r>
        <w:rPr>
          <w:rFonts w:cs="Arial"/>
          <w:color w:val="000000"/>
        </w:rPr>
        <w:t>TAT</w:t>
      </w:r>
    </w:p>
    <w:p w14:paraId="1F01FDA6" w14:textId="77777777" w:rsidR="00CC38B1" w:rsidRDefault="00CC38B1" w:rsidP="002266D0">
      <w:pPr>
        <w:rPr>
          <w:rFonts w:hint="cs"/>
          <w:rtl/>
        </w:rPr>
      </w:pPr>
    </w:p>
    <w:sectPr w:rsidR="00CC38B1" w:rsidSect="002E25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76"/>
    <w:rsid w:val="00061701"/>
    <w:rsid w:val="000D598F"/>
    <w:rsid w:val="002266D0"/>
    <w:rsid w:val="002E251F"/>
    <w:rsid w:val="00342031"/>
    <w:rsid w:val="003D0B4D"/>
    <w:rsid w:val="0051631A"/>
    <w:rsid w:val="00647C5C"/>
    <w:rsid w:val="00A92B57"/>
    <w:rsid w:val="00C022BA"/>
    <w:rsid w:val="00C46676"/>
    <w:rsid w:val="00CC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9C85"/>
  <w15:chartTrackingRefBased/>
  <w15:docId w15:val="{EEB223F1-BCC4-4339-99B8-E813C25A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59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23E04-4E39-4E34-8804-4FE30D2CC4FC}"/>
      </w:docPartPr>
      <w:docPartBody>
        <w:p w:rsidR="00000000" w:rsidRDefault="00BA7FE7">
          <w:r w:rsidRPr="00EB75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E7"/>
    <w:rsid w:val="00BA7FE7"/>
    <w:rsid w:val="00D0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L" w:eastAsia="en-IL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7FE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BEB907-A1D2-43CE-8AF3-DAC053B0C7FA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{&quot;citationID&quot;:&quot;MENDELEY_CITATION_61036faa-9f00-47a2-9f5b-914afdd0a70a&quot;,&quot;properties&quot;:{&quot;noteIndex&quot;:0},&quot;isEdited&quot;:false,&quot;manualOverride&quot;:{&quot;isManuallyOverridden&quot;:false,&quot;citeprocText&quot;:&quot;(Vaillant, 1992)&quot;,&quot;manualOverrideText&quot;:&quot;&quot;},&quot;citationTag&quot;:&quot;MENDELEY_CITATION_v3_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&quot;,&quot;citationItems&quot;:[{&quot;id&quot;:&quot;40f19570-4687-3a26-a0c6-2bb896655840&quot;,&quot;itemData&quot;:{&quot;type&quot;:&quot;article-journal&quot;,&quot;id&quot;:&quot;40f19570-4687-3a26-a0c6-2bb896655840&quot;,&quot;title&quot;:&quot;The Historical Origins and Future Potential of Sigmund Freud's Concept of the Mechanisms of Defence&quot;,&quot;author&quot;:[{&quot;family&quot;:&quot;Vaillant&quot;,&quot;given&quot;:&quot;George&quot;,&quot;parse-names&quot;:false,&quot;dropping-particle&quot;:&quot;&quot;,&quot;non-dropping-particle&quot;:&quot;&quot;}],&quot;container-title&quot;:&quot;International review of psycho-analysis&quot;,&quot;ISSN&quot;:&quot;0306-2643&quot;,&quot;issued&quot;:{&quot;date-parts&quot;:[[1992]]},&quot;publisher-place&quot;:&quot;London&quot;,&quot;page&quot;:&quot;35-50&quot;,&quot;language&quot;:&quot;eng&quot;,&quot;genre&quot;:&quot;article&quot;,&quot;publisher&quot;:&quot;Routledge for the Institute of Psycho-Analysis&quot;,&quot;issue&quot;:&quot;1&quot;,&quot;volume&quot;:&quot;19&quot;,&quot;container-title-short&quot;:&quot;&quot;},&quot;isTemporar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9C674-1B34-4214-A65C-22B9DC2B5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Kopel Eliezer</dc:creator>
  <cp:keywords/>
  <dc:description/>
  <cp:lastModifiedBy>Kopel Eliezer</cp:lastModifiedBy>
  <cp:revision>4</cp:revision>
  <dcterms:created xsi:type="dcterms:W3CDTF">2024-03-14T09:18:00Z</dcterms:created>
  <dcterms:modified xsi:type="dcterms:W3CDTF">2024-03-17T06:38:00Z</dcterms:modified>
</cp:coreProperties>
</file>