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3A6" w14:textId="77777777" w:rsidR="007D72C2" w:rsidRPr="00A537D1" w:rsidRDefault="00A537D1">
      <w:pPr>
        <w:pStyle w:val="Title"/>
        <w:jc w:val="center"/>
        <w:rPr>
          <w:rFonts w:ascii="Arial" w:hAnsi="Arial" w:cs="Arial"/>
          <w:color w:val="000000" w:themeColor="text1"/>
        </w:rPr>
      </w:pPr>
      <w:r w:rsidRPr="00A537D1">
        <w:rPr>
          <w:rFonts w:ascii="Arial" w:hAnsi="Arial" w:cs="Arial"/>
          <w:color w:val="000000" w:themeColor="text1"/>
        </w:rPr>
        <w:t>Business Summary Report: Predictive Insights for Collections Strategy</w:t>
      </w:r>
    </w:p>
    <w:p w14:paraId="2F4337BF" w14:textId="77777777" w:rsidR="007D72C2" w:rsidRPr="00A537D1" w:rsidRDefault="00A537D1">
      <w:pPr>
        <w:pStyle w:val="Heading1"/>
        <w:rPr>
          <w:rFonts w:ascii="Arial" w:hAnsi="Arial" w:cs="Arial"/>
          <w:color w:val="000000" w:themeColor="text1"/>
        </w:rPr>
      </w:pPr>
      <w:r w:rsidRPr="00A537D1">
        <w:rPr>
          <w:rFonts w:ascii="Arial" w:hAnsi="Arial" w:cs="Arial"/>
          <w:color w:val="000000" w:themeColor="text1"/>
        </w:rPr>
        <w:t>1. Summary of Predictive Insights</w:t>
      </w:r>
    </w:p>
    <w:p w14:paraId="40BE55F5" w14:textId="77777777" w:rsidR="007D72C2" w:rsidRPr="00A537D1" w:rsidRDefault="00A537D1">
      <w:pPr>
        <w:rPr>
          <w:rFonts w:ascii="Arial" w:hAnsi="Arial" w:cs="Arial"/>
          <w:color w:val="000000" w:themeColor="text1"/>
        </w:rPr>
      </w:pPr>
      <w:r w:rsidRPr="00A537D1">
        <w:rPr>
          <w:rFonts w:ascii="Arial" w:hAnsi="Arial" w:cs="Arial"/>
          <w:color w:val="000000" w:themeColor="text1"/>
        </w:rPr>
        <w:t>Briefly restate your model’s findings from Task 2. Focus on high-risk segments, key predictors of delinquency (e.g., missed payments, credit utilization), and any meaningful patterns the Collections team should be aware of.</w:t>
      </w:r>
      <w:r w:rsidRPr="00A537D1">
        <w:rPr>
          <w:rFonts w:ascii="Arial" w:hAnsi="Arial" w:cs="Arial"/>
          <w:color w:val="000000" w:themeColor="text1"/>
        </w:rPr>
        <w:br/>
      </w:r>
      <w:r w:rsidRPr="00A537D1">
        <w:rPr>
          <w:rFonts w:ascii="Arial" w:hAnsi="Arial" w:cs="Arial"/>
          <w:color w:val="000000" w:themeColor="text1"/>
        </w:rPr>
        <w:br/>
        <w:t>Tip: Use 2–3 bullet points or short paragraphs. Refer to the dataset and insights you uncovered.</w:t>
      </w:r>
    </w:p>
    <w:p w14:paraId="60F471FE" w14:textId="77777777" w:rsidR="007D72C2" w:rsidRDefault="00A537D1">
      <w:pPr>
        <w:rPr>
          <w:rFonts w:ascii="Arial" w:hAnsi="Arial" w:cs="Arial"/>
          <w:color w:val="000000" w:themeColor="text1"/>
        </w:rPr>
      </w:pPr>
      <w:r w:rsidRPr="00A537D1">
        <w:rPr>
          <w:rFonts w:ascii="Arial" w:hAnsi="Arial" w:cs="Arial"/>
          <w:color w:val="000000" w:themeColor="text1"/>
        </w:rPr>
        <w:t>Optional: Include a Key Insights Summary Table (you may create this in Excel or insert manually).</w:t>
      </w:r>
    </w:p>
    <w:tbl>
      <w:tblPr>
        <w:tblW w:w="6274" w:type="pct"/>
        <w:tblInd w:w="-963" w:type="dxa"/>
        <w:tblCellMar>
          <w:left w:w="30" w:type="dxa"/>
          <w:right w:w="30" w:type="dxa"/>
        </w:tblCellMar>
        <w:tblLook w:val="0000" w:firstRow="0" w:lastRow="0" w:firstColumn="0" w:lastColumn="0" w:noHBand="0" w:noVBand="0"/>
      </w:tblPr>
      <w:tblGrid>
        <w:gridCol w:w="1266"/>
        <w:gridCol w:w="1545"/>
        <w:gridCol w:w="3653"/>
        <w:gridCol w:w="4357"/>
      </w:tblGrid>
      <w:tr w:rsidR="00A537D1" w:rsidRPr="00A537D1" w14:paraId="36311A05" w14:textId="77777777" w:rsidTr="00AB0E95">
        <w:trPr>
          <w:trHeight w:val="314"/>
        </w:trPr>
        <w:tc>
          <w:tcPr>
            <w:tcW w:w="585" w:type="pct"/>
            <w:tcBorders>
              <w:top w:val="single" w:sz="6" w:space="0" w:color="auto"/>
              <w:left w:val="single" w:sz="6" w:space="0" w:color="auto"/>
              <w:bottom w:val="single" w:sz="6" w:space="0" w:color="auto"/>
              <w:right w:val="single" w:sz="6" w:space="0" w:color="auto"/>
            </w:tcBorders>
          </w:tcPr>
          <w:p w14:paraId="0CD6A7EA" w14:textId="77777777" w:rsidR="00A537D1" w:rsidRPr="00A537D1" w:rsidRDefault="00A537D1" w:rsidP="00A537D1">
            <w:pPr>
              <w:rPr>
                <w:rFonts w:ascii="Arial" w:hAnsi="Arial" w:cs="Arial"/>
                <w:color w:val="000000" w:themeColor="text1"/>
                <w:sz w:val="20"/>
                <w:szCs w:val="20"/>
                <w:lang w:val="en-GB"/>
              </w:rPr>
            </w:pPr>
            <w:r w:rsidRPr="00A537D1">
              <w:rPr>
                <w:rFonts w:ascii="Arial" w:hAnsi="Arial" w:cs="Arial"/>
                <w:color w:val="000000" w:themeColor="text1"/>
                <w:sz w:val="20"/>
                <w:szCs w:val="20"/>
                <w:lang w:val="en-GB"/>
              </w:rPr>
              <w:t>Key Insight</w:t>
            </w:r>
          </w:p>
        </w:tc>
        <w:tc>
          <w:tcPr>
            <w:tcW w:w="714" w:type="pct"/>
            <w:tcBorders>
              <w:top w:val="single" w:sz="6" w:space="0" w:color="auto"/>
              <w:left w:val="single" w:sz="6" w:space="0" w:color="auto"/>
              <w:bottom w:val="single" w:sz="6" w:space="0" w:color="auto"/>
              <w:right w:val="single" w:sz="6" w:space="0" w:color="auto"/>
            </w:tcBorders>
          </w:tcPr>
          <w:p w14:paraId="21F469F1" w14:textId="77777777" w:rsidR="00A537D1" w:rsidRPr="00A537D1" w:rsidRDefault="00A537D1" w:rsidP="00A537D1">
            <w:pPr>
              <w:rPr>
                <w:rFonts w:ascii="Arial" w:hAnsi="Arial" w:cs="Arial"/>
                <w:color w:val="000000" w:themeColor="text1"/>
                <w:sz w:val="20"/>
                <w:szCs w:val="20"/>
                <w:lang w:val="en-GB"/>
              </w:rPr>
            </w:pPr>
            <w:r w:rsidRPr="00A537D1">
              <w:rPr>
                <w:rFonts w:ascii="Arial" w:hAnsi="Arial" w:cs="Arial"/>
                <w:color w:val="000000" w:themeColor="text1"/>
                <w:sz w:val="20"/>
                <w:szCs w:val="20"/>
                <w:lang w:val="en-GB"/>
              </w:rPr>
              <w:t>Customer Segment</w:t>
            </w:r>
          </w:p>
        </w:tc>
        <w:tc>
          <w:tcPr>
            <w:tcW w:w="1688" w:type="pct"/>
            <w:tcBorders>
              <w:top w:val="single" w:sz="6" w:space="0" w:color="auto"/>
              <w:left w:val="single" w:sz="6" w:space="0" w:color="auto"/>
              <w:bottom w:val="single" w:sz="6" w:space="0" w:color="auto"/>
              <w:right w:val="single" w:sz="6" w:space="0" w:color="auto"/>
            </w:tcBorders>
          </w:tcPr>
          <w:p w14:paraId="3891034A" w14:textId="77777777" w:rsidR="00A537D1" w:rsidRPr="00A537D1" w:rsidRDefault="00A537D1" w:rsidP="00A537D1">
            <w:pPr>
              <w:rPr>
                <w:rFonts w:ascii="Arial" w:hAnsi="Arial" w:cs="Arial"/>
                <w:color w:val="000000" w:themeColor="text1"/>
                <w:sz w:val="20"/>
                <w:szCs w:val="20"/>
                <w:lang w:val="en-GB"/>
              </w:rPr>
            </w:pPr>
            <w:r w:rsidRPr="00A537D1">
              <w:rPr>
                <w:rFonts w:ascii="Arial" w:hAnsi="Arial" w:cs="Arial"/>
                <w:color w:val="000000" w:themeColor="text1"/>
                <w:sz w:val="20"/>
                <w:szCs w:val="20"/>
                <w:lang w:val="en-GB"/>
              </w:rPr>
              <w:t>Influencing Variables</w:t>
            </w:r>
          </w:p>
        </w:tc>
        <w:tc>
          <w:tcPr>
            <w:tcW w:w="2013" w:type="pct"/>
            <w:tcBorders>
              <w:top w:val="single" w:sz="6" w:space="0" w:color="auto"/>
              <w:left w:val="single" w:sz="6" w:space="0" w:color="auto"/>
              <w:bottom w:val="single" w:sz="6" w:space="0" w:color="auto"/>
              <w:right w:val="single" w:sz="6" w:space="0" w:color="auto"/>
            </w:tcBorders>
          </w:tcPr>
          <w:p w14:paraId="2E380553" w14:textId="77777777" w:rsidR="00A537D1" w:rsidRPr="00A537D1" w:rsidRDefault="00A537D1" w:rsidP="00A537D1">
            <w:pPr>
              <w:rPr>
                <w:rFonts w:ascii="Arial" w:hAnsi="Arial" w:cs="Arial"/>
                <w:color w:val="000000" w:themeColor="text1"/>
                <w:sz w:val="20"/>
                <w:szCs w:val="20"/>
                <w:lang w:val="en-GB"/>
              </w:rPr>
            </w:pPr>
            <w:r w:rsidRPr="00A537D1">
              <w:rPr>
                <w:rFonts w:ascii="Arial" w:hAnsi="Arial" w:cs="Arial"/>
                <w:color w:val="000000" w:themeColor="text1"/>
                <w:sz w:val="20"/>
                <w:szCs w:val="20"/>
                <w:lang w:val="en-GB"/>
              </w:rPr>
              <w:t>Potential Impact</w:t>
            </w:r>
          </w:p>
        </w:tc>
      </w:tr>
      <w:tr w:rsidR="00A537D1" w:rsidRPr="00A537D1" w14:paraId="4217145F" w14:textId="77777777" w:rsidTr="00AB0E95">
        <w:trPr>
          <w:trHeight w:val="741"/>
        </w:trPr>
        <w:tc>
          <w:tcPr>
            <w:tcW w:w="585" w:type="pct"/>
            <w:tcBorders>
              <w:top w:val="single" w:sz="6" w:space="0" w:color="auto"/>
              <w:left w:val="single" w:sz="6" w:space="0" w:color="auto"/>
              <w:bottom w:val="single" w:sz="6" w:space="0" w:color="auto"/>
              <w:right w:val="single" w:sz="6" w:space="0" w:color="auto"/>
            </w:tcBorders>
          </w:tcPr>
          <w:p w14:paraId="61F547B9" w14:textId="4CE280ED" w:rsidR="00B473E2" w:rsidRPr="00B473E2" w:rsidRDefault="00B473E2" w:rsidP="00B473E2">
            <w:pPr>
              <w:rPr>
                <w:rFonts w:ascii="Arial" w:hAnsi="Arial" w:cs="Arial"/>
                <w:color w:val="000000" w:themeColor="text1"/>
                <w:sz w:val="20"/>
                <w:szCs w:val="20"/>
                <w:lang w:val="en-IN"/>
              </w:rPr>
            </w:pPr>
            <w:r w:rsidRPr="00B473E2">
              <w:rPr>
                <w:rFonts w:ascii="Arial" w:hAnsi="Arial" w:cs="Arial"/>
                <w:color w:val="000000" w:themeColor="text1"/>
                <w:sz w:val="20"/>
                <w:szCs w:val="20"/>
                <w:lang w:val="en-IN"/>
              </w:rPr>
              <w:t xml:space="preserve">The primary driver of delinquency risk is not just the presence of missed payments, but the </w:t>
            </w:r>
            <w:r w:rsidRPr="00B473E2">
              <w:rPr>
                <w:rFonts w:ascii="Arial" w:hAnsi="Arial" w:cs="Arial"/>
                <w:b/>
                <w:bCs/>
                <w:color w:val="000000" w:themeColor="text1"/>
                <w:sz w:val="20"/>
                <w:szCs w:val="20"/>
                <w:lang w:val="en-IN"/>
              </w:rPr>
              <w:t>combination of high Credit Utilization and a high Debt-to-Income (DTI) ratio</w:t>
            </w:r>
            <w:r w:rsidRPr="00B473E2">
              <w:rPr>
                <w:rFonts w:ascii="Arial" w:hAnsi="Arial" w:cs="Arial"/>
                <w:color w:val="000000" w:themeColor="text1"/>
                <w:sz w:val="20"/>
                <w:szCs w:val="20"/>
                <w:lang w:val="en-IN"/>
              </w:rPr>
              <w:t>.</w:t>
            </w:r>
          </w:p>
          <w:p w14:paraId="14BFF5A1" w14:textId="105AC26B" w:rsidR="00A537D1" w:rsidRPr="00A537D1" w:rsidRDefault="00A537D1" w:rsidP="00A537D1">
            <w:pPr>
              <w:rPr>
                <w:rFonts w:ascii="Arial" w:hAnsi="Arial" w:cs="Arial"/>
                <w:color w:val="000000" w:themeColor="text1"/>
                <w:sz w:val="20"/>
                <w:szCs w:val="20"/>
                <w:lang w:val="en-GB"/>
              </w:rPr>
            </w:pPr>
          </w:p>
        </w:tc>
        <w:tc>
          <w:tcPr>
            <w:tcW w:w="714" w:type="pct"/>
            <w:tcBorders>
              <w:top w:val="single" w:sz="6" w:space="0" w:color="auto"/>
              <w:left w:val="single" w:sz="6" w:space="0" w:color="auto"/>
              <w:bottom w:val="single" w:sz="6" w:space="0" w:color="auto"/>
              <w:right w:val="single" w:sz="6" w:space="0" w:color="auto"/>
            </w:tcBorders>
          </w:tcPr>
          <w:p w14:paraId="233EE3BA" w14:textId="411AFFAB" w:rsidR="00A537D1" w:rsidRPr="00B473E2" w:rsidRDefault="00B473E2" w:rsidP="00B473E2">
            <w:pPr>
              <w:rPr>
                <w:rFonts w:ascii="Arial" w:hAnsi="Arial" w:cs="Arial"/>
                <w:color w:val="000000" w:themeColor="text1"/>
                <w:sz w:val="20"/>
                <w:szCs w:val="20"/>
                <w:lang w:val="en-IN"/>
              </w:rPr>
            </w:pPr>
            <w:r w:rsidRPr="00B473E2">
              <w:rPr>
                <w:rFonts w:ascii="Arial" w:hAnsi="Arial" w:cs="Arial"/>
                <w:b/>
                <w:bCs/>
                <w:color w:val="000000" w:themeColor="text1"/>
                <w:sz w:val="20"/>
                <w:szCs w:val="20"/>
                <w:lang w:val="en-IN"/>
              </w:rPr>
              <w:t xml:space="preserve">Stable </w:t>
            </w:r>
            <w:proofErr w:type="gramStart"/>
            <w:r w:rsidRPr="00B473E2">
              <w:rPr>
                <w:rFonts w:ascii="Arial" w:hAnsi="Arial" w:cs="Arial"/>
                <w:b/>
                <w:bCs/>
                <w:color w:val="000000" w:themeColor="text1"/>
                <w:sz w:val="20"/>
                <w:szCs w:val="20"/>
                <w:lang w:val="en-IN"/>
              </w:rPr>
              <w:t>Customers</w:t>
            </w:r>
            <w:r>
              <w:rPr>
                <w:rFonts w:ascii="Arial" w:hAnsi="Arial" w:cs="Arial"/>
                <w:b/>
                <w:bCs/>
                <w:color w:val="000000" w:themeColor="text1"/>
                <w:sz w:val="20"/>
                <w:szCs w:val="20"/>
                <w:lang w:val="en-IN"/>
              </w:rPr>
              <w:t xml:space="preserve"> :</w:t>
            </w:r>
            <w:proofErr w:type="gramEnd"/>
            <w:r>
              <w:rPr>
                <w:rFonts w:ascii="Arial" w:hAnsi="Arial" w:cs="Arial"/>
                <w:b/>
                <w:bCs/>
                <w:color w:val="000000" w:themeColor="text1"/>
                <w:sz w:val="20"/>
                <w:szCs w:val="20"/>
                <w:lang w:val="en-IN"/>
              </w:rPr>
              <w:t xml:space="preserve"> </w:t>
            </w:r>
            <w:r w:rsidRPr="00B473E2">
              <w:rPr>
                <w:rFonts w:ascii="Arial" w:hAnsi="Arial" w:cs="Arial"/>
                <w:color w:val="000000" w:themeColor="text1"/>
                <w:sz w:val="20"/>
                <w:szCs w:val="20"/>
                <w:lang w:val="en-IN"/>
              </w:rPr>
              <w:t>Lower credit utilization ($\approx$48%), lower DTI, and longer account tenure.</w:t>
            </w:r>
          </w:p>
        </w:tc>
        <w:tc>
          <w:tcPr>
            <w:tcW w:w="1688" w:type="pct"/>
            <w:tcBorders>
              <w:top w:val="single" w:sz="6" w:space="0" w:color="auto"/>
              <w:left w:val="single" w:sz="6" w:space="0" w:color="auto"/>
              <w:bottom w:val="single" w:sz="6" w:space="0" w:color="auto"/>
              <w:right w:val="single" w:sz="6" w:space="0" w:color="auto"/>
            </w:tcBorders>
          </w:tcPr>
          <w:p w14:paraId="50FA05CD" w14:textId="77777777" w:rsidR="00B473E2" w:rsidRDefault="00B473E2" w:rsidP="00B473E2">
            <w:pPr>
              <w:rPr>
                <w:rFonts w:ascii="Arial" w:hAnsi="Arial" w:cs="Arial"/>
                <w:b/>
                <w:bCs/>
                <w:color w:val="000000" w:themeColor="text1"/>
                <w:sz w:val="20"/>
                <w:szCs w:val="20"/>
                <w:lang w:val="en-IN"/>
              </w:rPr>
            </w:pPr>
            <w:r w:rsidRPr="00B473E2">
              <w:rPr>
                <w:rFonts w:ascii="Arial" w:hAnsi="Arial" w:cs="Arial"/>
                <w:b/>
                <w:bCs/>
                <w:color w:val="000000" w:themeColor="text1"/>
                <w:sz w:val="20"/>
                <w:szCs w:val="20"/>
                <w:lang w:val="en-IN"/>
              </w:rPr>
              <w:t>Positive Impact):</w:t>
            </w:r>
          </w:p>
          <w:p w14:paraId="28C9DA39" w14:textId="03AAF808" w:rsidR="00B473E2" w:rsidRPr="00B473E2" w:rsidRDefault="00B473E2" w:rsidP="00B473E2">
            <w:pPr>
              <w:rPr>
                <w:rFonts w:ascii="Arial" w:hAnsi="Arial" w:cs="Arial"/>
                <w:color w:val="000000" w:themeColor="text1"/>
                <w:sz w:val="20"/>
                <w:szCs w:val="20"/>
                <w:lang w:val="en-IN"/>
              </w:rPr>
            </w:pPr>
            <w:r w:rsidRPr="00B473E2">
              <w:rPr>
                <w:rFonts w:ascii="Arial" w:hAnsi="Arial" w:cs="Arial"/>
                <w:b/>
                <w:bCs/>
                <w:color w:val="000000" w:themeColor="text1"/>
                <w:sz w:val="20"/>
                <w:szCs w:val="20"/>
                <w:lang w:val="en-IN"/>
              </w:rPr>
              <w:t>Credit Utilization (0.122):</w:t>
            </w:r>
            <w:r w:rsidRPr="00B473E2">
              <w:rPr>
                <w:rFonts w:ascii="Arial" w:hAnsi="Arial" w:cs="Arial"/>
                <w:color w:val="000000" w:themeColor="text1"/>
                <w:sz w:val="20"/>
                <w:szCs w:val="20"/>
                <w:lang w:val="en-IN"/>
              </w:rPr>
              <w:t xml:space="preserve"> The strongest predictor; as balance-to-limit ratios rise, risk increases sharply.</w:t>
            </w:r>
          </w:p>
          <w:p w14:paraId="62C590A0" w14:textId="77777777" w:rsidR="00B473E2" w:rsidRPr="00B473E2" w:rsidRDefault="00B473E2" w:rsidP="00AB0E95">
            <w:pPr>
              <w:rPr>
                <w:rFonts w:ascii="Arial" w:hAnsi="Arial" w:cs="Arial"/>
                <w:color w:val="000000" w:themeColor="text1"/>
                <w:sz w:val="20"/>
                <w:szCs w:val="20"/>
                <w:lang w:val="en-IN"/>
              </w:rPr>
            </w:pPr>
            <w:r w:rsidRPr="00B473E2">
              <w:rPr>
                <w:rFonts w:ascii="Arial" w:hAnsi="Arial" w:cs="Arial"/>
                <w:b/>
                <w:bCs/>
                <w:color w:val="000000" w:themeColor="text1"/>
                <w:sz w:val="20"/>
                <w:szCs w:val="20"/>
                <w:lang w:val="en-IN"/>
              </w:rPr>
              <w:t>Debt-to-Income Ratio (0.109):</w:t>
            </w:r>
            <w:r w:rsidRPr="00B473E2">
              <w:rPr>
                <w:rFonts w:ascii="Arial" w:hAnsi="Arial" w:cs="Arial"/>
                <w:color w:val="000000" w:themeColor="text1"/>
                <w:sz w:val="20"/>
                <w:szCs w:val="20"/>
                <w:lang w:val="en-IN"/>
              </w:rPr>
              <w:t xml:space="preserve"> Indicates customers living at the edge of their monthly capacity.</w:t>
            </w:r>
          </w:p>
          <w:p w14:paraId="3EB31FED" w14:textId="0EAF1ED5" w:rsidR="00A537D1" w:rsidRPr="00A537D1" w:rsidRDefault="00B473E2" w:rsidP="00AB0E95">
            <w:pPr>
              <w:rPr>
                <w:rFonts w:ascii="Arial" w:hAnsi="Arial" w:cs="Arial"/>
                <w:color w:val="000000" w:themeColor="text1"/>
                <w:sz w:val="20"/>
                <w:szCs w:val="20"/>
                <w:lang w:val="en-GB"/>
              </w:rPr>
            </w:pPr>
            <w:r w:rsidRPr="00B473E2">
              <w:rPr>
                <w:rFonts w:ascii="Arial" w:hAnsi="Arial" w:cs="Arial"/>
                <w:b/>
                <w:bCs/>
                <w:color w:val="000000" w:themeColor="text1"/>
                <w:sz w:val="20"/>
                <w:szCs w:val="20"/>
                <w:lang w:val="en-IN"/>
              </w:rPr>
              <w:t>Income (0.101):</w:t>
            </w:r>
            <w:r w:rsidRPr="00B473E2">
              <w:rPr>
                <w:rFonts w:ascii="Arial" w:hAnsi="Arial" w:cs="Arial"/>
                <w:color w:val="000000" w:themeColor="text1"/>
                <w:sz w:val="20"/>
                <w:szCs w:val="20"/>
                <w:lang w:val="en-IN"/>
              </w:rPr>
              <w:t xml:space="preserve"> High income in this specific dataset paradoxically correlates with delinquency</w:t>
            </w:r>
            <w:r w:rsidR="00AB0E95">
              <w:rPr>
                <w:rFonts w:ascii="Arial" w:hAnsi="Arial" w:cs="Arial"/>
                <w:color w:val="000000" w:themeColor="text1"/>
                <w:sz w:val="20"/>
                <w:szCs w:val="20"/>
                <w:lang w:val="en-IN"/>
              </w:rPr>
              <w:t>.</w:t>
            </w:r>
          </w:p>
        </w:tc>
        <w:tc>
          <w:tcPr>
            <w:tcW w:w="2013" w:type="pct"/>
            <w:tcBorders>
              <w:top w:val="single" w:sz="6" w:space="0" w:color="auto"/>
              <w:left w:val="single" w:sz="6" w:space="0" w:color="auto"/>
              <w:bottom w:val="single" w:sz="6" w:space="0" w:color="auto"/>
              <w:right w:val="single" w:sz="6" w:space="0" w:color="auto"/>
            </w:tcBorders>
          </w:tcPr>
          <w:p w14:paraId="06472A3A" w14:textId="77777777" w:rsidR="00AB0E95" w:rsidRPr="00AB0E95" w:rsidRDefault="00AB0E95" w:rsidP="00AB0E95">
            <w:pPr>
              <w:rPr>
                <w:rFonts w:ascii="Arial" w:hAnsi="Arial" w:cs="Arial"/>
                <w:color w:val="000000" w:themeColor="text1"/>
                <w:sz w:val="20"/>
                <w:szCs w:val="20"/>
                <w:lang w:val="en-IN"/>
              </w:rPr>
            </w:pPr>
            <w:r w:rsidRPr="00AB0E95">
              <w:rPr>
                <w:rFonts w:ascii="Arial" w:hAnsi="Arial" w:cs="Arial"/>
                <w:color w:val="000000" w:themeColor="text1"/>
                <w:sz w:val="20"/>
                <w:szCs w:val="20"/>
                <w:lang w:val="en-IN"/>
              </w:rPr>
              <w:t>By integrating these insights into your business strategy, you can realize the following impacts:</w:t>
            </w:r>
          </w:p>
          <w:p w14:paraId="732BB77A" w14:textId="77777777" w:rsidR="00AB0E95" w:rsidRPr="00AB0E95" w:rsidRDefault="00AB0E95" w:rsidP="00AB0E95">
            <w:pPr>
              <w:rPr>
                <w:rFonts w:ascii="Arial" w:hAnsi="Arial" w:cs="Arial"/>
                <w:color w:val="000000" w:themeColor="text1"/>
                <w:sz w:val="20"/>
                <w:szCs w:val="20"/>
                <w:lang w:val="en-IN"/>
              </w:rPr>
            </w:pPr>
            <w:r w:rsidRPr="00AB0E95">
              <w:rPr>
                <w:rFonts w:ascii="Arial" w:hAnsi="Arial" w:cs="Arial"/>
                <w:b/>
                <w:bCs/>
                <w:color w:val="000000" w:themeColor="text1"/>
                <w:sz w:val="20"/>
                <w:szCs w:val="20"/>
                <w:lang w:val="en-IN"/>
              </w:rPr>
              <w:t>Reduced Default Rates:</w:t>
            </w:r>
            <w:r w:rsidRPr="00AB0E95">
              <w:rPr>
                <w:rFonts w:ascii="Arial" w:hAnsi="Arial" w:cs="Arial"/>
                <w:color w:val="000000" w:themeColor="text1"/>
                <w:sz w:val="20"/>
                <w:szCs w:val="20"/>
                <w:lang w:val="en-IN"/>
              </w:rPr>
              <w:t xml:space="preserve"> Implementing a "Pre-delinquency Alert" for customers whose Credit Utilization exceeds 50% could allow for proactive intervention before a missed payment occurs.</w:t>
            </w:r>
          </w:p>
          <w:p w14:paraId="6F2ABD4D" w14:textId="77777777" w:rsidR="00AB0E95" w:rsidRPr="00AB0E95" w:rsidRDefault="00AB0E95" w:rsidP="00AB0E95">
            <w:pPr>
              <w:rPr>
                <w:rFonts w:ascii="Arial" w:hAnsi="Arial" w:cs="Arial"/>
                <w:color w:val="000000" w:themeColor="text1"/>
                <w:sz w:val="20"/>
                <w:szCs w:val="20"/>
                <w:lang w:val="en-IN"/>
              </w:rPr>
            </w:pPr>
            <w:r w:rsidRPr="00AB0E95">
              <w:rPr>
                <w:rFonts w:ascii="Arial" w:hAnsi="Arial" w:cs="Arial"/>
                <w:b/>
                <w:bCs/>
                <w:color w:val="000000" w:themeColor="text1"/>
                <w:sz w:val="20"/>
                <w:szCs w:val="20"/>
                <w:lang w:val="en-IN"/>
              </w:rPr>
              <w:t>Targeted Product Offers:</w:t>
            </w:r>
            <w:r w:rsidRPr="00AB0E95">
              <w:rPr>
                <w:rFonts w:ascii="Arial" w:hAnsi="Arial" w:cs="Arial"/>
                <w:color w:val="000000" w:themeColor="text1"/>
                <w:sz w:val="20"/>
                <w:szCs w:val="20"/>
                <w:lang w:val="en-IN"/>
              </w:rPr>
              <w:t xml:space="preserve"> Shift marketing efforts for premium products toward the "Stable" segment (long tenure, low utilization) rather than just high-income earners.</w:t>
            </w:r>
          </w:p>
          <w:p w14:paraId="55AD2816" w14:textId="77777777" w:rsidR="00AB0E95" w:rsidRPr="00AB0E95" w:rsidRDefault="00AB0E95" w:rsidP="00AB0E95">
            <w:pPr>
              <w:rPr>
                <w:rFonts w:ascii="Arial" w:hAnsi="Arial" w:cs="Arial"/>
                <w:color w:val="000000" w:themeColor="text1"/>
                <w:sz w:val="20"/>
                <w:szCs w:val="20"/>
                <w:lang w:val="en-IN"/>
              </w:rPr>
            </w:pPr>
            <w:r w:rsidRPr="00AB0E95">
              <w:rPr>
                <w:rFonts w:ascii="Arial" w:hAnsi="Arial" w:cs="Arial"/>
                <w:b/>
                <w:bCs/>
                <w:color w:val="000000" w:themeColor="text1"/>
                <w:sz w:val="20"/>
                <w:szCs w:val="20"/>
                <w:lang w:val="en-IN"/>
              </w:rPr>
              <w:t>Operational Efficiency:</w:t>
            </w:r>
            <w:r w:rsidRPr="00AB0E95">
              <w:rPr>
                <w:rFonts w:ascii="Arial" w:hAnsi="Arial" w:cs="Arial"/>
                <w:color w:val="000000" w:themeColor="text1"/>
                <w:sz w:val="20"/>
                <w:szCs w:val="20"/>
                <w:lang w:val="en-IN"/>
              </w:rPr>
              <w:t xml:space="preserve"> Automate risk-based limit adjustments for the "At-Risk" segment to limit exposure during economic downturns.</w:t>
            </w:r>
          </w:p>
          <w:p w14:paraId="78DC9A44" w14:textId="39103FC4" w:rsidR="00A537D1" w:rsidRPr="00A537D1" w:rsidRDefault="00A537D1" w:rsidP="00A537D1">
            <w:pPr>
              <w:rPr>
                <w:rFonts w:ascii="Arial" w:hAnsi="Arial" w:cs="Arial"/>
                <w:color w:val="000000" w:themeColor="text1"/>
                <w:sz w:val="20"/>
                <w:szCs w:val="20"/>
                <w:lang w:val="en-GB"/>
              </w:rPr>
            </w:pPr>
          </w:p>
        </w:tc>
      </w:tr>
      <w:tr w:rsidR="00B473E2" w:rsidRPr="00A537D1" w14:paraId="6054EB08" w14:textId="77777777" w:rsidTr="00AB0E95">
        <w:trPr>
          <w:trHeight w:val="45"/>
        </w:trPr>
        <w:tc>
          <w:tcPr>
            <w:tcW w:w="585" w:type="pct"/>
            <w:tcBorders>
              <w:top w:val="single" w:sz="6" w:space="0" w:color="auto"/>
              <w:left w:val="single" w:sz="6" w:space="0" w:color="auto"/>
              <w:bottom w:val="single" w:sz="6" w:space="0" w:color="auto"/>
              <w:right w:val="single" w:sz="6" w:space="0" w:color="auto"/>
            </w:tcBorders>
          </w:tcPr>
          <w:p w14:paraId="0F0D82F3" w14:textId="77777777" w:rsidR="00B473E2" w:rsidRPr="00B473E2" w:rsidRDefault="00B473E2" w:rsidP="00B473E2">
            <w:pPr>
              <w:rPr>
                <w:rFonts w:ascii="Arial" w:hAnsi="Arial" w:cs="Arial"/>
                <w:color w:val="000000" w:themeColor="text1"/>
                <w:sz w:val="20"/>
                <w:szCs w:val="20"/>
                <w:lang w:val="en-IN"/>
              </w:rPr>
            </w:pPr>
          </w:p>
        </w:tc>
        <w:tc>
          <w:tcPr>
            <w:tcW w:w="714" w:type="pct"/>
            <w:tcBorders>
              <w:top w:val="single" w:sz="6" w:space="0" w:color="auto"/>
              <w:left w:val="single" w:sz="6" w:space="0" w:color="auto"/>
              <w:bottom w:val="single" w:sz="6" w:space="0" w:color="auto"/>
              <w:right w:val="single" w:sz="6" w:space="0" w:color="auto"/>
            </w:tcBorders>
          </w:tcPr>
          <w:p w14:paraId="7C5F0583" w14:textId="64C472A0" w:rsidR="00B473E2" w:rsidRPr="00B473E2" w:rsidRDefault="00B473E2" w:rsidP="00B473E2">
            <w:pPr>
              <w:rPr>
                <w:rFonts w:ascii="Arial" w:hAnsi="Arial" w:cs="Arial"/>
                <w:color w:val="000000" w:themeColor="text1"/>
                <w:sz w:val="20"/>
                <w:szCs w:val="20"/>
                <w:lang w:val="en-IN"/>
              </w:rPr>
            </w:pPr>
            <w:r w:rsidRPr="00B473E2">
              <w:rPr>
                <w:rFonts w:ascii="Arial" w:hAnsi="Arial" w:cs="Arial"/>
                <w:b/>
                <w:bCs/>
                <w:color w:val="000000" w:themeColor="text1"/>
                <w:sz w:val="20"/>
                <w:szCs w:val="20"/>
                <w:lang w:val="en-IN"/>
              </w:rPr>
              <w:t xml:space="preserve">At-Risk </w:t>
            </w:r>
            <w:proofErr w:type="gramStart"/>
            <w:r w:rsidRPr="00B473E2">
              <w:rPr>
                <w:rFonts w:ascii="Arial" w:hAnsi="Arial" w:cs="Arial"/>
                <w:b/>
                <w:bCs/>
                <w:color w:val="000000" w:themeColor="text1"/>
                <w:sz w:val="20"/>
                <w:szCs w:val="20"/>
                <w:lang w:val="en-IN"/>
              </w:rPr>
              <w:t>Customers</w:t>
            </w:r>
            <w:r>
              <w:rPr>
                <w:rFonts w:ascii="Arial" w:hAnsi="Arial" w:cs="Arial"/>
                <w:b/>
                <w:bCs/>
                <w:color w:val="000000" w:themeColor="text1"/>
                <w:sz w:val="20"/>
                <w:szCs w:val="20"/>
                <w:lang w:val="en-IN"/>
              </w:rPr>
              <w:t xml:space="preserve"> :</w:t>
            </w:r>
            <w:proofErr w:type="gramEnd"/>
            <w:r>
              <w:rPr>
                <w:rFonts w:ascii="Arial" w:hAnsi="Arial" w:cs="Arial"/>
                <w:b/>
                <w:bCs/>
                <w:color w:val="000000" w:themeColor="text1"/>
                <w:sz w:val="20"/>
                <w:szCs w:val="20"/>
                <w:lang w:val="en-IN"/>
              </w:rPr>
              <w:t xml:space="preserve"> </w:t>
            </w:r>
            <w:r w:rsidRPr="00B473E2">
              <w:rPr>
                <w:rFonts w:ascii="Arial" w:hAnsi="Arial" w:cs="Arial"/>
                <w:color w:val="000000" w:themeColor="text1"/>
                <w:sz w:val="20"/>
                <w:szCs w:val="20"/>
                <w:lang w:val="en-IN"/>
              </w:rPr>
              <w:t xml:space="preserve">Higher credit utilization ($\approx$51%), higher income </w:t>
            </w:r>
            <w:r w:rsidRPr="00B473E2">
              <w:rPr>
                <w:rFonts w:ascii="Arial" w:hAnsi="Arial" w:cs="Arial"/>
                <w:color w:val="000000" w:themeColor="text1"/>
                <w:sz w:val="20"/>
                <w:szCs w:val="20"/>
                <w:lang w:val="en-IN"/>
              </w:rPr>
              <w:lastRenderedPageBreak/>
              <w:t>but higher DTI, and shorter account tenure.</w:t>
            </w:r>
          </w:p>
          <w:p w14:paraId="146569BD" w14:textId="64635FC2" w:rsidR="00B473E2" w:rsidRPr="00A537D1" w:rsidRDefault="00B473E2" w:rsidP="00A537D1">
            <w:pPr>
              <w:rPr>
                <w:rFonts w:ascii="Arial" w:hAnsi="Arial" w:cs="Arial"/>
                <w:color w:val="000000" w:themeColor="text1"/>
                <w:sz w:val="20"/>
                <w:szCs w:val="20"/>
                <w:lang w:val="en-GB"/>
              </w:rPr>
            </w:pPr>
          </w:p>
        </w:tc>
        <w:tc>
          <w:tcPr>
            <w:tcW w:w="1688" w:type="pct"/>
            <w:tcBorders>
              <w:top w:val="single" w:sz="6" w:space="0" w:color="auto"/>
              <w:left w:val="single" w:sz="6" w:space="0" w:color="auto"/>
              <w:bottom w:val="single" w:sz="6" w:space="0" w:color="auto"/>
              <w:right w:val="single" w:sz="6" w:space="0" w:color="auto"/>
            </w:tcBorders>
          </w:tcPr>
          <w:p w14:paraId="0AE4EF14" w14:textId="2AAD93DE" w:rsidR="00AB0E95" w:rsidRPr="00AB0E95" w:rsidRDefault="00AB0E95" w:rsidP="00AB0E95">
            <w:pPr>
              <w:rPr>
                <w:rFonts w:ascii="Arial" w:hAnsi="Arial" w:cs="Arial"/>
                <w:color w:val="000000" w:themeColor="text1"/>
                <w:sz w:val="20"/>
                <w:szCs w:val="20"/>
                <w:lang w:val="en-IN"/>
              </w:rPr>
            </w:pPr>
            <w:r w:rsidRPr="00AB0E95">
              <w:rPr>
                <w:rFonts w:ascii="Arial" w:hAnsi="Arial" w:cs="Arial"/>
                <w:b/>
                <w:bCs/>
                <w:color w:val="000000" w:themeColor="text1"/>
                <w:sz w:val="20"/>
                <w:szCs w:val="20"/>
                <w:lang w:val="en-IN"/>
              </w:rPr>
              <w:lastRenderedPageBreak/>
              <w:t>Negative Impact:</w:t>
            </w:r>
          </w:p>
          <w:p w14:paraId="0BB491F5" w14:textId="77777777" w:rsidR="00AB0E95" w:rsidRPr="00AB0E95" w:rsidRDefault="00AB0E95" w:rsidP="00AB0E95">
            <w:pPr>
              <w:rPr>
                <w:rFonts w:ascii="Arial" w:hAnsi="Arial" w:cs="Arial"/>
                <w:color w:val="000000" w:themeColor="text1"/>
                <w:sz w:val="20"/>
                <w:szCs w:val="20"/>
                <w:lang w:val="en-IN"/>
              </w:rPr>
            </w:pPr>
            <w:r w:rsidRPr="00AB0E95">
              <w:rPr>
                <w:rFonts w:ascii="Arial" w:hAnsi="Arial" w:cs="Arial"/>
                <w:b/>
                <w:bCs/>
                <w:color w:val="000000" w:themeColor="text1"/>
                <w:sz w:val="20"/>
                <w:szCs w:val="20"/>
                <w:lang w:val="en-IN"/>
              </w:rPr>
              <w:t>Account Tenure (-0.119):</w:t>
            </w:r>
            <w:r w:rsidRPr="00AB0E95">
              <w:rPr>
                <w:rFonts w:ascii="Arial" w:hAnsi="Arial" w:cs="Arial"/>
                <w:color w:val="000000" w:themeColor="text1"/>
                <w:sz w:val="20"/>
                <w:szCs w:val="20"/>
                <w:lang w:val="en-IN"/>
              </w:rPr>
              <w:t xml:space="preserve"> Older accounts are significantly more stable and less likely to default.</w:t>
            </w:r>
          </w:p>
          <w:p w14:paraId="2950269E" w14:textId="64A1D375" w:rsidR="00AB0E95" w:rsidRPr="00AB0E95" w:rsidRDefault="00AB0E95" w:rsidP="00AB0E95">
            <w:pPr>
              <w:rPr>
                <w:rFonts w:ascii="Arial" w:hAnsi="Arial" w:cs="Arial"/>
                <w:color w:val="000000" w:themeColor="text1"/>
                <w:sz w:val="20"/>
                <w:szCs w:val="20"/>
                <w:lang w:val="en-IN"/>
              </w:rPr>
            </w:pPr>
            <w:r w:rsidRPr="00AB0E95">
              <w:rPr>
                <w:rFonts w:ascii="Arial" w:hAnsi="Arial" w:cs="Arial"/>
                <w:b/>
                <w:bCs/>
                <w:color w:val="000000" w:themeColor="text1"/>
                <w:sz w:val="20"/>
                <w:szCs w:val="20"/>
                <w:lang w:val="en-IN"/>
              </w:rPr>
              <w:t>Employment Status (-0.087):</w:t>
            </w:r>
            <w:r w:rsidRPr="00AB0E95">
              <w:rPr>
                <w:rFonts w:ascii="Arial" w:hAnsi="Arial" w:cs="Arial"/>
                <w:color w:val="000000" w:themeColor="text1"/>
                <w:sz w:val="20"/>
                <w:szCs w:val="20"/>
                <w:lang w:val="en-IN"/>
              </w:rPr>
              <w:t xml:space="preserve"> Steady </w:t>
            </w:r>
            <w:r w:rsidRPr="00AB0E95">
              <w:rPr>
                <w:rFonts w:ascii="Arial" w:hAnsi="Arial" w:cs="Arial"/>
                <w:color w:val="000000" w:themeColor="text1"/>
                <w:sz w:val="20"/>
                <w:szCs w:val="20"/>
                <w:lang w:val="en-IN"/>
              </w:rPr>
              <w:lastRenderedPageBreak/>
              <w:t>employment acts as a strong protective barrier</w:t>
            </w:r>
            <w:r>
              <w:rPr>
                <w:rFonts w:ascii="Arial" w:hAnsi="Arial" w:cs="Arial"/>
                <w:color w:val="000000" w:themeColor="text1"/>
                <w:sz w:val="20"/>
                <w:szCs w:val="20"/>
                <w:lang w:val="en-IN"/>
              </w:rPr>
              <w:t>.</w:t>
            </w:r>
          </w:p>
          <w:p w14:paraId="119639C0" w14:textId="77777777" w:rsidR="00B473E2" w:rsidRPr="00A537D1" w:rsidRDefault="00B473E2" w:rsidP="00A537D1">
            <w:pPr>
              <w:rPr>
                <w:rFonts w:ascii="Arial" w:hAnsi="Arial" w:cs="Arial"/>
                <w:color w:val="000000" w:themeColor="text1"/>
                <w:sz w:val="20"/>
                <w:szCs w:val="20"/>
                <w:lang w:val="en-GB"/>
              </w:rPr>
            </w:pPr>
          </w:p>
        </w:tc>
        <w:tc>
          <w:tcPr>
            <w:tcW w:w="2013" w:type="pct"/>
            <w:tcBorders>
              <w:top w:val="single" w:sz="6" w:space="0" w:color="auto"/>
              <w:left w:val="single" w:sz="6" w:space="0" w:color="auto"/>
              <w:bottom w:val="single" w:sz="6" w:space="0" w:color="auto"/>
              <w:right w:val="single" w:sz="6" w:space="0" w:color="auto"/>
            </w:tcBorders>
          </w:tcPr>
          <w:p w14:paraId="4B32362B" w14:textId="77777777" w:rsidR="00B473E2" w:rsidRPr="00A537D1" w:rsidRDefault="00B473E2" w:rsidP="00A537D1">
            <w:pPr>
              <w:rPr>
                <w:rFonts w:ascii="Arial" w:hAnsi="Arial" w:cs="Arial"/>
                <w:color w:val="000000" w:themeColor="text1"/>
                <w:sz w:val="20"/>
                <w:szCs w:val="20"/>
                <w:lang w:val="en-GB"/>
              </w:rPr>
            </w:pPr>
          </w:p>
        </w:tc>
      </w:tr>
    </w:tbl>
    <w:p w14:paraId="50978634" w14:textId="77777777" w:rsidR="00A537D1" w:rsidRPr="00A537D1" w:rsidRDefault="00A537D1">
      <w:pPr>
        <w:rPr>
          <w:rFonts w:ascii="Arial" w:hAnsi="Arial" w:cs="Arial"/>
          <w:color w:val="000000" w:themeColor="text1"/>
        </w:rPr>
      </w:pPr>
    </w:p>
    <w:p w14:paraId="72833B3F" w14:textId="77777777" w:rsidR="007D72C2" w:rsidRPr="00A537D1" w:rsidRDefault="00A537D1">
      <w:pPr>
        <w:pStyle w:val="Heading1"/>
        <w:rPr>
          <w:rFonts w:ascii="Arial" w:hAnsi="Arial" w:cs="Arial"/>
          <w:color w:val="000000" w:themeColor="text1"/>
        </w:rPr>
      </w:pPr>
      <w:r w:rsidRPr="00A537D1">
        <w:rPr>
          <w:rFonts w:ascii="Arial" w:hAnsi="Arial" w:cs="Arial"/>
          <w:color w:val="000000" w:themeColor="text1"/>
        </w:rPr>
        <w:t>2. Recommendation Framework</w:t>
      </w:r>
    </w:p>
    <w:p w14:paraId="2F84D53A" w14:textId="77777777" w:rsidR="007D72C2" w:rsidRPr="00A537D1" w:rsidRDefault="00A537D1">
      <w:pPr>
        <w:rPr>
          <w:rFonts w:ascii="Arial" w:hAnsi="Arial" w:cs="Arial"/>
          <w:color w:val="000000" w:themeColor="text1"/>
        </w:rPr>
      </w:pPr>
      <w:r w:rsidRPr="00A537D1">
        <w:rPr>
          <w:rFonts w:ascii="Arial" w:hAnsi="Arial" w:cs="Arial"/>
          <w:color w:val="000000" w:themeColor="text1"/>
        </w:rPr>
        <w:t>Based on one of your model’s insights, outline your recommended intervention. Your recommendation should follow a SMART approach (Specific, Measurable, Actionable, Relevant, Time-bound).</w:t>
      </w:r>
    </w:p>
    <w:p w14:paraId="15F4D6C8" w14:textId="77777777" w:rsidR="007D72C2" w:rsidRPr="00A537D1" w:rsidRDefault="00A537D1">
      <w:pPr>
        <w:rPr>
          <w:rFonts w:ascii="Arial" w:hAnsi="Arial" w:cs="Arial"/>
          <w:color w:val="000000" w:themeColor="text1"/>
        </w:rPr>
      </w:pPr>
      <w:r w:rsidRPr="00A537D1">
        <w:rPr>
          <w:rFonts w:ascii="Arial" w:hAnsi="Arial" w:cs="Arial"/>
          <w:color w:val="000000" w:themeColor="text1"/>
        </w:rPr>
        <w:t>Use the following subheadings to guide your structure:</w:t>
      </w:r>
    </w:p>
    <w:p w14:paraId="6CE07FC9" w14:textId="6DE0B369" w:rsidR="007D72C2" w:rsidRPr="00A537D1" w:rsidRDefault="00A537D1">
      <w:pPr>
        <w:pStyle w:val="ListBullet"/>
        <w:rPr>
          <w:rFonts w:ascii="Arial" w:hAnsi="Arial" w:cs="Arial"/>
          <w:color w:val="000000" w:themeColor="text1"/>
        </w:rPr>
      </w:pPr>
      <w:r w:rsidRPr="00A537D1">
        <w:rPr>
          <w:rFonts w:ascii="Arial" w:hAnsi="Arial" w:cs="Arial"/>
          <w:color w:val="000000" w:themeColor="text1"/>
        </w:rPr>
        <w:t>Restated Insight:</w:t>
      </w:r>
      <w:r w:rsidR="00AB0E95" w:rsidRPr="00AB0E95">
        <w:t xml:space="preserve"> </w:t>
      </w:r>
      <w:r w:rsidR="00AB0E95" w:rsidRPr="00AB0E95">
        <w:rPr>
          <w:rFonts w:ascii="Arial" w:hAnsi="Arial" w:cs="Arial"/>
          <w:color w:val="000000" w:themeColor="text1"/>
        </w:rPr>
        <w:t>Delinquency is primarily driven by high credit utilization and debt-to-income ratios among high-income earners rather than a lack of financial resources.</w:t>
      </w:r>
    </w:p>
    <w:p w14:paraId="7B9326A5" w14:textId="3624943A" w:rsidR="007D72C2" w:rsidRPr="00A537D1" w:rsidRDefault="00A537D1">
      <w:pPr>
        <w:pStyle w:val="ListBullet"/>
        <w:rPr>
          <w:rFonts w:ascii="Arial" w:hAnsi="Arial" w:cs="Arial"/>
          <w:color w:val="000000" w:themeColor="text1"/>
        </w:rPr>
      </w:pPr>
      <w:r w:rsidRPr="00A537D1">
        <w:rPr>
          <w:rFonts w:ascii="Arial" w:hAnsi="Arial" w:cs="Arial"/>
          <w:color w:val="000000" w:themeColor="text1"/>
        </w:rPr>
        <w:t>Proposed Recommendation:</w:t>
      </w:r>
      <w:r w:rsidR="00AB0E95" w:rsidRPr="00AB0E95">
        <w:t xml:space="preserve"> </w:t>
      </w:r>
      <w:r w:rsidR="00AB0E95" w:rsidRPr="00AB0E95">
        <w:rPr>
          <w:rFonts w:ascii="Arial" w:hAnsi="Arial" w:cs="Arial"/>
          <w:color w:val="000000" w:themeColor="text1"/>
        </w:rPr>
        <w:t>Implement an automated "Pre-Delinquency Intervention Program" that triggers advisory outreach when credit utilization exceeds 50%.</w:t>
      </w:r>
    </w:p>
    <w:p w14:paraId="573E860B" w14:textId="23D5D760" w:rsidR="007D72C2" w:rsidRPr="00A537D1" w:rsidRDefault="00A537D1">
      <w:pPr>
        <w:pStyle w:val="ListBullet2"/>
        <w:rPr>
          <w:rFonts w:ascii="Arial" w:hAnsi="Arial" w:cs="Arial"/>
          <w:color w:val="000000" w:themeColor="text1"/>
        </w:rPr>
      </w:pPr>
      <w:r w:rsidRPr="00A537D1">
        <w:rPr>
          <w:rFonts w:ascii="Arial" w:hAnsi="Arial" w:cs="Arial"/>
          <w:color w:val="000000" w:themeColor="text1"/>
        </w:rPr>
        <w:t xml:space="preserve">  Specific:</w:t>
      </w:r>
      <w:r w:rsidR="00AB0E95" w:rsidRPr="00AB0E95">
        <w:t xml:space="preserve"> </w:t>
      </w:r>
      <w:r w:rsidR="00AB0E95" w:rsidRPr="00AB0E95">
        <w:rPr>
          <w:rFonts w:ascii="Arial" w:hAnsi="Arial" w:cs="Arial"/>
          <w:color w:val="000000" w:themeColor="text1"/>
        </w:rPr>
        <w:t>Target customers with credit utilization above 50% and a debt-to-income ratio over 35% for proactive debt-management counseling.</w:t>
      </w:r>
    </w:p>
    <w:p w14:paraId="14A948D0" w14:textId="3CC4EB14" w:rsidR="007D72C2" w:rsidRPr="00A537D1" w:rsidRDefault="00A537D1">
      <w:pPr>
        <w:pStyle w:val="ListBullet2"/>
        <w:rPr>
          <w:rFonts w:ascii="Arial" w:hAnsi="Arial" w:cs="Arial"/>
          <w:color w:val="000000" w:themeColor="text1"/>
        </w:rPr>
      </w:pPr>
      <w:r w:rsidRPr="00A537D1">
        <w:rPr>
          <w:rFonts w:ascii="Arial" w:hAnsi="Arial" w:cs="Arial"/>
          <w:color w:val="000000" w:themeColor="text1"/>
        </w:rPr>
        <w:t xml:space="preserve">  Measurable:</w:t>
      </w:r>
      <w:r w:rsidR="00AB0E95" w:rsidRPr="00AB0E95">
        <w:t xml:space="preserve"> </w:t>
      </w:r>
      <w:r w:rsidR="00AB0E95" w:rsidRPr="00AB0E95">
        <w:rPr>
          <w:rFonts w:ascii="Arial" w:hAnsi="Arial" w:cs="Arial"/>
          <w:color w:val="000000" w:themeColor="text1"/>
        </w:rPr>
        <w:t>Aim to reduce the conversion rate from "On-time" to "Late" payment status by 15% within the targeted customer segment.</w:t>
      </w:r>
    </w:p>
    <w:p w14:paraId="3D5B0DDB" w14:textId="5ABFBDF7" w:rsidR="007D72C2" w:rsidRPr="00A537D1" w:rsidRDefault="00A537D1">
      <w:pPr>
        <w:pStyle w:val="ListBullet2"/>
        <w:rPr>
          <w:rFonts w:ascii="Arial" w:hAnsi="Arial" w:cs="Arial"/>
          <w:color w:val="000000" w:themeColor="text1"/>
        </w:rPr>
      </w:pPr>
      <w:r w:rsidRPr="00A537D1">
        <w:rPr>
          <w:rFonts w:ascii="Arial" w:hAnsi="Arial" w:cs="Arial"/>
          <w:color w:val="000000" w:themeColor="text1"/>
        </w:rPr>
        <w:t xml:space="preserve">  Actionable:</w:t>
      </w:r>
      <w:r w:rsidR="00AB0E95" w:rsidRPr="00AB0E95">
        <w:t xml:space="preserve"> </w:t>
      </w:r>
      <w:r w:rsidR="00AB0E95" w:rsidRPr="00AB0E95">
        <w:rPr>
          <w:rFonts w:ascii="Arial" w:hAnsi="Arial" w:cs="Arial"/>
          <w:color w:val="000000" w:themeColor="text1"/>
        </w:rPr>
        <w:t>Aim to reduce the conversion rate from "On-time" to "Late" payment status by 15% within the targeted customer segment.</w:t>
      </w:r>
    </w:p>
    <w:p w14:paraId="692F7089" w14:textId="588B0599" w:rsidR="007D72C2" w:rsidRPr="00A537D1" w:rsidRDefault="00A537D1">
      <w:pPr>
        <w:pStyle w:val="ListBullet2"/>
        <w:rPr>
          <w:rFonts w:ascii="Arial" w:hAnsi="Arial" w:cs="Arial"/>
          <w:color w:val="000000" w:themeColor="text1"/>
        </w:rPr>
      </w:pPr>
      <w:r w:rsidRPr="00A537D1">
        <w:rPr>
          <w:rFonts w:ascii="Arial" w:hAnsi="Arial" w:cs="Arial"/>
          <w:color w:val="000000" w:themeColor="text1"/>
        </w:rPr>
        <w:t xml:space="preserve">  Relevant:</w:t>
      </w:r>
      <w:r w:rsidR="00AB0E95" w:rsidRPr="00AB0E95">
        <w:t xml:space="preserve"> </w:t>
      </w:r>
      <w:r w:rsidR="00AB0E95" w:rsidRPr="00AB0E95">
        <w:rPr>
          <w:rFonts w:ascii="Arial" w:hAnsi="Arial" w:cs="Arial"/>
          <w:color w:val="000000" w:themeColor="text1"/>
        </w:rPr>
        <w:t>Addressing high utilization directly targets the strongest predictive risk variable identified in the delinquency dataset.</w:t>
      </w:r>
    </w:p>
    <w:p w14:paraId="5BFD19C6" w14:textId="06F04D89" w:rsidR="007D72C2" w:rsidRPr="00A537D1" w:rsidRDefault="00A537D1">
      <w:pPr>
        <w:pStyle w:val="ListBullet2"/>
        <w:rPr>
          <w:rFonts w:ascii="Arial" w:hAnsi="Arial" w:cs="Arial"/>
          <w:color w:val="000000" w:themeColor="text1"/>
        </w:rPr>
      </w:pPr>
      <w:r w:rsidRPr="00A537D1">
        <w:rPr>
          <w:rFonts w:ascii="Arial" w:hAnsi="Arial" w:cs="Arial"/>
          <w:color w:val="000000" w:themeColor="text1"/>
        </w:rPr>
        <w:t xml:space="preserve">  Time-bound:</w:t>
      </w:r>
      <w:r w:rsidR="00AB0E95" w:rsidRPr="00AB0E95">
        <w:t xml:space="preserve"> </w:t>
      </w:r>
      <w:r w:rsidR="00AB0E95" w:rsidRPr="00AB0E95">
        <w:rPr>
          <w:rFonts w:ascii="Arial" w:hAnsi="Arial" w:cs="Arial"/>
          <w:color w:val="000000" w:themeColor="text1"/>
        </w:rPr>
        <w:t>Launch the pilot program within Q3 2026 and assess delinquency rate changes after a six-month observation period.</w:t>
      </w:r>
    </w:p>
    <w:p w14:paraId="17D2B140" w14:textId="5B0CB5DD" w:rsidR="007D72C2" w:rsidRPr="00A537D1" w:rsidRDefault="00A537D1">
      <w:pPr>
        <w:pStyle w:val="ListBullet"/>
        <w:rPr>
          <w:rFonts w:ascii="Arial" w:hAnsi="Arial" w:cs="Arial"/>
          <w:color w:val="000000" w:themeColor="text1"/>
        </w:rPr>
      </w:pPr>
      <w:r w:rsidRPr="00A537D1">
        <w:rPr>
          <w:rFonts w:ascii="Arial" w:hAnsi="Arial" w:cs="Arial"/>
          <w:color w:val="000000" w:themeColor="text1"/>
        </w:rPr>
        <w:t>Justification and Business Rationale:</w:t>
      </w:r>
      <w:r w:rsidR="00AB0E95" w:rsidRPr="00AB0E95">
        <w:t xml:space="preserve"> </w:t>
      </w:r>
      <w:r w:rsidR="00AB0E95" w:rsidRPr="00AB0E95">
        <w:rPr>
          <w:rFonts w:ascii="Arial" w:hAnsi="Arial" w:cs="Arial"/>
          <w:color w:val="000000" w:themeColor="text1"/>
        </w:rPr>
        <w:t>Reducing delinquency lowers loss provisions and protects long-term portfolio stability by retaining customers with high account tenure.</w:t>
      </w:r>
    </w:p>
    <w:p w14:paraId="08E6A272" w14:textId="77777777" w:rsidR="007D72C2" w:rsidRPr="00A537D1" w:rsidRDefault="00A537D1">
      <w:pPr>
        <w:pStyle w:val="Heading1"/>
        <w:rPr>
          <w:rFonts w:ascii="Arial" w:hAnsi="Arial" w:cs="Arial"/>
          <w:color w:val="000000" w:themeColor="text1"/>
        </w:rPr>
      </w:pPr>
      <w:r w:rsidRPr="00A537D1">
        <w:rPr>
          <w:rFonts w:ascii="Arial" w:hAnsi="Arial" w:cs="Arial"/>
          <w:color w:val="000000" w:themeColor="text1"/>
        </w:rPr>
        <w:t>3. Ethical and Responsible AI Considerations</w:t>
      </w:r>
    </w:p>
    <w:p w14:paraId="12F299C0" w14:textId="77777777" w:rsidR="007D72C2" w:rsidRPr="00A537D1" w:rsidRDefault="00A537D1">
      <w:pPr>
        <w:rPr>
          <w:rFonts w:ascii="Arial" w:hAnsi="Arial" w:cs="Arial"/>
          <w:color w:val="000000" w:themeColor="text1"/>
        </w:rPr>
      </w:pPr>
      <w:r w:rsidRPr="00A537D1">
        <w:rPr>
          <w:rFonts w:ascii="Arial" w:hAnsi="Arial" w:cs="Arial"/>
          <w:color w:val="000000" w:themeColor="text1"/>
        </w:rPr>
        <w:t>Reflect on the fairness, transparency, and impact of your model and recommendation.</w:t>
      </w:r>
      <w:r w:rsidRPr="00A537D1">
        <w:rPr>
          <w:rFonts w:ascii="Arial" w:hAnsi="Arial" w:cs="Arial"/>
          <w:color w:val="000000" w:themeColor="text1"/>
        </w:rPr>
        <w:br/>
      </w:r>
      <w:r w:rsidRPr="00A537D1">
        <w:rPr>
          <w:rFonts w:ascii="Arial" w:hAnsi="Arial" w:cs="Arial"/>
          <w:color w:val="000000" w:themeColor="text1"/>
        </w:rPr>
        <w:br/>
        <w:t>Include a brief discussion of any relevant ethical considerations, such as:</w:t>
      </w:r>
    </w:p>
    <w:p w14:paraId="00012648" w14:textId="6B4C09F0" w:rsidR="007D72C2" w:rsidRPr="00A537D1" w:rsidRDefault="00A537D1">
      <w:pPr>
        <w:pStyle w:val="ListBullet"/>
        <w:rPr>
          <w:rFonts w:ascii="Arial" w:hAnsi="Arial" w:cs="Arial"/>
          <w:color w:val="000000" w:themeColor="text1"/>
        </w:rPr>
      </w:pPr>
      <w:r w:rsidRPr="00A537D1">
        <w:rPr>
          <w:rFonts w:ascii="Arial" w:hAnsi="Arial" w:cs="Arial"/>
          <w:color w:val="000000" w:themeColor="text1"/>
        </w:rPr>
        <w:t>Potential for bias or unfair treatment of certain customer groups (Provide specific examples related to your analysis).</w:t>
      </w:r>
    </w:p>
    <w:p w14:paraId="47264F3A" w14:textId="553BA44A" w:rsidR="007D72C2" w:rsidRPr="00A537D1" w:rsidRDefault="00A537D1">
      <w:pPr>
        <w:pStyle w:val="ListBullet"/>
        <w:rPr>
          <w:rFonts w:ascii="Arial" w:hAnsi="Arial" w:cs="Arial"/>
          <w:color w:val="000000" w:themeColor="text1"/>
        </w:rPr>
      </w:pPr>
      <w:r w:rsidRPr="00A537D1">
        <w:rPr>
          <w:rFonts w:ascii="Arial" w:hAnsi="Arial" w:cs="Arial"/>
          <w:color w:val="000000" w:themeColor="text1"/>
        </w:rPr>
        <w:t>Explainability – how easy it is to communicate why the model makes its predictions.</w:t>
      </w:r>
    </w:p>
    <w:p w14:paraId="23BA5152" w14:textId="510C173F" w:rsidR="007D72C2" w:rsidRPr="00A537D1" w:rsidRDefault="00A537D1">
      <w:pPr>
        <w:pStyle w:val="ListBullet"/>
        <w:rPr>
          <w:rFonts w:ascii="Arial" w:hAnsi="Arial" w:cs="Arial"/>
          <w:color w:val="000000" w:themeColor="text1"/>
        </w:rPr>
      </w:pPr>
      <w:r w:rsidRPr="00A537D1">
        <w:rPr>
          <w:rFonts w:ascii="Arial" w:hAnsi="Arial" w:cs="Arial"/>
          <w:color w:val="000000" w:themeColor="text1"/>
        </w:rPr>
        <w:t>Whether the recommendation supports responsible financial decision-making.</w:t>
      </w:r>
    </w:p>
    <w:p w14:paraId="3DCE71AF" w14:textId="7D76B70B" w:rsidR="007D72C2" w:rsidRPr="00A537D1" w:rsidRDefault="00A537D1">
      <w:pPr>
        <w:pStyle w:val="ListBullet"/>
        <w:rPr>
          <w:rFonts w:ascii="Arial" w:hAnsi="Arial" w:cs="Arial"/>
          <w:color w:val="000000" w:themeColor="text1"/>
        </w:rPr>
      </w:pPr>
      <w:r w:rsidRPr="00A537D1">
        <w:rPr>
          <w:rFonts w:ascii="Arial" w:hAnsi="Arial" w:cs="Arial"/>
          <w:color w:val="000000" w:themeColor="text1"/>
        </w:rPr>
        <w:lastRenderedPageBreak/>
        <w:t>Other ethical principles considered (e.g., transparency, accountability, data privacy).</w:t>
      </w:r>
    </w:p>
    <w:p w14:paraId="33EC1793" w14:textId="77777777" w:rsidR="007D72C2" w:rsidRDefault="00A537D1">
      <w:pPr>
        <w:rPr>
          <w:rFonts w:ascii="Arial" w:hAnsi="Arial" w:cs="Arial"/>
          <w:color w:val="000000" w:themeColor="text1"/>
        </w:rPr>
      </w:pPr>
      <w:r w:rsidRPr="00A537D1">
        <w:rPr>
          <w:rFonts w:ascii="Arial" w:hAnsi="Arial" w:cs="Arial"/>
          <w:color w:val="000000" w:themeColor="text1"/>
        </w:rPr>
        <w:br/>
        <w:t>Keep your report under two pages. Write in plain, professional language. Use headings, bullet points, or short paragraphs to make it easy for the reader to follow.</w:t>
      </w:r>
    </w:p>
    <w:p w14:paraId="1D2B011E" w14:textId="77777777" w:rsidR="000825B6" w:rsidRDefault="000825B6">
      <w:pPr>
        <w:rPr>
          <w:rFonts w:ascii="Arial" w:hAnsi="Arial" w:cs="Arial"/>
          <w:color w:val="000000" w:themeColor="text1"/>
        </w:rPr>
      </w:pPr>
    </w:p>
    <w:p w14:paraId="564F06D3" w14:textId="77777777" w:rsidR="000825B6" w:rsidRPr="000825B6" w:rsidRDefault="000825B6" w:rsidP="000825B6">
      <w:pPr>
        <w:rPr>
          <w:rFonts w:ascii="Arial" w:hAnsi="Arial" w:cs="Arial"/>
          <w:color w:val="000000" w:themeColor="text1"/>
          <w:lang w:val="en-IN"/>
        </w:rPr>
      </w:pPr>
      <w:r w:rsidRPr="000825B6">
        <w:rPr>
          <w:rFonts w:ascii="Arial" w:hAnsi="Arial" w:cs="Arial"/>
          <w:color w:val="000000" w:themeColor="text1"/>
          <w:lang w:val="en-IN"/>
        </w:rPr>
        <w:t xml:space="preserve">Based on the analysis of the </w:t>
      </w:r>
      <w:r w:rsidRPr="000825B6">
        <w:rPr>
          <w:rFonts w:ascii="Arial" w:hAnsi="Arial" w:cs="Arial"/>
          <w:b/>
          <w:bCs/>
          <w:color w:val="000000" w:themeColor="text1"/>
          <w:lang w:val="en-IN"/>
        </w:rPr>
        <w:t>Delinquency_prediction_dataset.xlsx</w:t>
      </w:r>
      <w:r w:rsidRPr="000825B6">
        <w:rPr>
          <w:rFonts w:ascii="Arial" w:hAnsi="Arial" w:cs="Arial"/>
          <w:color w:val="000000" w:themeColor="text1"/>
          <w:lang w:val="en-IN"/>
        </w:rPr>
        <w:t>, here are the ethical and responsible considerations for deploying the proposed predictive model:</w:t>
      </w:r>
    </w:p>
    <w:p w14:paraId="30C5B780" w14:textId="77777777" w:rsidR="000825B6" w:rsidRPr="000825B6" w:rsidRDefault="000825B6" w:rsidP="000825B6">
      <w:pPr>
        <w:rPr>
          <w:rFonts w:ascii="Arial" w:hAnsi="Arial" w:cs="Arial"/>
          <w:b/>
          <w:bCs/>
          <w:color w:val="000000" w:themeColor="text1"/>
          <w:lang w:val="en-IN"/>
        </w:rPr>
      </w:pPr>
      <w:r w:rsidRPr="000825B6">
        <w:rPr>
          <w:rFonts w:ascii="Arial" w:hAnsi="Arial" w:cs="Arial"/>
          <w:b/>
          <w:bCs/>
          <w:color w:val="000000" w:themeColor="text1"/>
          <w:lang w:val="en-IN"/>
        </w:rPr>
        <w:t>Algorithmic Bias and Fairness</w:t>
      </w:r>
    </w:p>
    <w:p w14:paraId="2C1D8417" w14:textId="77777777" w:rsidR="000825B6" w:rsidRPr="000825B6" w:rsidRDefault="000825B6" w:rsidP="000825B6">
      <w:pPr>
        <w:rPr>
          <w:rFonts w:ascii="Arial" w:hAnsi="Arial" w:cs="Arial"/>
          <w:color w:val="000000" w:themeColor="text1"/>
          <w:lang w:val="en-IN"/>
        </w:rPr>
      </w:pPr>
      <w:r w:rsidRPr="000825B6">
        <w:rPr>
          <w:rFonts w:ascii="Arial" w:hAnsi="Arial" w:cs="Arial"/>
          <w:color w:val="000000" w:themeColor="text1"/>
          <w:lang w:val="en-IN"/>
        </w:rPr>
        <w:t xml:space="preserve">The use of variables such as Age, Income, and Location in a delinquency model requires rigorous auditing to prevent systemic discrimination against protected or vulnerable groups. While these features provide predictive power, they can inadvertently serve as proxies for sensitive attributes, leading to "redlining" or biased credit scoring that penalizes specific demographics. </w:t>
      </w:r>
    </w:p>
    <w:p w14:paraId="12F036FE" w14:textId="77777777" w:rsidR="000825B6" w:rsidRPr="000825B6" w:rsidRDefault="000825B6" w:rsidP="000825B6">
      <w:pPr>
        <w:rPr>
          <w:rFonts w:ascii="Arial" w:hAnsi="Arial" w:cs="Arial"/>
          <w:b/>
          <w:bCs/>
          <w:color w:val="000000" w:themeColor="text1"/>
          <w:lang w:val="en-IN"/>
        </w:rPr>
      </w:pPr>
      <w:r w:rsidRPr="000825B6">
        <w:rPr>
          <w:rFonts w:ascii="Arial" w:hAnsi="Arial" w:cs="Arial"/>
          <w:b/>
          <w:bCs/>
          <w:color w:val="000000" w:themeColor="text1"/>
          <w:lang w:val="en-IN"/>
        </w:rPr>
        <w:t>Transparency and Data Privacy</w:t>
      </w:r>
    </w:p>
    <w:p w14:paraId="247A6A38" w14:textId="30CEA715" w:rsidR="000825B6" w:rsidRPr="000825B6" w:rsidRDefault="000825B6" w:rsidP="000825B6">
      <w:pPr>
        <w:rPr>
          <w:rFonts w:ascii="Arial" w:hAnsi="Arial" w:cs="Arial"/>
          <w:color w:val="000000" w:themeColor="text1"/>
          <w:lang w:val="en-IN"/>
        </w:rPr>
      </w:pPr>
      <w:r w:rsidRPr="000825B6">
        <w:rPr>
          <w:rFonts w:ascii="Arial" w:hAnsi="Arial" w:cs="Arial"/>
          <w:color w:val="000000" w:themeColor="text1"/>
          <w:lang w:val="en-IN"/>
        </w:rPr>
        <w:t>Responsible business strategy dictates that customers flagged by the "Pre-Delinquency Intervention Program" must be granted transparency regarding why they were identified as high-risk. Since the Logistic Regression model relies on interpretable coefficients like Credit</w:t>
      </w:r>
      <w:r>
        <w:rPr>
          <w:rFonts w:ascii="Arial" w:hAnsi="Arial" w:cs="Arial"/>
          <w:color w:val="000000" w:themeColor="text1"/>
          <w:lang w:val="en-IN"/>
        </w:rPr>
        <w:t xml:space="preserve"> </w:t>
      </w:r>
      <w:r w:rsidRPr="000825B6">
        <w:rPr>
          <w:rFonts w:ascii="Arial" w:hAnsi="Arial" w:cs="Arial"/>
          <w:color w:val="000000" w:themeColor="text1"/>
          <w:lang w:val="en-IN"/>
        </w:rPr>
        <w:t>Utilization and Debt</w:t>
      </w:r>
      <w:r>
        <w:rPr>
          <w:rFonts w:ascii="Arial" w:hAnsi="Arial" w:cs="Arial"/>
          <w:color w:val="000000" w:themeColor="text1"/>
          <w:lang w:val="en-IN"/>
        </w:rPr>
        <w:t xml:space="preserve"> </w:t>
      </w:r>
      <w:r w:rsidRPr="000825B6">
        <w:rPr>
          <w:rFonts w:ascii="Arial" w:hAnsi="Arial" w:cs="Arial"/>
          <w:color w:val="000000" w:themeColor="text1"/>
          <w:lang w:val="en-IN"/>
        </w:rPr>
        <w:t>to</w:t>
      </w:r>
      <w:r>
        <w:rPr>
          <w:rFonts w:ascii="Arial" w:hAnsi="Arial" w:cs="Arial"/>
          <w:color w:val="000000" w:themeColor="text1"/>
          <w:lang w:val="en-IN"/>
        </w:rPr>
        <w:t xml:space="preserve"> </w:t>
      </w:r>
      <w:r w:rsidRPr="000825B6">
        <w:rPr>
          <w:rFonts w:ascii="Arial" w:hAnsi="Arial" w:cs="Arial"/>
          <w:color w:val="000000" w:themeColor="text1"/>
          <w:lang w:val="en-IN"/>
        </w:rPr>
        <w:t>Income</w:t>
      </w:r>
      <w:r>
        <w:rPr>
          <w:rFonts w:ascii="Arial" w:hAnsi="Arial" w:cs="Arial"/>
          <w:color w:val="000000" w:themeColor="text1"/>
          <w:lang w:val="en-IN"/>
        </w:rPr>
        <w:t xml:space="preserve"> </w:t>
      </w:r>
      <w:r w:rsidRPr="000825B6">
        <w:rPr>
          <w:rFonts w:ascii="Arial" w:hAnsi="Arial" w:cs="Arial"/>
          <w:color w:val="000000" w:themeColor="text1"/>
          <w:lang w:val="en-IN"/>
        </w:rPr>
        <w:t>Ratio, the business can provide clear, actionable reasons for intervention, which is a cornerstone of ethical financial services.</w:t>
      </w:r>
    </w:p>
    <w:p w14:paraId="63A8E326" w14:textId="77777777" w:rsidR="000825B6" w:rsidRPr="00A537D1" w:rsidRDefault="000825B6">
      <w:pPr>
        <w:rPr>
          <w:rFonts w:ascii="Arial" w:hAnsi="Arial" w:cs="Arial"/>
          <w:color w:val="000000" w:themeColor="text1"/>
        </w:rPr>
      </w:pPr>
    </w:p>
    <w:sectPr w:rsidR="000825B6" w:rsidRPr="00A537D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18722088"/>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F62C7C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363B0B"/>
    <w:multiLevelType w:val="hybridMultilevel"/>
    <w:tmpl w:val="0B82D57C"/>
    <w:lvl w:ilvl="0" w:tplc="D2BC3686">
      <w:start w:val="1"/>
      <w:numFmt w:val="bullet"/>
      <w:lvlText w:val="-"/>
      <w:lvlJc w:val="left"/>
      <w:pPr>
        <w:ind w:left="720" w:hanging="360"/>
      </w:pPr>
      <w:rPr>
        <w:rFonts w:ascii="Arial" w:eastAsiaTheme="minorEastAsia"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BEB69FE"/>
    <w:multiLevelType w:val="multilevel"/>
    <w:tmpl w:val="1C7C0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9F3F63"/>
    <w:multiLevelType w:val="multilevel"/>
    <w:tmpl w:val="1934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905EE1"/>
    <w:multiLevelType w:val="multilevel"/>
    <w:tmpl w:val="415EF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C57ECA"/>
    <w:multiLevelType w:val="hybridMultilevel"/>
    <w:tmpl w:val="CE60DE64"/>
    <w:lvl w:ilvl="0" w:tplc="44D04530">
      <w:start w:val="1"/>
      <w:numFmt w:val="bullet"/>
      <w:lvlText w:val="-"/>
      <w:lvlJc w:val="left"/>
      <w:pPr>
        <w:ind w:left="720" w:hanging="360"/>
      </w:pPr>
      <w:rPr>
        <w:rFonts w:ascii="Arial" w:eastAsiaTheme="minorEastAsia"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99674117">
    <w:abstractNumId w:val="8"/>
  </w:num>
  <w:num w:numId="2" w16cid:durableId="1801531605">
    <w:abstractNumId w:val="6"/>
  </w:num>
  <w:num w:numId="3" w16cid:durableId="486094038">
    <w:abstractNumId w:val="5"/>
  </w:num>
  <w:num w:numId="4" w16cid:durableId="255750852">
    <w:abstractNumId w:val="4"/>
  </w:num>
  <w:num w:numId="5" w16cid:durableId="1951626911">
    <w:abstractNumId w:val="7"/>
  </w:num>
  <w:num w:numId="6" w16cid:durableId="1111168920">
    <w:abstractNumId w:val="3"/>
  </w:num>
  <w:num w:numId="7" w16cid:durableId="124276201">
    <w:abstractNumId w:val="2"/>
  </w:num>
  <w:num w:numId="8" w16cid:durableId="1778476411">
    <w:abstractNumId w:val="1"/>
  </w:num>
  <w:num w:numId="9" w16cid:durableId="1111129504">
    <w:abstractNumId w:val="0"/>
  </w:num>
  <w:num w:numId="10" w16cid:durableId="1271013296">
    <w:abstractNumId w:val="9"/>
  </w:num>
  <w:num w:numId="11" w16cid:durableId="77404231">
    <w:abstractNumId w:val="13"/>
  </w:num>
  <w:num w:numId="12" w16cid:durableId="915675777">
    <w:abstractNumId w:val="10"/>
  </w:num>
  <w:num w:numId="13" w16cid:durableId="1638025979">
    <w:abstractNumId w:val="12"/>
  </w:num>
  <w:num w:numId="14" w16cid:durableId="175388916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25B6"/>
    <w:rsid w:val="0015074B"/>
    <w:rsid w:val="0029639D"/>
    <w:rsid w:val="00326F90"/>
    <w:rsid w:val="007D72C2"/>
    <w:rsid w:val="008237CA"/>
    <w:rsid w:val="00A537D1"/>
    <w:rsid w:val="00AA1D8D"/>
    <w:rsid w:val="00AB0E95"/>
    <w:rsid w:val="00B473E2"/>
    <w:rsid w:val="00B47730"/>
    <w:rsid w:val="00CB0664"/>
    <w:rsid w:val="00F565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4DB5BE"/>
  <w14:defaultImageDpi w14:val="300"/>
  <w15:docId w15:val="{578686E3-F8AA-B641-B7B7-8F5C3F9AF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37D1"/>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A5A5A5"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DDDDD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DDDDD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DDDDD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6E6E6E"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6E6E6E"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DDDDD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A5A5A5"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DDDDD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DDDDDD" w:themeColor="accent1"/>
    </w:rPr>
  </w:style>
  <w:style w:type="paragraph" w:styleId="Title">
    <w:name w:val="Title"/>
    <w:basedOn w:val="Normal"/>
    <w:next w:val="Normal"/>
    <w:link w:val="TitleChar"/>
    <w:uiPriority w:val="10"/>
    <w:qFormat/>
    <w:rsid w:val="00FC693F"/>
    <w:pPr>
      <w:pBdr>
        <w:bottom w:val="single" w:sz="8" w:space="4" w:color="DDDDDD" w:themeColor="accent1"/>
      </w:pBdr>
      <w:spacing w:after="300" w:line="240" w:lineRule="auto"/>
      <w:contextualSpacing/>
    </w:pPr>
    <w:rPr>
      <w:rFonts w:asciiTheme="majorHAnsi" w:eastAsiaTheme="majorEastAsia" w:hAnsiTheme="majorHAnsi" w:cstheme="majorBidi"/>
      <w:color w:val="000000"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DDDDD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DDDDD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DDDDD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6E6E6E"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6E6E6E"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DDDDD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DDDDD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DDDDDD" w:themeColor="accent1"/>
      </w:pBdr>
      <w:spacing w:before="200" w:after="280"/>
      <w:ind w:left="936" w:right="936"/>
    </w:pPr>
    <w:rPr>
      <w:b/>
      <w:bCs/>
      <w:i/>
      <w:iCs/>
      <w:color w:val="DDDDDD" w:themeColor="accent1"/>
    </w:rPr>
  </w:style>
  <w:style w:type="character" w:customStyle="1" w:styleId="IntenseQuoteChar">
    <w:name w:val="Intense Quote Char"/>
    <w:basedOn w:val="DefaultParagraphFont"/>
    <w:link w:val="IntenseQuote"/>
    <w:uiPriority w:val="30"/>
    <w:rsid w:val="00FC693F"/>
    <w:rPr>
      <w:b/>
      <w:bCs/>
      <w:i/>
      <w:iCs/>
      <w:color w:val="DDDDD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DDDDDD" w:themeColor="accent1"/>
    </w:rPr>
  </w:style>
  <w:style w:type="character" w:styleId="SubtleReference">
    <w:name w:val="Subtle Reference"/>
    <w:basedOn w:val="DefaultParagraphFont"/>
    <w:uiPriority w:val="31"/>
    <w:qFormat/>
    <w:rsid w:val="00FC693F"/>
    <w:rPr>
      <w:smallCaps/>
      <w:color w:val="B2B2B2" w:themeColor="accent2"/>
      <w:u w:val="single"/>
    </w:rPr>
  </w:style>
  <w:style w:type="character" w:styleId="IntenseReference">
    <w:name w:val="Intense Reference"/>
    <w:basedOn w:val="DefaultParagraphFont"/>
    <w:uiPriority w:val="32"/>
    <w:qFormat/>
    <w:rsid w:val="00FC693F"/>
    <w:rPr>
      <w:b/>
      <w:bCs/>
      <w:smallCaps/>
      <w:color w:val="B2B2B2"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A5A5A5" w:themeColor="accent1" w:themeShade="BF"/>
    </w:rPr>
    <w:tblPr>
      <w:tblStyleRowBandSize w:val="1"/>
      <w:tblStyleColBandSize w:val="1"/>
      <w:tblBorders>
        <w:top w:val="single" w:sz="8" w:space="0" w:color="DDDDDD" w:themeColor="accent1"/>
        <w:bottom w:val="single" w:sz="8" w:space="0" w:color="DDDDDD" w:themeColor="accent1"/>
      </w:tblBorders>
    </w:tblPr>
    <w:tblStylePr w:type="fir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la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left w:val="nil"/>
          <w:right w:val="nil"/>
          <w:insideH w:val="nil"/>
          <w:insideV w:val="nil"/>
        </w:tcBorders>
        <w:shd w:val="clear" w:color="auto" w:fill="F6F6F6" w:themeFill="accent1" w:themeFillTint="3F"/>
      </w:tcPr>
    </w:tblStylePr>
  </w:style>
  <w:style w:type="table" w:styleId="LightShading-Accent2">
    <w:name w:val="Light Shading Accent 2"/>
    <w:basedOn w:val="TableNormal"/>
    <w:uiPriority w:val="60"/>
    <w:rsid w:val="00FC693F"/>
    <w:pPr>
      <w:spacing w:after="0" w:line="240" w:lineRule="auto"/>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rsid w:val="00FC693F"/>
    <w:pPr>
      <w:spacing w:after="0" w:line="240" w:lineRule="auto"/>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rsid w:val="00FC693F"/>
    <w:pPr>
      <w:spacing w:after="0" w:line="240" w:lineRule="auto"/>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rsid w:val="00FC693F"/>
    <w:pPr>
      <w:spacing w:after="0" w:line="240" w:lineRule="auto"/>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rsid w:val="00FC693F"/>
    <w:pPr>
      <w:spacing w:after="0" w:line="240" w:lineRule="auto"/>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pPr>
        <w:spacing w:before="0" w:after="0" w:line="240" w:lineRule="auto"/>
      </w:pPr>
      <w:rPr>
        <w:b/>
        <w:bCs/>
        <w:color w:val="FFFFFF" w:themeColor="background1"/>
      </w:rPr>
      <w:tblPr/>
      <w:tcPr>
        <w:shd w:val="clear" w:color="auto" w:fill="DDDDDD" w:themeFill="accent1"/>
      </w:tcPr>
    </w:tblStylePr>
    <w:tblStylePr w:type="lastRow">
      <w:pPr>
        <w:spacing w:before="0" w:after="0" w:line="240" w:lineRule="auto"/>
      </w:pPr>
      <w:rPr>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tcBorders>
      </w:tcPr>
    </w:tblStylePr>
    <w:tblStylePr w:type="firstCol">
      <w:rPr>
        <w:b/>
        <w:bCs/>
      </w:rPr>
    </w:tblStylePr>
    <w:tblStylePr w:type="lastCol">
      <w:rPr>
        <w:b/>
        <w:bCs/>
      </w:r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18" w:space="0" w:color="DDDDDD" w:themeColor="accent1"/>
          <w:right w:val="single" w:sz="8" w:space="0" w:color="DDDDDD" w:themeColor="accent1"/>
          <w:insideH w:val="nil"/>
          <w:insideV w:val="single" w:sz="8" w:space="0" w:color="DDDDD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insideH w:val="nil"/>
          <w:insideV w:val="single" w:sz="8" w:space="0" w:color="DDDDD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shd w:val="clear" w:color="auto" w:fill="F6F6F6" w:themeFill="accent1" w:themeFillTint="3F"/>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shd w:val="clear" w:color="auto" w:fill="F6F6F6" w:themeFill="accent1" w:themeFillTint="3F"/>
      </w:tcPr>
    </w:tblStylePr>
    <w:tblStylePr w:type="band2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tblBorders>
    </w:tblPr>
    <w:tblStylePr w:type="firstRow">
      <w:pPr>
        <w:spacing w:before="0" w:after="0" w:line="240" w:lineRule="auto"/>
      </w:pPr>
      <w:rPr>
        <w:b/>
        <w:bCs/>
        <w:color w:val="FFFFFF" w:themeColor="background1"/>
      </w:rPr>
      <w:tblPr/>
      <w:tcPr>
        <w:tc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shd w:val="clear" w:color="auto" w:fill="DDDDDD" w:themeFill="accent1"/>
      </w:tcPr>
    </w:tblStylePr>
    <w:tblStylePr w:type="lastRow">
      <w:pPr>
        <w:spacing w:before="0" w:after="0" w:line="240" w:lineRule="auto"/>
      </w:pPr>
      <w:rPr>
        <w:b/>
        <w:bCs/>
      </w:rPr>
      <w:tblPr/>
      <w:tcPr>
        <w:tcBorders>
          <w:top w:val="double" w:sz="6"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tcPr>
    </w:tblStylePr>
    <w:tblStylePr w:type="firstCol">
      <w:rPr>
        <w:b/>
        <w:bCs/>
      </w:rPr>
    </w:tblStylePr>
    <w:tblStylePr w:type="lastCol">
      <w:rPr>
        <w:b/>
        <w:bCs/>
      </w:rPr>
    </w:tblStylePr>
    <w:tblStylePr w:type="band1Vert">
      <w:tblPr/>
      <w:tcPr>
        <w:shd w:val="clear" w:color="auto" w:fill="F6F6F6" w:themeFill="accent1" w:themeFillTint="3F"/>
      </w:tcPr>
    </w:tblStylePr>
    <w:tblStylePr w:type="band1Horz">
      <w:tblPr/>
      <w:tcPr>
        <w:tcBorders>
          <w:insideH w:val="nil"/>
          <w:insideV w:val="nil"/>
        </w:tcBorders>
        <w:shd w:val="clear" w:color="auto" w:fill="F6F6F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DDDD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DDDDD" w:themeFill="accent1"/>
      </w:tcPr>
    </w:tblStylePr>
    <w:tblStylePr w:type="lastCol">
      <w:rPr>
        <w:b/>
        <w:bCs/>
        <w:color w:val="FFFFFF" w:themeColor="background1"/>
      </w:rPr>
      <w:tblPr/>
      <w:tcPr>
        <w:tcBorders>
          <w:left w:val="nil"/>
          <w:right w:val="nil"/>
          <w:insideH w:val="nil"/>
          <w:insideV w:val="nil"/>
        </w:tcBorders>
        <w:shd w:val="clear" w:color="auto" w:fill="DDDDD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DDDDDD" w:themeColor="accent1"/>
        <w:bottom w:val="single" w:sz="8" w:space="0" w:color="DDDDDD" w:themeColor="accent1"/>
      </w:tblBorders>
    </w:tblPr>
    <w:tblStylePr w:type="firstRow">
      <w:rPr>
        <w:rFonts w:asciiTheme="majorHAnsi" w:eastAsiaTheme="majorEastAsia" w:hAnsiTheme="majorHAnsi" w:cstheme="majorBidi"/>
      </w:rPr>
      <w:tblPr/>
      <w:tcPr>
        <w:tcBorders>
          <w:top w:val="nil"/>
          <w:bottom w:val="single" w:sz="8" w:space="0" w:color="DDDDDD" w:themeColor="accent1"/>
        </w:tcBorders>
      </w:tcPr>
    </w:tblStylePr>
    <w:tblStylePr w:type="lastRow">
      <w:rPr>
        <w:b/>
        <w:bCs/>
        <w:color w:val="000000" w:themeColor="text2"/>
      </w:rPr>
      <w:tblPr/>
      <w:tcPr>
        <w:tcBorders>
          <w:top w:val="single" w:sz="8" w:space="0" w:color="DDDDDD" w:themeColor="accent1"/>
          <w:bottom w:val="single" w:sz="8" w:space="0" w:color="DDDDDD" w:themeColor="accent1"/>
        </w:tcBorders>
      </w:tcPr>
    </w:tblStylePr>
    <w:tblStylePr w:type="firstCol">
      <w:rPr>
        <w:b/>
        <w:bCs/>
      </w:rPr>
    </w:tblStylePr>
    <w:tblStylePr w:type="lastCol">
      <w:rPr>
        <w:b/>
        <w:bCs/>
      </w:rPr>
      <w:tblPr/>
      <w:tcPr>
        <w:tcBorders>
          <w:top w:val="single" w:sz="8" w:space="0" w:color="DDDDDD" w:themeColor="accent1"/>
          <w:bottom w:val="single" w:sz="8" w:space="0" w:color="DDDDDD" w:themeColor="accent1"/>
        </w:tcBorders>
      </w:tcPr>
    </w:tblStylePr>
    <w:tblStylePr w:type="band1Vert">
      <w:tblPr/>
      <w:tcPr>
        <w:shd w:val="clear" w:color="auto" w:fill="F6F6F6" w:themeFill="accent1" w:themeFillTint="3F"/>
      </w:tcPr>
    </w:tblStylePr>
    <w:tblStylePr w:type="band1Horz">
      <w:tblPr/>
      <w:tcPr>
        <w:shd w:val="clear" w:color="auto" w:fill="F6F6F6"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rPr>
        <w:sz w:val="24"/>
        <w:szCs w:val="24"/>
      </w:rPr>
      <w:tblPr/>
      <w:tcPr>
        <w:tcBorders>
          <w:top w:val="nil"/>
          <w:left w:val="nil"/>
          <w:bottom w:val="single" w:sz="24" w:space="0" w:color="DDDDDD" w:themeColor="accent1"/>
          <w:right w:val="nil"/>
          <w:insideH w:val="nil"/>
          <w:insideV w:val="nil"/>
        </w:tcBorders>
        <w:shd w:val="clear" w:color="auto" w:fill="FFFFFF" w:themeFill="background1"/>
      </w:tcPr>
    </w:tblStylePr>
    <w:tblStylePr w:type="lastRow">
      <w:tblPr/>
      <w:tcPr>
        <w:tcBorders>
          <w:top w:val="single" w:sz="8" w:space="0" w:color="DDDDD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DDDDD" w:themeColor="accent1"/>
          <w:insideH w:val="nil"/>
          <w:insideV w:val="nil"/>
        </w:tcBorders>
        <w:shd w:val="clear" w:color="auto" w:fill="FFFFFF" w:themeFill="background1"/>
      </w:tcPr>
    </w:tblStylePr>
    <w:tblStylePr w:type="lastCol">
      <w:tblPr/>
      <w:tcPr>
        <w:tcBorders>
          <w:top w:val="nil"/>
          <w:left w:val="single" w:sz="8" w:space="0" w:color="DDDDD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top w:val="nil"/>
          <w:bottom w:val="nil"/>
          <w:insideH w:val="nil"/>
          <w:insideV w:val="nil"/>
        </w:tcBorders>
        <w:shd w:val="clear" w:color="auto" w:fill="F6F6F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single" w:sz="8" w:space="0" w:color="B2B2B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single" w:sz="8" w:space="0" w:color="969696"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single" w:sz="8" w:space="0" w:color="80808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single" w:sz="8" w:space="0" w:color="5F5F5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single" w:sz="8" w:space="0" w:color="4D4D4D"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insideV w:val="single" w:sz="8" w:space="0" w:color="E5E5E5" w:themeColor="accent1" w:themeTint="BF"/>
      </w:tblBorders>
    </w:tblPr>
    <w:tcPr>
      <w:shd w:val="clear" w:color="auto" w:fill="F6F6F6" w:themeFill="accent1" w:themeFillTint="3F"/>
    </w:tcPr>
    <w:tblStylePr w:type="firstRow">
      <w:rPr>
        <w:b/>
        <w:bCs/>
      </w:rPr>
    </w:tblStylePr>
    <w:tblStylePr w:type="lastRow">
      <w:rPr>
        <w:b/>
        <w:bCs/>
      </w:rPr>
      <w:tblPr/>
      <w:tcPr>
        <w:tcBorders>
          <w:top w:val="single" w:sz="18" w:space="0" w:color="E5E5E5" w:themeColor="accent1" w:themeTint="BF"/>
        </w:tcBorders>
      </w:tcPr>
    </w:tblStylePr>
    <w:tblStylePr w:type="firstCol">
      <w:rPr>
        <w:b/>
        <w:bCs/>
      </w:rPr>
    </w:tblStylePr>
    <w:tblStylePr w:type="lastCol">
      <w:rPr>
        <w:b/>
        <w:bCs/>
      </w:r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cPr>
      <w:shd w:val="clear" w:color="auto" w:fill="F6F6F6" w:themeFill="accent1" w:themeFillTint="3F"/>
    </w:tcPr>
    <w:tblStylePr w:type="firstRow">
      <w:rPr>
        <w:b/>
        <w:bCs/>
        <w:color w:val="000000" w:themeColor="text1"/>
      </w:rPr>
      <w:tblPr/>
      <w:tcPr>
        <w:shd w:val="clear" w:color="auto" w:fill="FBFB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8F8" w:themeFill="accent1" w:themeFillTint="33"/>
      </w:tcPr>
    </w:tblStylePr>
    <w:tblStylePr w:type="band1Vert">
      <w:tblPr/>
      <w:tcPr>
        <w:shd w:val="clear" w:color="auto" w:fill="EEEEEE" w:themeFill="accent1" w:themeFillTint="7F"/>
      </w:tcPr>
    </w:tblStylePr>
    <w:tblStylePr w:type="band1Horz">
      <w:tblPr/>
      <w:tcPr>
        <w:tcBorders>
          <w:insideH w:val="single" w:sz="6" w:space="0" w:color="DDDDDD" w:themeColor="accent1"/>
          <w:insideV w:val="single" w:sz="6" w:space="0" w:color="DDDDDD" w:themeColor="accent1"/>
        </w:tcBorders>
        <w:shd w:val="clear" w:color="auto" w:fill="EEEEE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F6F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DDDD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DDDD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EEE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EEE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DDDDD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E6E6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A5A5A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A5A5A5" w:themeFill="accent1" w:themeFillShade="BF"/>
      </w:tcPr>
    </w:tblStylePr>
    <w:tblStylePr w:type="band1Vert">
      <w:tblPr/>
      <w:tcPr>
        <w:tcBorders>
          <w:top w:val="nil"/>
          <w:left w:val="nil"/>
          <w:bottom w:val="nil"/>
          <w:right w:val="nil"/>
          <w:insideH w:val="nil"/>
          <w:insideV w:val="nil"/>
        </w:tcBorders>
        <w:shd w:val="clear" w:color="auto" w:fill="A5A5A5" w:themeFill="accent1" w:themeFillShade="BF"/>
      </w:tcPr>
    </w:tblStylePr>
    <w:tblStylePr w:type="band1Horz">
      <w:tblPr/>
      <w:tcPr>
        <w:tcBorders>
          <w:top w:val="nil"/>
          <w:left w:val="nil"/>
          <w:bottom w:val="nil"/>
          <w:right w:val="nil"/>
          <w:insideH w:val="nil"/>
          <w:insideV w:val="nil"/>
        </w:tcBorders>
        <w:shd w:val="clear" w:color="auto" w:fill="A5A5A5"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DDDDDD" w:themeColor="accent1"/>
        <w:bottom w:val="single" w:sz="4" w:space="0" w:color="DDDDDD" w:themeColor="accent1"/>
        <w:right w:val="single" w:sz="4" w:space="0" w:color="DDDDDD" w:themeColor="accent1"/>
        <w:insideH w:val="single" w:sz="4" w:space="0" w:color="FFFFFF" w:themeColor="background1"/>
        <w:insideV w:val="single" w:sz="4" w:space="0" w:color="FFFFFF" w:themeColor="background1"/>
      </w:tblBorders>
    </w:tblPr>
    <w:tcPr>
      <w:shd w:val="clear" w:color="auto" w:fill="FBFBFB"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48484" w:themeFill="accent1" w:themeFillShade="99"/>
      </w:tcPr>
    </w:tblStylePr>
    <w:tblStylePr w:type="firstCol">
      <w:rPr>
        <w:color w:val="FFFFFF" w:themeColor="background1"/>
      </w:rPr>
      <w:tblPr/>
      <w:tcPr>
        <w:tcBorders>
          <w:top w:val="nil"/>
          <w:left w:val="nil"/>
          <w:bottom w:val="nil"/>
          <w:right w:val="nil"/>
          <w:insideH w:val="single" w:sz="4" w:space="0" w:color="848484" w:themeColor="accent1" w:themeShade="99"/>
          <w:insideV w:val="nil"/>
        </w:tcBorders>
        <w:shd w:val="clear" w:color="auto" w:fill="84848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48484" w:themeFill="accent1" w:themeFillShade="99"/>
      </w:tcPr>
    </w:tblStylePr>
    <w:tblStylePr w:type="band1Vert">
      <w:tblPr/>
      <w:tcPr>
        <w:shd w:val="clear" w:color="auto" w:fill="F1F1F1" w:themeFill="accent1" w:themeFillTint="66"/>
      </w:tcPr>
    </w:tblStylePr>
    <w:tblStylePr w:type="band1Horz">
      <w:tblPr/>
      <w:tcPr>
        <w:shd w:val="clear" w:color="auto" w:fill="EEEEE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BFBFB"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6F6" w:themeFill="accent1" w:themeFillTint="3F"/>
      </w:tcPr>
    </w:tblStylePr>
    <w:tblStylePr w:type="band1Horz">
      <w:tblPr/>
      <w:tcPr>
        <w:shd w:val="clear" w:color="auto" w:fill="F8F8F8"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8F8F8" w:themeFill="accent1" w:themeFillTint="33"/>
    </w:tcPr>
    <w:tblStylePr w:type="firstRow">
      <w:rPr>
        <w:b/>
        <w:bCs/>
      </w:rPr>
      <w:tblPr/>
      <w:tcPr>
        <w:shd w:val="clear" w:color="auto" w:fill="F1F1F1" w:themeFill="accent1" w:themeFillTint="66"/>
      </w:tcPr>
    </w:tblStylePr>
    <w:tblStylePr w:type="lastRow">
      <w:rPr>
        <w:b/>
        <w:bCs/>
        <w:color w:val="000000" w:themeColor="text1"/>
      </w:rPr>
      <w:tblPr/>
      <w:tcPr>
        <w:shd w:val="clear" w:color="auto" w:fill="F1F1F1" w:themeFill="accent1" w:themeFillTint="66"/>
      </w:tcPr>
    </w:tblStylePr>
    <w:tblStylePr w:type="firstCol">
      <w:rPr>
        <w:color w:val="FFFFFF" w:themeColor="background1"/>
      </w:rPr>
      <w:tblPr/>
      <w:tcPr>
        <w:shd w:val="clear" w:color="auto" w:fill="A5A5A5" w:themeFill="accent1" w:themeFillShade="BF"/>
      </w:tcPr>
    </w:tblStylePr>
    <w:tblStylePr w:type="lastCol">
      <w:rPr>
        <w:color w:val="FFFFFF" w:themeColor="background1"/>
      </w:rPr>
      <w:tblPr/>
      <w:tcPr>
        <w:shd w:val="clear" w:color="auto" w:fill="A5A5A5" w:themeFill="accent1" w:themeFillShade="BF"/>
      </w:tc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Gre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792</Words>
  <Characters>4515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SHABUDDIN SHAIK</cp:lastModifiedBy>
  <cp:revision>2</cp:revision>
  <dcterms:created xsi:type="dcterms:W3CDTF">2026-05-01T11:46:00Z</dcterms:created>
  <dcterms:modified xsi:type="dcterms:W3CDTF">2026-05-01T11:46:00Z</dcterms:modified>
  <cp:category/>
</cp:coreProperties>
</file>