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Lessons Learned Register</w:t>
      </w:r>
    </w:p>
    <w:p>
      <w:r>
        <w:t>Project: Digital Transformation &amp; E-Commerce Website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Lesson Learned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Early stakeholder alignment reduced rework.</w:t>
            </w:r>
          </w:p>
        </w:tc>
        <w:tc>
          <w:tcPr>
            <w:tcW w:type="dxa" w:w="2880"/>
          </w:tcPr>
          <w:p>
            <w:r>
              <w:t>Conduct kickoff workshops.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Weekly status meetings improved visibility.</w:t>
            </w:r>
          </w:p>
        </w:tc>
        <w:tc>
          <w:tcPr>
            <w:tcW w:type="dxa" w:w="2880"/>
          </w:tcPr>
          <w:p>
            <w:r>
              <w:t>Maintain regular reporting.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Frequent risk reviews prevented escalation.</w:t>
            </w:r>
          </w:p>
        </w:tc>
        <w:tc>
          <w:tcPr>
            <w:tcW w:type="dxa" w:w="2880"/>
          </w:tcPr>
          <w:p>
            <w:r>
              <w:t>Review RAID log weekly.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Early QA involvement reduced defects.</w:t>
            </w:r>
          </w:p>
        </w:tc>
        <w:tc>
          <w:tcPr>
            <w:tcW w:type="dxa" w:w="2880"/>
          </w:tcPr>
          <w:p>
            <w:r>
              <w:t>Start testing sooner.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