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36"/>
        </w:rPr>
        <w:t>Future Scalability Plan &amp; Architectural Roadmap</w:t>
      </w:r>
    </w:p>
    <w:p>
      <w:pPr>
        <w:spacing w:after="240"/>
      </w:pPr>
      <w:r>
        <w:rPr>
          <w:rFonts w:ascii="Calibri" w:hAnsi="Calibri"/>
          <w:b/>
          <w:color w:val="334155"/>
          <w:sz w:val="22"/>
        </w:rPr>
        <w:t>Autonomous Financial Reconciliation Agent: Production &amp; Capstone Final Submission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sz w:val="19"/>
              </w:rPr>
              <w:t xml:space="preserve">Executive Vision— </w:t>
            </w:r>
            <w:r>
              <w:rPr>
                <w:sz w:val="19"/>
              </w:rPr>
              <w:t>While the prototype proves the viability of an autonomous ReAct loop with a locked 5-tool catalog (achieving 100% Plan-Sequence Correctness and 94.9% Recommendation Groundedness), enterprise readiness requires scaling beyond localized SQLite batches and heuristic greedy rebalancing. This document outlines the comprehensive engineering and algorithmic blueprint for transforming the prototype into an enterprise-grade, publication-worthy final capstone submission. Key transitions include real-time streaming ingestion via Kafka, semantic vector memory with pgvector, formal Constrained Convex Optimization (Linear Programming via SciPy), self-correcting causal backtracking, and zero-trust PII masking.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5"/>
        </w:rPr>
        <w:t>1. Architectural Evolution: From Prototype to Enterprise</w:t>
      </w:r>
    </w:p>
    <w:p>
      <w:pPr>
        <w:spacing w:after="80"/>
      </w:pPr>
      <w:r>
        <w:t>The production architecture migrates the standalone Python ReAct orchestrator into a decoupled, event-driven compound AI system. The pipeline separates high-throughput transaction ingestion, distributed relational/vector storage, multi-agent specialized worker execution, and immutable cryptographic compliance auditing.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5"/>
        </w:rPr>
        <w:t>2. The 5 Strategic Scalability Pillars</w:t>
      </w:r>
    </w:p>
    <w:p>
      <w:pPr>
        <w:pStyle w:val="ListBullet"/>
        <w:spacing w:before="20" w:after="60"/>
      </w:pPr>
      <w:r>
        <w:rPr>
          <w:b/>
          <w:sz w:val="19"/>
        </w:rPr>
        <w:t xml:space="preserve">Pillar I: Data Ingestion &amp; Streaming Infrastructure: </w:t>
      </w:r>
      <w:r>
        <w:rPr>
          <w:sz w:val="19"/>
        </w:rPr>
        <w:t>Migrate from embedded SQLite batch loading to real-time ISO 20022 Open Banking webhooks (Plaid/MX/Yodlee). Decouple ingestion via an event-driven Kafka message bus (transactions.incoming) backed by a hybrid database tier: PostgreSQL for relational ACID accounts and TimescaleDB for sub-millisecond rolling category spend aggregations.</w:t>
      </w:r>
    </w:p>
    <w:p>
      <w:pPr>
        <w:pStyle w:val="ListBullet"/>
        <w:spacing w:before="20" w:after="60"/>
      </w:pPr>
      <w:r>
        <w:rPr>
          <w:b/>
          <w:sz w:val="19"/>
        </w:rPr>
        <w:t xml:space="preserve">Pillar II: Semantic Vector Memory &amp; Merchant Disambiguation: </w:t>
      </w:r>
      <w:r>
        <w:rPr>
          <w:sz w:val="19"/>
        </w:rPr>
        <w:t>Replace regex cleaning and token-set fuzzy matching with persistent semantic vector memory (pgvector). Embed 250,000+ verified national merchant descriptors via text-embedding-004. Calibrate confidence scores mathematically using cosine distance; any similarity below the ambiguity threshold (0.60) triggers an explicit clarification request rather than an ungrounded guess.</w:t>
      </w:r>
    </w:p>
    <w:p>
      <w:pPr>
        <w:pStyle w:val="ListBullet"/>
        <w:spacing w:before="20" w:after="60"/>
      </w:pPr>
      <w:r>
        <w:rPr>
          <w:b/>
          <w:sz w:val="19"/>
        </w:rPr>
        <w:t xml:space="preserve">Pillar III: Mathematical Optimization Engine (Linear Programming): </w:t>
      </w:r>
      <w:r>
        <w:rPr>
          <w:sz w:val="19"/>
        </w:rPr>
        <w:t>Upgrade from a heuristic greedy allocation to formal Constrained Convex Optimization (Linear Programming via SciPy/PuLP). The optimization minimizes surplus-draw penalties subject to strict budget-conservation constraints: sum(x_ij) &lt;= Surplus_j, sum(x_ij) + u_i = Deficit_i, and hard floor protection (Housing, Healthcare, Utilities x_ij = 0). This eliminates sub-optimal transfers across multi-deficit scenarios.</w:t>
      </w:r>
    </w:p>
    <w:p>
      <w:pPr>
        <w:pStyle w:val="ListBullet"/>
        <w:spacing w:before="20" w:after="60"/>
      </w:pPr>
      <w:r>
        <w:rPr>
          <w:b/>
          <w:sz w:val="19"/>
        </w:rPr>
        <w:t xml:space="preserve">Pillar IV: Self-Correcting Causal Guardrails &amp; Backtracking: </w:t>
      </w:r>
      <w:r>
        <w:rPr>
          <w:sz w:val="19"/>
        </w:rPr>
        <w:t>Directly resolve the core failure mode discovered in the Error Propagation Analysis (where a Step 1 misclassification cascades into 100% of downstream tools and produces $6,353.08 in Dollar Drift). Introduce active post-step confidence gates: if Step 1 confidence is below 85%, execution halts and prompts the user. Additionally, a Conservation of Capital invariant (sum Delta Budgets == 0) ensures corrupt recommendations never reach the client.</w:t>
      </w:r>
    </w:p>
    <w:p>
      <w:pPr>
        <w:pStyle w:val="ListBullet"/>
        <w:spacing w:before="20" w:after="60"/>
      </w:pPr>
      <w:r>
        <w:rPr>
          <w:b/>
          <w:sz w:val="19"/>
        </w:rPr>
        <w:t xml:space="preserve">Pillar V: Enterprise Privacy, Security &amp; Cryptographic Auditing: </w:t>
      </w:r>
      <w:r>
        <w:rPr>
          <w:sz w:val="19"/>
        </w:rPr>
        <w:t>Implement a Zero-Trust PII redaction proxy (Microsoft Presidio) to mask PANs, SSNs, and customer names before prompts reach external LLM endpoints. Implement an immutable HMAC-SHA256 chained audit ledger ensuring non-repudiation for financial compliance (SOC2, GLBA), coupled with Human-in-the-Loop (HITL) approval gates for reallocations exceeding $250.00.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5"/>
        </w:rPr>
        <w:t>3. Phased Execution Roadmap for Final Submission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Phase &amp; Timeline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Key Deliverables</w:t>
            </w:r>
          </w:p>
        </w:tc>
        <w:tc>
          <w:tcPr>
            <w:tcW w:type="dxa" w:w="288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Target Tech Stack</w:t>
            </w:r>
          </w:p>
        </w:tc>
        <w:tc>
          <w:tcPr>
            <w:tcW w:type="dxa" w:w="172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Estimated Effort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Phase 1: Semantic Memory (Weeks 1–2)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• pgvector integration for 250k merchants</w:t>
              <w:br/>
              <w:t>• 10,000+ transaction dataset ingestion</w:t>
              <w:br/>
              <w:t>• Confidence calibration layer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PostgreSQL, pgvector, sentence-transformers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10–14 days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Phase 2: Math Optimization (Weeks 3–4)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• SciPy / PuLP Linear Programming solver</w:t>
              <w:br/>
              <w:t>• Multi-deficit convex rebalancing</w:t>
              <w:br/>
              <w:t>• Zero-hallucination constraint proofs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SciPy, PuLP, Python 3.11, NumPy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10–12 days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Phase 3: Self-Correction &amp; HITL (Weeks 5–6)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• Step 1 confidence rollback gates</w:t>
              <w:br/>
              <w:t>• PII tokenization via Presidio</w:t>
              <w:br/>
              <w:t>• Push approval triggers (&gt; $250)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Microsoft Presidio, WebSockets, HMAC Ledger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10–14 days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Phase 4: Dashboard &amp; Defense (Weeks 7–8)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• Next.js 14 high-density executive ledger UI</w:t>
              <w:br/>
              <w:t>• Heuristic vs. LP comparative benchmark</w:t>
              <w:br/>
              <w:t>• Final thesis paper, slide deck &amp; demo video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Next.js 14, Tremor, Docker Compose, Chart.js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12–14 days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5"/>
        </w:rPr>
        <w:t>4. Architectural Comparison: Prototype vs. Capstone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Technical Dimension</w:t>
            </w:r>
          </w:p>
        </w:tc>
        <w:tc>
          <w:tcPr>
            <w:tcW w:type="dxa" w:w="374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Current Working Prototype</w:t>
            </w:r>
          </w:p>
        </w:tc>
        <w:tc>
          <w:tcPr>
            <w:tcW w:type="dxa" w:w="374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Future Scalable Capstone Submission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Data Layer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Embedded SQLite (reconciliation.db)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Distributed PostgreSQL + TimescaleDB + pgvector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Merchant Categorization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Regex rules + fuzzy string matching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Semantic Vector RAG with calibrated uncertainty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Reallocation Engine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Heuristic greedy surplus rebalancing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Constrained Linear Programming (SciPy / PuLP)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Error Resilience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Linear forward execution (cascading drift)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Active confidence gating, backtracking &amp; invariants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Security &amp; Governance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Local database storage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Presidio PII masking + HMAC-SHA256 chained audit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Client &amp; Human Controls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Localhost Browser Console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Real-time WebSockets, push alerts &amp; HITL gates</w:t>
            </w:r>
          </w:p>
        </w:tc>
      </w:tr>
    </w:tbl>
    <w:p>
      <w:pPr>
        <w:keepNext/>
        <w:spacing w:before="200" w:after="60"/>
      </w:pPr>
      <w:r>
        <w:rPr>
          <w:rFonts w:ascii="Calibri" w:hAnsi="Calibri"/>
          <w:b/>
          <w:color w:val="0F172A"/>
          <w:sz w:val="25"/>
        </w:rPr>
        <w:t>5. Capstone Defense Strategy (The 3-Act Demonstration)</w:t>
      </w:r>
    </w:p>
    <w:p>
      <w:pPr>
        <w:spacing w:after="0"/>
      </w:pPr>
      <w:r>
        <w:t>For the final evaluation committee, present the submission using a compelling 3-Act structure: (1) Act 1: The Status Quo Fragility: Demonstrate how single-turn budgeting tools fail by corrupting dependent envelopes when categorizations err. (2) Act 2: The Working Agentic Prototype: Showcase the 5-tool ReAct loop live (Scenario 06) with explainable audit cards, SQL aggregations, and balanced rebalancing. (3) Act 3: The Empirical Frontier &amp; Production Rigor: Present the Plan-Sequence Benchmark (100%), the Dollar Drift findings ($6,353.08), and demonstrate how the proposed Linear Programming solver and self-correction guardrails resolve the fundamental failure modes of compound AI systems.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