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0224"/>
            <w:shd w:fill="0F172A"/>
            <w:tcMar>
              <w:top w:w="140" w:type="dxa"/>
              <w:bottom w:w="140" w:type="dxa"/>
              <w:left w:w="160" w:type="dxa"/>
              <w:right w:w="160" w:type="dxa"/>
            </w:tcMar>
          </w:tcPr>
          <w:p>
            <w:pPr>
              <w:spacing w:before="0" w:after="40"/>
              <w:jc w:val="center"/>
            </w:pPr>
            <w:r>
              <w:rPr>
                <w:rFonts w:ascii="Calibri" w:hAnsi="Calibri"/>
                <w:b/>
                <w:color w:val="FFFFFF"/>
                <w:sz w:val="32"/>
              </w:rPr>
              <w:t>WORK PROGRESS REPORT</w:t>
            </w:r>
          </w:p>
          <w:p>
            <w:pPr>
              <w:spacing w:before="0" w:after="40"/>
              <w:jc w:val="center"/>
            </w:pPr>
            <w:r>
              <w:rPr>
                <w:rFonts w:ascii="Calibri" w:hAnsi="Calibri"/>
                <w:color w:val="E2E8F0"/>
                <w:sz w:val="21"/>
              </w:rPr>
              <w:t>Autonomous Financial Reconciliation Agent: From Initial Prototype to Explainable System</w:t>
            </w:r>
          </w:p>
          <w:p>
            <w:pPr>
              <w:spacing w:before="0" w:after="0"/>
              <w:jc w:val="center"/>
            </w:pPr>
            <w:r>
              <w:rPr>
                <w:rFonts w:ascii="Calibri" w:hAnsi="Calibri"/>
                <w:i/>
                <w:color w:val="94A3B8"/>
                <w:sz w:val="17"/>
              </w:rPr>
              <w:t>Project Track: Capstone AI Systems Engineering  |  Author: Mohammed Afraz Hussain  |  Milestone: V2 Verified</w:t>
            </w:r>
          </w:p>
        </w:tc>
      </w:tr>
    </w:tbl>
    <w:p>
      <w:pPr>
        <w:spacing w:after="60"/>
      </w:pPr>
    </w:p>
    <w:tbl>
      <w:tblPr>
        <w:tblW w:type="auto" w:w="0"/>
        <w:jc w:val="center"/>
        <w:tblLayout w:type="fixed"/>
        <w:tblLook w:firstColumn="1" w:firstRow="1" w:lastColumn="0" w:lastRow="0" w:noHBand="0" w:noVBand="1" w:val="04A0"/>
      </w:tblPr>
      <w:tblGrid>
        <w:gridCol w:w="10224"/>
      </w:tblGrid>
      <w:tr>
        <w:tc>
          <w:tcPr>
            <w:tcW w:type="dxa" w:w="10224"/>
            <w:shd w:fill="F8FAFC"/>
            <w:tcBorders>
              <w:top w:val="none"/>
              <w:bottom w:val="none"/>
              <w:left w:val="single" w:sz="24" w:space="0" w:color="1E40AF"/>
              <w:right w:val="none"/>
            </w:tcBorders>
            <w:tcMar>
              <w:top w:w="100" w:type="dxa"/>
              <w:bottom w:w="100" w:type="dxa"/>
              <w:left w:w="140" w:type="dxa"/>
              <w:right w:w="140" w:type="dxa"/>
            </w:tcMar>
          </w:tcPr>
          <w:p>
            <w:pPr>
              <w:spacing w:before="0" w:after="0" w:line="269" w:lineRule="auto"/>
            </w:pPr>
            <w:r>
              <w:rPr>
                <w:b/>
                <w:color w:val="1E3A8A"/>
                <w:sz w:val="18"/>
              </w:rPr>
              <w:t xml:space="preserve">Executive Summary— </w:t>
            </w:r>
            <w:r>
              <w:rPr>
                <w:sz w:val="18"/>
              </w:rPr>
              <w:t>This progress report documents the development lifecycle, architectural transformation, and empirical findings for the Autonomous Financial Reconciliation Agent. Designed as a Compound AI System operating under the ReAct (Reasoning + Acting) paradigm, the agent coordinates a locked 5-tool deterministic pipeline to parse raw banking descriptors, enforce category budget rules, detect statistical anomalies, compute monthly budget variances, and formulate priority-weighted fund reallocations. Originally deployed as a file-based prototype using idealized synthetic data and translucent UI dashboards, the system has undergone a fundamental engineering overhaul: migrating to an embedded SQLite repository seeded with messy real-world Kaggle banking descriptors, introducing regex normalization and fuzzy similarity matching, quantifying error cascades via a novel 'Ledger Dollar Drift ($)' metric, and delivering a clean, solid, financial-grade executive interface. Across an 18-scenario ground-truth benchmark, the system attained 100.0% Plan-Sequence Correctness and 94.9% Recommendation Groundedness with 10/10 automated tests passing.</w:t>
            </w:r>
          </w:p>
        </w:tc>
      </w:tr>
    </w:tbl>
    <w:p>
      <w:pPr>
        <w:spacing w:after="60"/>
      </w:pPr>
    </w:p>
    <w:p>
      <w:pPr>
        <w:keepNext/>
        <w:spacing w:before="120" w:after="40"/>
      </w:pPr>
      <w:r>
        <w:rPr>
          <w:rFonts w:ascii="Calibri" w:hAnsi="Calibri"/>
          <w:b/>
          <w:color w:val="0F172A"/>
          <w:sz w:val="23"/>
        </w:rPr>
        <w:t>1. Problem Statement &amp; Real-World Financial Motivation</w:t>
      </w:r>
    </w:p>
    <w:p>
      <w:pPr>
        <w:spacing w:before="0" w:after="60" w:line="269" w:lineRule="auto"/>
      </w:pPr>
      <w:r>
        <w:rPr>
          <w:b/>
          <w:color w:val="0F172A"/>
          <w:sz w:val="19"/>
        </w:rPr>
        <w:t xml:space="preserve">The Single-Shot Classification Fallacy: </w:t>
      </w:r>
      <w:r>
        <w:rPr>
          <w:sz w:val="19"/>
        </w:rPr>
        <w:t>Contemporary Personal Finance Management (PFM) platforms (e.g., Mint, Rocket Money, YNAB, and retail banking apps) exhibit a fundamental architectural flaw: they treat transaction processing as isolated, single-turn classification events. In real-world banking, raw transaction descriptors received over clearing networks are cluttered with cryptographic POS IDs, merchant location codes, and arbitrary billing abbreviations (e.g., 'SQ *BLUE BOTTLE COFFEE #492 SFO CA' or 'TST* TRATTORIA BELLA - 4920 NYC'). Traditional systems attempt a single-point categorization guess and immediately terminate.</w:t>
      </w:r>
    </w:p>
    <w:p>
      <w:pPr>
        <w:spacing w:before="0" w:after="60" w:line="269" w:lineRule="auto"/>
      </w:pPr>
      <w:r>
        <w:rPr>
          <w:b/>
          <w:color w:val="0F172A"/>
          <w:sz w:val="19"/>
        </w:rPr>
        <w:t xml:space="preserve">Compounding Ledger Distortion: </w:t>
      </w:r>
      <w:r>
        <w:rPr>
          <w:sz w:val="19"/>
        </w:rPr>
        <w:t>Household and organizational financial accounts operate as interconnected liquidity envelopes. When a transaction is miscategorized—for instance, a $120.00 fine-dining bill misclassified as 'Groceries' instead of 'Dining'—a double-sided structural corruption occurs: (1) 'Dining' conceals an unmonitored deficit, preventing early behavioral intervention; and (2) 'Groceries' prematurely exhausts its monthly headroom, creating artificial financial panic. When users or automated advisory bots attempt to reconcile the month's budget, the advice is catastrophically inverted: recommending severe cuts to essential home food supplies while luxury restaurant spending continues unchecked.</w:t>
      </w:r>
    </w:p>
    <w:p>
      <w:pPr>
        <w:spacing w:before="0" w:after="60" w:line="269" w:lineRule="auto"/>
      </w:pPr>
      <w:r>
        <w:rPr>
          <w:b/>
          <w:color w:val="0F172A"/>
          <w:sz w:val="19"/>
        </w:rPr>
        <w:t xml:space="preserve">The Arithmetic Hallucination Hazard: </w:t>
      </w:r>
      <w:r>
        <w:rPr>
          <w:sz w:val="19"/>
        </w:rPr>
        <w:t>Recent attempts to utilize general-purpose Large Language Models (LLMs like ChatGPT) as financial assistants fail in production because LLMs suffer from arithmetic hallucination, cannot execute auditable balance checks, and blindly propagate upstream errors without verification checkpoints. There is a critical engineering need for an autonomous agent governed by deterministic mathematical tools that logs verifiable reasoning traces and models multi-step financial reconciliation as an auditable, causal sequence.</w:t>
      </w:r>
    </w:p>
    <w:p>
      <w:pPr>
        <w:keepNext/>
        <w:spacing w:before="120" w:after="40"/>
      </w:pPr>
      <w:r>
        <w:rPr>
          <w:rFonts w:ascii="Calibri" w:hAnsi="Calibri"/>
          <w:b/>
          <w:color w:val="0F172A"/>
          <w:sz w:val="23"/>
        </w:rPr>
        <w:t>2. Core Engineering Objectives &amp; Constraints</w:t>
      </w:r>
    </w:p>
    <w:p>
      <w:pPr>
        <w:pStyle w:val="ListBullet"/>
        <w:spacing w:before="0" w:after="40" w:line="269" w:lineRule="auto"/>
      </w:pPr>
      <w:r>
        <w:rPr>
          <w:b/>
          <w:color w:val="0F172A"/>
          <w:sz w:val="18"/>
        </w:rPr>
        <w:t xml:space="preserve">Deterministic Tool Execution: </w:t>
      </w:r>
      <w:r>
        <w:rPr>
          <w:sz w:val="18"/>
        </w:rPr>
        <w:t>Eliminate LLM math errors by delegating all arithmetic, variance calculations, and database queries to a fixed 5-tool deterministic pipeline.</w:t>
      </w:r>
    </w:p>
    <w:p>
      <w:pPr>
        <w:pStyle w:val="ListBullet"/>
        <w:spacing w:before="0" w:after="40" w:line="269" w:lineRule="auto"/>
      </w:pPr>
      <w:r>
        <w:rPr>
          <w:b/>
          <w:color w:val="0F172A"/>
          <w:sz w:val="18"/>
        </w:rPr>
        <w:t xml:space="preserve">Verifiable Reasoning Traces: </w:t>
      </w:r>
      <w:r>
        <w:rPr>
          <w:sz w:val="18"/>
        </w:rPr>
        <w:t>Capture every Thought, Tool Call, Action Argument, and Observation Output in a structured audit log conforming to financial compliance requirements.</w:t>
      </w:r>
    </w:p>
    <w:p>
      <w:pPr>
        <w:pStyle w:val="ListBullet"/>
        <w:spacing w:before="0" w:after="40" w:line="269" w:lineRule="auto"/>
      </w:pPr>
      <w:r>
        <w:rPr>
          <w:b/>
          <w:color w:val="0F172A"/>
          <w:sz w:val="18"/>
        </w:rPr>
        <w:t xml:space="preserve">Empirical Multi-Step Evaluation: </w:t>
      </w:r>
      <w:r>
        <w:rPr>
          <w:sz w:val="18"/>
        </w:rPr>
        <w:t>Establish an 18-scenario ground-truth benchmark to evaluate Plan-Sequence Correctness, Tool-Selection Accuracy, and Recommendation Groundedness.</w:t>
      </w:r>
    </w:p>
    <w:p>
      <w:pPr>
        <w:pStyle w:val="ListBullet"/>
        <w:spacing w:before="0" w:after="40" w:line="269" w:lineRule="auto"/>
      </w:pPr>
      <w:r>
        <w:rPr>
          <w:b/>
          <w:color w:val="0F172A"/>
          <w:sz w:val="18"/>
        </w:rPr>
        <w:t xml:space="preserve">Quantified Error Propagation: </w:t>
      </w:r>
      <w:r>
        <w:rPr>
          <w:sz w:val="18"/>
        </w:rPr>
        <w:t>Empirically measure the exact causal cascade of an early classification error and compute the resulting mathematical balance distortion.</w:t>
      </w:r>
    </w:p>
    <w:p>
      <w:r>
        <w:br w:type="page"/>
      </w:r>
    </w:p>
    <w:p>
      <w:pPr>
        <w:keepNext/>
        <w:spacing w:before="120" w:after="40"/>
      </w:pPr>
      <w:r>
        <w:rPr>
          <w:rFonts w:ascii="Calibri" w:hAnsi="Calibri"/>
          <w:b/>
          <w:color w:val="0F172A"/>
          <w:sz w:val="23"/>
        </w:rPr>
        <w:t>3. The Initial Prototype (V1 Architecture &amp; First Implementation)</w:t>
      </w:r>
    </w:p>
    <w:p>
      <w:pPr>
        <w:spacing w:before="0" w:after="60" w:line="269" w:lineRule="auto"/>
      </w:pPr>
      <w:r>
        <w:rPr>
          <w:b/>
          <w:color w:val="0F172A"/>
          <w:sz w:val="19"/>
        </w:rPr>
        <w:t xml:space="preserve">Prototype Foundation: </w:t>
      </w:r>
      <w:r>
        <w:rPr>
          <w:sz w:val="19"/>
        </w:rPr>
        <w:t>The first functional prototype was engineered to validate whether an LLM operating under the ReAct (Reasoning + Acting) framework could autonomously orchestrate multi-step financial reconciliation tasks. The initial prototype was designed around a fixed catalog of five tools coordinated by an autonomous agent orchestrator:</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1E293B"/>
            <w:tcMar>
              <w:top w:w="60" w:type="dxa"/>
              <w:bottom w:w="60" w:type="dxa"/>
              <w:left w:w="80" w:type="dxa"/>
              <w:right w:w="80" w:type="dxa"/>
            </w:tcMar>
          </w:tcPr>
          <w:p>
            <w:r>
              <w:rPr>
                <w:b/>
                <w:color w:val="FFFFFF"/>
                <w:sz w:val="17"/>
              </w:rPr>
              <w:t>Tool Name</w:t>
            </w:r>
          </w:p>
        </w:tc>
        <w:tc>
          <w:tcPr>
            <w:tcW w:type="dxa" w:w="3312"/>
            <w:shd w:fill="1E293B"/>
            <w:tcMar>
              <w:top w:w="60" w:type="dxa"/>
              <w:bottom w:w="60" w:type="dxa"/>
              <w:left w:w="80" w:type="dxa"/>
              <w:right w:w="80" w:type="dxa"/>
            </w:tcMar>
          </w:tcPr>
          <w:p>
            <w:r>
              <w:rPr>
                <w:b/>
                <w:color w:val="FFFFFF"/>
                <w:sz w:val="17"/>
              </w:rPr>
              <w:t>Initial V1 Logic</w:t>
            </w:r>
          </w:p>
        </w:tc>
        <w:tc>
          <w:tcPr>
            <w:tcW w:type="dxa" w:w="4320"/>
            <w:shd w:fill="1E293B"/>
            <w:tcMar>
              <w:top w:w="60" w:type="dxa"/>
              <w:bottom w:w="60" w:type="dxa"/>
              <w:left w:w="80" w:type="dxa"/>
              <w:right w:w="80" w:type="dxa"/>
            </w:tcMar>
          </w:tcPr>
          <w:p>
            <w:r>
              <w:rPr>
                <w:b/>
                <w:color w:val="FFFFFF"/>
                <w:sz w:val="17"/>
              </w:rPr>
              <w:t>Intended Financial Function</w:t>
            </w:r>
          </w:p>
        </w:tc>
      </w:tr>
      <w:tr>
        <w:tc>
          <w:tcPr>
            <w:tcW w:type="dxa" w:w="2592"/>
            <w:shd w:fill="F8FAFC"/>
            <w:tcMar>
              <w:top w:w="50" w:type="dxa"/>
              <w:bottom w:w="50" w:type="dxa"/>
              <w:left w:w="80" w:type="dxa"/>
              <w:right w:w="80" w:type="dxa"/>
            </w:tcMar>
          </w:tcPr>
          <w:p>
            <w:r>
              <w:rPr>
                <w:b/>
                <w:sz w:val="17"/>
              </w:rPr>
              <w:t>categorize_transaction</w:t>
            </w:r>
          </w:p>
        </w:tc>
        <w:tc>
          <w:tcPr>
            <w:tcW w:type="dxa" w:w="3312"/>
            <w:shd w:fill="F8FAFC"/>
            <w:tcMar>
              <w:top w:w="50" w:type="dxa"/>
              <w:bottom w:w="50" w:type="dxa"/>
              <w:left w:w="80" w:type="dxa"/>
              <w:right w:w="80" w:type="dxa"/>
            </w:tcMar>
          </w:tcPr>
          <w:p>
            <w:r>
              <w:rPr>
                <w:sz w:val="17"/>
              </w:rPr>
              <w:t>Substring lookups &amp; hardcoded keyword dict</w:t>
            </w:r>
          </w:p>
        </w:tc>
        <w:tc>
          <w:tcPr>
            <w:tcW w:type="dxa" w:w="4320"/>
            <w:shd w:fill="F8FAFC"/>
            <w:tcMar>
              <w:top w:w="50" w:type="dxa"/>
              <w:bottom w:w="50" w:type="dxa"/>
              <w:left w:w="80" w:type="dxa"/>
              <w:right w:w="80" w:type="dxa"/>
            </w:tcMar>
          </w:tcPr>
          <w:p>
            <w:r>
              <w:rPr>
                <w:sz w:val="17"/>
              </w:rPr>
              <w:t>Map merchant string to 1 of 8 budget categories</w:t>
            </w:r>
          </w:p>
        </w:tc>
      </w:tr>
      <w:tr>
        <w:tc>
          <w:tcPr>
            <w:tcW w:type="dxa" w:w="2592"/>
            <w:tcMar>
              <w:top w:w="50" w:type="dxa"/>
              <w:bottom w:w="50" w:type="dxa"/>
              <w:left w:w="80" w:type="dxa"/>
              <w:right w:w="80" w:type="dxa"/>
            </w:tcMar>
          </w:tcPr>
          <w:p>
            <w:r>
              <w:rPr>
                <w:b/>
                <w:sz w:val="17"/>
              </w:rPr>
              <w:t>check_against_budget_rule</w:t>
            </w:r>
          </w:p>
        </w:tc>
        <w:tc>
          <w:tcPr>
            <w:tcW w:type="dxa" w:w="3312"/>
            <w:tcMar>
              <w:top w:w="50" w:type="dxa"/>
              <w:bottom w:w="50" w:type="dxa"/>
              <w:left w:w="80" w:type="dxa"/>
              <w:right w:w="80" w:type="dxa"/>
            </w:tcMar>
          </w:tcPr>
          <w:p>
            <w:r>
              <w:rPr>
                <w:sz w:val="17"/>
              </w:rPr>
              <w:t>Linear scan of synthetic_transactions.json</w:t>
            </w:r>
          </w:p>
        </w:tc>
        <w:tc>
          <w:tcPr>
            <w:tcW w:type="dxa" w:w="4320"/>
            <w:tcMar>
              <w:top w:w="50" w:type="dxa"/>
              <w:bottom w:w="50" w:type="dxa"/>
              <w:left w:w="80" w:type="dxa"/>
              <w:right w:w="80" w:type="dxa"/>
            </w:tcMar>
          </w:tcPr>
          <w:p>
            <w:r>
              <w:rPr>
                <w:sz w:val="17"/>
              </w:rPr>
              <w:t>Evaluate current monthly spend against budget ceiling</w:t>
            </w:r>
          </w:p>
        </w:tc>
      </w:tr>
      <w:tr>
        <w:tc>
          <w:tcPr>
            <w:tcW w:type="dxa" w:w="2592"/>
            <w:shd w:fill="F8FAFC"/>
            <w:tcMar>
              <w:top w:w="50" w:type="dxa"/>
              <w:bottom w:w="50" w:type="dxa"/>
              <w:left w:w="80" w:type="dxa"/>
              <w:right w:w="80" w:type="dxa"/>
            </w:tcMar>
          </w:tcPr>
          <w:p>
            <w:r>
              <w:rPr>
                <w:b/>
                <w:sz w:val="17"/>
              </w:rPr>
              <w:t>flag_anomaly</w:t>
            </w:r>
          </w:p>
        </w:tc>
        <w:tc>
          <w:tcPr>
            <w:tcW w:type="dxa" w:w="3312"/>
            <w:shd w:fill="F8FAFC"/>
            <w:tcMar>
              <w:top w:w="50" w:type="dxa"/>
              <w:bottom w:w="50" w:type="dxa"/>
              <w:left w:w="80" w:type="dxa"/>
              <w:right w:w="80" w:type="dxa"/>
            </w:tcMar>
          </w:tcPr>
          <w:p>
            <w:r>
              <w:rPr>
                <w:sz w:val="17"/>
              </w:rPr>
              <w:t>Static 3x multiplier &amp; hardcoded blacklist</w:t>
            </w:r>
          </w:p>
        </w:tc>
        <w:tc>
          <w:tcPr>
            <w:tcW w:type="dxa" w:w="4320"/>
            <w:shd w:fill="F8FAFC"/>
            <w:tcMar>
              <w:top w:w="50" w:type="dxa"/>
              <w:bottom w:w="50" w:type="dxa"/>
              <w:left w:w="80" w:type="dxa"/>
              <w:right w:w="80" w:type="dxa"/>
            </w:tcMar>
          </w:tcPr>
          <w:p>
            <w:r>
              <w:rPr>
                <w:sz w:val="17"/>
              </w:rPr>
              <w:t>Identify amount spikes and suspicious merchants</w:t>
            </w:r>
          </w:p>
        </w:tc>
      </w:tr>
      <w:tr>
        <w:tc>
          <w:tcPr>
            <w:tcW w:type="dxa" w:w="2592"/>
            <w:tcMar>
              <w:top w:w="50" w:type="dxa"/>
              <w:bottom w:w="50" w:type="dxa"/>
              <w:left w:w="80" w:type="dxa"/>
              <w:right w:w="80" w:type="dxa"/>
            </w:tcMar>
          </w:tcPr>
          <w:p>
            <w:r>
              <w:rPr>
                <w:b/>
                <w:sz w:val="17"/>
              </w:rPr>
              <w:t>calculate_category_variance</w:t>
            </w:r>
          </w:p>
        </w:tc>
        <w:tc>
          <w:tcPr>
            <w:tcW w:type="dxa" w:w="3312"/>
            <w:tcMar>
              <w:top w:w="50" w:type="dxa"/>
              <w:bottom w:w="50" w:type="dxa"/>
              <w:left w:w="80" w:type="dxa"/>
              <w:right w:w="80" w:type="dxa"/>
            </w:tcMar>
          </w:tcPr>
          <w:p>
            <w:r>
              <w:rPr>
                <w:sz w:val="17"/>
              </w:rPr>
              <w:t>In-memory Python dictionary accumulation</w:t>
            </w:r>
          </w:p>
        </w:tc>
        <w:tc>
          <w:tcPr>
            <w:tcW w:type="dxa" w:w="4320"/>
            <w:tcMar>
              <w:top w:w="50" w:type="dxa"/>
              <w:bottom w:w="50" w:type="dxa"/>
              <w:left w:w="80" w:type="dxa"/>
              <w:right w:w="80" w:type="dxa"/>
            </w:tcMar>
          </w:tcPr>
          <w:p>
            <w:r>
              <w:rPr>
                <w:sz w:val="17"/>
              </w:rPr>
              <w:t>Compute period deficit/surplus across categories</w:t>
            </w:r>
          </w:p>
        </w:tc>
      </w:tr>
      <w:tr>
        <w:tc>
          <w:tcPr>
            <w:tcW w:type="dxa" w:w="2592"/>
            <w:shd w:fill="F8FAFC"/>
            <w:tcMar>
              <w:top w:w="50" w:type="dxa"/>
              <w:bottom w:w="50" w:type="dxa"/>
              <w:left w:w="80" w:type="dxa"/>
              <w:right w:w="80" w:type="dxa"/>
            </w:tcMar>
          </w:tcPr>
          <w:p>
            <w:r>
              <w:rPr>
                <w:b/>
                <w:sz w:val="17"/>
              </w:rPr>
              <w:t>propose_reallocation</w:t>
            </w:r>
          </w:p>
        </w:tc>
        <w:tc>
          <w:tcPr>
            <w:tcW w:type="dxa" w:w="3312"/>
            <w:shd w:fill="F8FAFC"/>
            <w:tcMar>
              <w:top w:w="50" w:type="dxa"/>
              <w:bottom w:w="50" w:type="dxa"/>
              <w:left w:w="80" w:type="dxa"/>
              <w:right w:w="80" w:type="dxa"/>
            </w:tcMar>
          </w:tcPr>
          <w:p>
            <w:r>
              <w:rPr>
                <w:sz w:val="17"/>
              </w:rPr>
              <w:t>Basic greedy surplus-to-deficit transfer</w:t>
            </w:r>
          </w:p>
        </w:tc>
        <w:tc>
          <w:tcPr>
            <w:tcW w:type="dxa" w:w="4320"/>
            <w:shd w:fill="F8FAFC"/>
            <w:tcMar>
              <w:top w:w="50" w:type="dxa"/>
              <w:bottom w:w="50" w:type="dxa"/>
              <w:left w:w="80" w:type="dxa"/>
              <w:right w:w="80" w:type="dxa"/>
            </w:tcMar>
          </w:tcPr>
          <w:p>
            <w:r>
              <w:rPr>
                <w:sz w:val="17"/>
              </w:rPr>
              <w:t>Rebalance deficits from available surplus envelopes</w:t>
            </w:r>
          </w:p>
        </w:tc>
      </w:tr>
    </w:tbl>
    <w:p>
      <w:pPr>
        <w:spacing w:after="60"/>
      </w:pPr>
    </w:p>
    <w:p>
      <w:pPr>
        <w:keepNext/>
        <w:spacing w:before="120" w:after="40"/>
      </w:pPr>
      <w:r>
        <w:rPr>
          <w:rFonts w:ascii="Calibri" w:hAnsi="Calibri"/>
          <w:b/>
          <w:color w:val="1E3A8A"/>
          <w:sz w:val="20"/>
        </w:rPr>
        <w:t>4. Initial Prototype Characteristics &amp; Design Limitations</w:t>
      </w:r>
    </w:p>
    <w:p>
      <w:pPr>
        <w:spacing w:before="0" w:after="60" w:line="269" w:lineRule="auto"/>
      </w:pPr>
      <w:r>
        <w:rPr>
          <w:b/>
          <w:color w:val="0F172A"/>
          <w:sz w:val="19"/>
        </w:rPr>
        <w:t xml:space="preserve">Audit Findings: </w:t>
      </w:r>
      <w:r>
        <w:rPr>
          <w:sz w:val="19"/>
        </w:rPr>
        <w:t>While the V1 prototype successfully proved that the agent loop could dispatch function calls sequentially, a rigorous code and system audit revealed four critical limitations that prevented it from representing a realistic financial tool:</w:t>
      </w:r>
    </w:p>
    <w:p>
      <w:pPr>
        <w:pStyle w:val="ListBullet"/>
        <w:spacing w:before="0" w:after="40" w:line="269" w:lineRule="auto"/>
      </w:pPr>
      <w:r>
        <w:rPr>
          <w:b/>
          <w:color w:val="0F172A"/>
          <w:sz w:val="18"/>
        </w:rPr>
        <w:t xml:space="preserve">1. Idealized Flat-File Data Layer (Synthetic Bias): </w:t>
      </w:r>
      <w:r>
        <w:rPr>
          <w:sz w:val="18"/>
        </w:rPr>
        <w:t>All transactions were stored in static JSON files ('synthetic_transactions.json'). Merchants possessed pristine, unrealistic strings (e.g., 'Blue Bottle Coffee', 'ConEdison', 'Whole Foods'). Real clearing strings with prefixes ('SQ *', 'TST*') or POS store IDs were completely absent. Furthermore, repeated disk I/O to parse JSON on every single step introduced severe latency and concurrency locks.</w:t>
      </w:r>
    </w:p>
    <w:p>
      <w:pPr>
        <w:pStyle w:val="ListBullet"/>
        <w:spacing w:before="0" w:after="40" w:line="269" w:lineRule="auto"/>
      </w:pPr>
      <w:r>
        <w:rPr>
          <w:b/>
          <w:color w:val="0F172A"/>
          <w:sz w:val="18"/>
        </w:rPr>
        <w:t xml:space="preserve">2. Circular &amp; Artificially Inflated Benchmark: </w:t>
      </w:r>
      <w:r>
        <w:rPr>
          <w:sz w:val="18"/>
        </w:rPr>
        <w:t>The initial benchmark evaluated 18 scenarios against the identical clean synthetic data. Because test prompts used pristine merchant names, the agent achieved an unearned 100% score that masked the brittleness of substring matching when faced with real-world descriptor ambiguity.</w:t>
      </w:r>
    </w:p>
    <w:p>
      <w:pPr>
        <w:pStyle w:val="ListBullet"/>
        <w:spacing w:before="0" w:after="40" w:line="269" w:lineRule="auto"/>
      </w:pPr>
      <w:r>
        <w:rPr>
          <w:b/>
          <w:color w:val="0F172A"/>
          <w:sz w:val="18"/>
        </w:rPr>
        <w:t xml:space="preserve">3. Binary, Non-Financial Error Cascade Tracking: </w:t>
      </w:r>
      <w:r>
        <w:rPr>
          <w:sz w:val="18"/>
        </w:rPr>
        <w:t>The initial error propagation module evaluated failures as a simple boolean flag ('is_corrupted: True/False'). It failed to quantify the actual monetary consequences of an error, offering no metrics for total balance distortion across budget categories.</w:t>
      </w:r>
    </w:p>
    <w:p>
      <w:pPr>
        <w:pStyle w:val="ListBullet"/>
        <w:spacing w:before="0" w:after="40" w:line="269" w:lineRule="auto"/>
      </w:pPr>
      <w:r>
        <w:rPr>
          <w:b/>
          <w:color w:val="0F172A"/>
          <w:sz w:val="18"/>
        </w:rPr>
        <w:t xml:space="preserve">4. Cluttered, Developer-Centric UI ('See-Through' Glassmorphism): </w:t>
      </w:r>
      <w:r>
        <w:rPr>
          <w:sz w:val="18"/>
        </w:rPr>
        <w:t>The original web dashboard relied on translucent blurred panels ('backdrop-filter: blur(16px)') and dumped raw, unformatted JSON blocks ('&lt;pre class="code-block"&gt;{...}&lt;/pre&gt;') directly into the user interface. It was cluttered with informal emojis ('⚡', '🚀', '💥', '🚨') and failed to present actionable financial intelligence to auditors or end users.</w:t>
      </w:r>
    </w:p>
    <w:p>
      <w:pPr>
        <w:keepNext/>
        <w:spacing w:before="120" w:after="40"/>
      </w:pPr>
      <w:r>
        <w:rPr>
          <w:rFonts w:ascii="Calibri" w:hAnsi="Calibri"/>
          <w:b/>
          <w:color w:val="1E3A8A"/>
          <w:sz w:val="20"/>
        </w:rPr>
        <w:t>5. Technical Debt Analysis &amp; Decision to Refactor</w:t>
      </w:r>
    </w:p>
    <w:p>
      <w:pPr>
        <w:spacing w:before="0" w:after="60" w:line="269" w:lineRule="auto"/>
      </w:pPr>
      <w:r>
        <w:rPr>
          <w:b/>
          <w:color w:val="0F172A"/>
          <w:sz w:val="19"/>
        </w:rPr>
        <w:t xml:space="preserve">Strategic Pivot: </w:t>
      </w:r>
      <w:r>
        <w:rPr>
          <w:sz w:val="19"/>
        </w:rPr>
        <w:t>Following initial reviews and feedback, it was determined that the prototype could not remain an academic 'toy demonstration'. To serve as a robust capstone submission and viable financial tool, the system required an end-to-end refactoring: transitioning from synthetic JSON mocks to a real relational database, replacing brittle substring logic with robust fuzzy NLP pipelines, formulating a rigorous mathematical error metric, and transforming the visual presentation into an executive-grade financial ledger.</w:t>
      </w:r>
    </w:p>
    <w:p>
      <w:r>
        <w:br w:type="page"/>
      </w:r>
    </w:p>
    <w:p>
      <w:pPr>
        <w:keepNext/>
        <w:spacing w:before="120" w:after="40"/>
      </w:pPr>
      <w:r>
        <w:rPr>
          <w:rFonts w:ascii="Calibri" w:hAnsi="Calibri"/>
          <w:b/>
          <w:color w:val="0F172A"/>
          <w:sz w:val="23"/>
        </w:rPr>
        <w:t>6. Major Changes &amp; System Refinements Made (V2 Enhanced State)</w:t>
      </w:r>
    </w:p>
    <w:p>
      <w:pPr>
        <w:spacing w:before="0" w:after="60" w:line="269" w:lineRule="auto"/>
      </w:pPr>
      <w:r>
        <w:rPr>
          <w:b/>
          <w:color w:val="0F172A"/>
          <w:sz w:val="19"/>
        </w:rPr>
        <w:t xml:space="preserve">Comprehensive Refactoring: </w:t>
      </w:r>
      <w:r>
        <w:rPr>
          <w:sz w:val="19"/>
        </w:rPr>
        <w:t>To resolve the architectural deficiencies of the initial prototype, a systematic engineering sprint was executed. The upgrades span the data storage engine, NLP descriptor normalizers, relational aggregation queries, scientific error metrics, and user interface:</w:t>
      </w:r>
    </w:p>
    <w:p>
      <w:pPr>
        <w:pStyle w:val="ListBullet"/>
        <w:spacing w:before="0" w:after="40" w:line="269" w:lineRule="auto"/>
      </w:pPr>
      <w:r>
        <w:rPr>
          <w:b/>
          <w:color w:val="0F172A"/>
          <w:sz w:val="18"/>
        </w:rPr>
        <w:t xml:space="preserve">A. Relational Data Layer Migration (SQLite + Kaggle Dataset): </w:t>
      </w:r>
      <w:r>
        <w:rPr>
          <w:sz w:val="18"/>
        </w:rPr>
        <w:t>Eliminated repeated JSON file reads by engineering an embedded SQLite repository ('data/reconciliation.db') with indexed relational tables: 'transactions', 'budget_rules', and 'audit_logs'. Seeded the database with 4 months of realistic banking records (~250 transactions) derived from standard Kaggle personal finance datasets. Transactions now incorporate authentic clearing noise: 'SQ *BLUE BOTTLE COFFEE - WILLIAMSBURG', 'TST* TRATTORIA BELLA - 4920 NYC', 'AMZN Mktp US*2K83J1', and 'CONEDISON NYC ELEC ACH 91024', along with lifecycle status tracking ('posted' vs. 'pending').</w:t>
      </w:r>
    </w:p>
    <w:p>
      <w:pPr>
        <w:pStyle w:val="ListBullet"/>
        <w:spacing w:before="0" w:after="40" w:line="269" w:lineRule="auto"/>
      </w:pPr>
      <w:r>
        <w:rPr>
          <w:b/>
          <w:color w:val="0F172A"/>
          <w:sz w:val="18"/>
        </w:rPr>
        <w:t xml:space="preserve">B. Advanced Descriptor Normalization &amp; Fuzzy Classification: </w:t>
      </w:r>
      <w:r>
        <w:rPr>
          <w:sz w:val="18"/>
        </w:rPr>
        <w:t>Completely rebuilt 'tools/categorize_transaction.py'. Implemented an industrial-grade regex cleaning pipeline ('normalize_descriptor()') that systematically strips payment gateway prefixes ('SQ *', 'TST*', 'PAYPAL *'), store numbers ('#492', 'T-2849'), phone numbers, and state/city codes. Replaced rigid substring matching with Python's 'SequenceMatcher' fuzzy ratio scoring paired with calibrated confidence bounds: High Confidence (≥ 0.85; auto-assign), Medium Review (0.60–0.84), and Ambiguous (&lt; 0.60; explicitly declines to guess to prevent hallucination).</w:t>
      </w:r>
    </w:p>
    <w:p>
      <w:pPr>
        <w:pStyle w:val="ListBullet"/>
        <w:spacing w:before="0" w:after="40" w:line="269" w:lineRule="auto"/>
      </w:pPr>
      <w:r>
        <w:rPr>
          <w:b/>
          <w:color w:val="0F172A"/>
          <w:sz w:val="18"/>
        </w:rPr>
        <w:t xml:space="preserve">C. SQL Aggregations &amp; Baseline Statistical Queries: </w:t>
      </w:r>
      <w:r>
        <w:rPr>
          <w:sz w:val="18"/>
        </w:rPr>
        <w:t>Refactored 'check_against_budget_rule.py', 'flag_anomaly.py', and 'calculate_category_variance.py' to execute optimized SQL aggregations ('SELECT COALESCE(SUM(amount), 0.0) FROM transactions WHERE ...' and SQL 'LEFT JOIN' operations) directly against SQLite. Statistical anomaly detection now dynamically queries historical category standard deviations rather than relying on hardcoded static limits.</w:t>
      </w:r>
    </w:p>
    <w:p>
      <w:pPr>
        <w:pStyle w:val="ListBullet"/>
        <w:spacing w:before="0" w:after="40" w:line="269" w:lineRule="auto"/>
      </w:pPr>
      <w:r>
        <w:rPr>
          <w:b/>
          <w:color w:val="0F172A"/>
          <w:sz w:val="18"/>
        </w:rPr>
        <w:t xml:space="preserve">D. Priority-Constrained Budget Reallocation Algorithm: </w:t>
      </w:r>
      <w:r>
        <w:rPr>
          <w:sz w:val="18"/>
        </w:rPr>
        <w:t>Upgraded 'propose_reallocation.py' to execute a priority-weighted rebalancing model. Surplus funds are drawn strictly from discretionary categories ordered by flexibility weight (Entertainment: 1.0, Dining: 0.9, Shopping: 0.8), while strictly locking non-discretionary necessities (Housing: 0.0, Healthcare: 0.1, Utilities: 0.1). Every proposed adjustment generates a mathematically verifiable rationale.</w:t>
      </w:r>
    </w:p>
    <w:p>
      <w:pPr>
        <w:pStyle w:val="ListBullet"/>
        <w:spacing w:before="0" w:after="40" w:line="269" w:lineRule="auto"/>
      </w:pPr>
      <w:r>
        <w:rPr>
          <w:b/>
          <w:color w:val="0F172A"/>
          <w:sz w:val="18"/>
        </w:rPr>
        <w:t xml:space="preserve">E. Solid Financial-Grade Interface (Removed Raw Code &amp; Blurs): </w:t>
      </w:r>
      <w:r>
        <w:rPr>
          <w:sz w:val="18"/>
        </w:rPr>
        <w:t>Stripped all translucent glassmorphism in favor of a high-contrast, matte financial palette ('#090d16' canvas, '#111726' cards, '#232f48' borders). Replaced raw JSON code blocks with formatted Executive Audit Cards displaying Clean Merchant, Category, Confidence %, Budget Utilization, and Status badges. Raw tool payloads were relegated to an unobtrusive collapsible drawer ('[+ Inspect Raw Tool Arguments &amp; Output]').</w:t>
      </w:r>
    </w:p>
    <w:p>
      <w:pPr>
        <w:spacing w:after="40"/>
      </w:pPr>
    </w:p>
    <w:p>
      <w:pPr>
        <w:keepNext/>
        <w:spacing w:before="120" w:after="40"/>
      </w:pPr>
      <w:r>
        <w:rPr>
          <w:rFonts w:ascii="Calibri" w:hAnsi="Calibri"/>
          <w:b/>
          <w:color w:val="1E3A8A"/>
          <w:sz w:val="20"/>
        </w:rPr>
        <w:t>7. Architectural Evolution Matrix (V1 Prototype vs. V2 Enhanced State)</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1E293B"/>
            <w:tcMar>
              <w:top w:w="50" w:type="dxa"/>
              <w:bottom w:w="50" w:type="dxa"/>
              <w:left w:w="80" w:type="dxa"/>
              <w:right w:w="80" w:type="dxa"/>
            </w:tcMar>
          </w:tcPr>
          <w:p>
            <w:r>
              <w:rPr>
                <w:b/>
                <w:color w:val="FFFFFF"/>
                <w:sz w:val="17"/>
              </w:rPr>
              <w:t>System Dimension</w:t>
            </w:r>
          </w:p>
        </w:tc>
        <w:tc>
          <w:tcPr>
            <w:tcW w:type="dxa" w:w="3744"/>
            <w:shd w:fill="1E293B"/>
            <w:tcMar>
              <w:top w:w="50" w:type="dxa"/>
              <w:bottom w:w="50" w:type="dxa"/>
              <w:left w:w="80" w:type="dxa"/>
              <w:right w:w="80" w:type="dxa"/>
            </w:tcMar>
          </w:tcPr>
          <w:p>
            <w:r>
              <w:rPr>
                <w:b/>
                <w:color w:val="FFFFFF"/>
                <w:sz w:val="17"/>
              </w:rPr>
              <w:t>Initial Prototype (V1)</w:t>
            </w:r>
          </w:p>
        </w:tc>
        <w:tc>
          <w:tcPr>
            <w:tcW w:type="dxa" w:w="3888"/>
            <w:shd w:fill="1E293B"/>
            <w:tcMar>
              <w:top w:w="50" w:type="dxa"/>
              <w:bottom w:w="50" w:type="dxa"/>
              <w:left w:w="80" w:type="dxa"/>
              <w:right w:w="80" w:type="dxa"/>
            </w:tcMar>
          </w:tcPr>
          <w:p>
            <w:r>
              <w:rPr>
                <w:b/>
                <w:color w:val="FFFFFF"/>
                <w:sz w:val="17"/>
              </w:rPr>
              <w:t>Enhanced Current System (V2)</w:t>
            </w:r>
          </w:p>
        </w:tc>
      </w:tr>
      <w:tr>
        <w:tc>
          <w:tcPr>
            <w:tcW w:type="dxa" w:w="2592"/>
            <w:shd w:fill="F8FAFC"/>
            <w:tcMar>
              <w:top w:w="45" w:type="dxa"/>
              <w:bottom w:w="45" w:type="dxa"/>
              <w:left w:w="80" w:type="dxa"/>
              <w:right w:w="80" w:type="dxa"/>
            </w:tcMar>
          </w:tcPr>
          <w:p>
            <w:r>
              <w:rPr>
                <w:b/>
                <w:sz w:val="17"/>
              </w:rPr>
              <w:t>Data Persistence</w:t>
            </w:r>
          </w:p>
        </w:tc>
        <w:tc>
          <w:tcPr>
            <w:tcW w:type="dxa" w:w="3744"/>
            <w:shd w:fill="F8FAFC"/>
            <w:tcMar>
              <w:top w:w="45" w:type="dxa"/>
              <w:bottom w:w="45" w:type="dxa"/>
              <w:left w:w="80" w:type="dxa"/>
              <w:right w:w="80" w:type="dxa"/>
            </w:tcMar>
          </w:tcPr>
          <w:p>
            <w:r>
              <w:rPr>
                <w:sz w:val="17"/>
              </w:rPr>
              <w:t>Static JSON flat files; full file re-read per step</w:t>
            </w:r>
          </w:p>
        </w:tc>
        <w:tc>
          <w:tcPr>
            <w:tcW w:type="dxa" w:w="3888"/>
            <w:shd w:fill="F8FAFC"/>
            <w:tcMar>
              <w:top w:w="45" w:type="dxa"/>
              <w:bottom w:w="45" w:type="dxa"/>
              <w:left w:w="80" w:type="dxa"/>
              <w:right w:w="80" w:type="dxa"/>
            </w:tcMar>
          </w:tcPr>
          <w:p>
            <w:r>
              <w:rPr>
                <w:sz w:val="17"/>
              </w:rPr>
              <w:t>Embedded SQLite (reconciliation.db) with relational tables</w:t>
            </w:r>
          </w:p>
        </w:tc>
      </w:tr>
      <w:tr>
        <w:tc>
          <w:tcPr>
            <w:tcW w:type="dxa" w:w="2592"/>
            <w:tcMar>
              <w:top w:w="45" w:type="dxa"/>
              <w:bottom w:w="45" w:type="dxa"/>
              <w:left w:w="80" w:type="dxa"/>
              <w:right w:w="80" w:type="dxa"/>
            </w:tcMar>
          </w:tcPr>
          <w:p>
            <w:r>
              <w:rPr>
                <w:b/>
                <w:sz w:val="17"/>
              </w:rPr>
              <w:t>Data Realism</w:t>
            </w:r>
          </w:p>
        </w:tc>
        <w:tc>
          <w:tcPr>
            <w:tcW w:type="dxa" w:w="3744"/>
            <w:tcMar>
              <w:top w:w="45" w:type="dxa"/>
              <w:bottom w:w="45" w:type="dxa"/>
              <w:left w:w="80" w:type="dxa"/>
              <w:right w:w="80" w:type="dxa"/>
            </w:tcMar>
          </w:tcPr>
          <w:p>
            <w:r>
              <w:rPr>
                <w:sz w:val="17"/>
              </w:rPr>
              <w:t>Pristine synthetic strings ('Blue Bottle Coffee')</w:t>
            </w:r>
          </w:p>
        </w:tc>
        <w:tc>
          <w:tcPr>
            <w:tcW w:type="dxa" w:w="3888"/>
            <w:tcMar>
              <w:top w:w="45" w:type="dxa"/>
              <w:bottom w:w="45" w:type="dxa"/>
              <w:left w:w="80" w:type="dxa"/>
              <w:right w:w="80" w:type="dxa"/>
            </w:tcMar>
          </w:tcPr>
          <w:p>
            <w:r>
              <w:rPr>
                <w:sz w:val="17"/>
              </w:rPr>
              <w:t>Messy Kaggle banking descriptors ('SQ *BLUE BOTTLE #492')</w:t>
            </w:r>
          </w:p>
        </w:tc>
      </w:tr>
      <w:tr>
        <w:tc>
          <w:tcPr>
            <w:tcW w:type="dxa" w:w="2592"/>
            <w:shd w:fill="F8FAFC"/>
            <w:tcMar>
              <w:top w:w="45" w:type="dxa"/>
              <w:bottom w:w="45" w:type="dxa"/>
              <w:left w:w="80" w:type="dxa"/>
              <w:right w:w="80" w:type="dxa"/>
            </w:tcMar>
          </w:tcPr>
          <w:p>
            <w:r>
              <w:rPr>
                <w:b/>
                <w:sz w:val="17"/>
              </w:rPr>
              <w:t>Categorization Engine</w:t>
            </w:r>
          </w:p>
        </w:tc>
        <w:tc>
          <w:tcPr>
            <w:tcW w:type="dxa" w:w="3744"/>
            <w:shd w:fill="F8FAFC"/>
            <w:tcMar>
              <w:top w:w="45" w:type="dxa"/>
              <w:bottom w:w="45" w:type="dxa"/>
              <w:left w:w="80" w:type="dxa"/>
              <w:right w:w="80" w:type="dxa"/>
            </w:tcMar>
          </w:tcPr>
          <w:p>
            <w:r>
              <w:rPr>
                <w:sz w:val="17"/>
              </w:rPr>
              <w:t>Rigid substring &amp; hardcoded dictionary lookup</w:t>
            </w:r>
          </w:p>
        </w:tc>
        <w:tc>
          <w:tcPr>
            <w:tcW w:type="dxa" w:w="3888"/>
            <w:shd w:fill="F8FAFC"/>
            <w:tcMar>
              <w:top w:w="45" w:type="dxa"/>
              <w:bottom w:w="45" w:type="dxa"/>
              <w:left w:w="80" w:type="dxa"/>
              <w:right w:w="80" w:type="dxa"/>
            </w:tcMar>
          </w:tcPr>
          <w:p>
            <w:r>
              <w:rPr>
                <w:sz w:val="17"/>
              </w:rPr>
              <w:t>Regex clearing pipeline + Fuzzy ratio + Confidence thresholds</w:t>
            </w:r>
          </w:p>
        </w:tc>
      </w:tr>
      <w:tr>
        <w:tc>
          <w:tcPr>
            <w:tcW w:type="dxa" w:w="2592"/>
            <w:tcMar>
              <w:top w:w="45" w:type="dxa"/>
              <w:bottom w:w="45" w:type="dxa"/>
              <w:left w:w="80" w:type="dxa"/>
              <w:right w:w="80" w:type="dxa"/>
            </w:tcMar>
          </w:tcPr>
          <w:p>
            <w:r>
              <w:rPr>
                <w:b/>
                <w:sz w:val="17"/>
              </w:rPr>
              <w:t>Error Evaluation</w:t>
            </w:r>
          </w:p>
        </w:tc>
        <w:tc>
          <w:tcPr>
            <w:tcW w:type="dxa" w:w="3744"/>
            <w:tcMar>
              <w:top w:w="45" w:type="dxa"/>
              <w:bottom w:w="45" w:type="dxa"/>
              <w:left w:w="80" w:type="dxa"/>
              <w:right w:w="80" w:type="dxa"/>
            </w:tcMar>
          </w:tcPr>
          <w:p>
            <w:r>
              <w:rPr>
                <w:sz w:val="17"/>
              </w:rPr>
              <w:t>Binary boolean flag ('is_corrupted: True/False')</w:t>
            </w:r>
          </w:p>
        </w:tc>
        <w:tc>
          <w:tcPr>
            <w:tcW w:type="dxa" w:w="3888"/>
            <w:tcMar>
              <w:top w:w="45" w:type="dxa"/>
              <w:bottom w:w="45" w:type="dxa"/>
              <w:left w:w="80" w:type="dxa"/>
              <w:right w:w="80" w:type="dxa"/>
            </w:tcMar>
          </w:tcPr>
          <w:p>
            <w:r>
              <w:rPr>
                <w:sz w:val="17"/>
              </w:rPr>
              <w:t>Quantitative Ledger Dollar Drift ($) tracking 2X variance distortion</w:t>
            </w:r>
          </w:p>
        </w:tc>
      </w:tr>
      <w:tr>
        <w:tc>
          <w:tcPr>
            <w:tcW w:type="dxa" w:w="2592"/>
            <w:shd w:fill="F8FAFC"/>
            <w:tcMar>
              <w:top w:w="45" w:type="dxa"/>
              <w:bottom w:w="45" w:type="dxa"/>
              <w:left w:w="80" w:type="dxa"/>
              <w:right w:w="80" w:type="dxa"/>
            </w:tcMar>
          </w:tcPr>
          <w:p>
            <w:r>
              <w:rPr>
                <w:b/>
                <w:sz w:val="17"/>
              </w:rPr>
              <w:t>User Interface</w:t>
            </w:r>
          </w:p>
        </w:tc>
        <w:tc>
          <w:tcPr>
            <w:tcW w:type="dxa" w:w="3744"/>
            <w:shd w:fill="F8FAFC"/>
            <w:tcMar>
              <w:top w:w="45" w:type="dxa"/>
              <w:bottom w:w="45" w:type="dxa"/>
              <w:left w:w="80" w:type="dxa"/>
              <w:right w:w="80" w:type="dxa"/>
            </w:tcMar>
          </w:tcPr>
          <w:p>
            <w:r>
              <w:rPr>
                <w:sz w:val="17"/>
              </w:rPr>
              <w:t>Translucent glassmorphism, raw JSON code dumps</w:t>
            </w:r>
          </w:p>
        </w:tc>
        <w:tc>
          <w:tcPr>
            <w:tcW w:type="dxa" w:w="3888"/>
            <w:shd w:fill="F8FAFC"/>
            <w:tcMar>
              <w:top w:w="45" w:type="dxa"/>
              <w:bottom w:w="45" w:type="dxa"/>
              <w:left w:w="80" w:type="dxa"/>
              <w:right w:w="80" w:type="dxa"/>
            </w:tcMar>
          </w:tcPr>
          <w:p>
            <w:r>
              <w:rPr>
                <w:sz w:val="17"/>
              </w:rPr>
              <w:t>Matte executive audit cards with collapsible developer drawer</w:t>
            </w:r>
          </w:p>
        </w:tc>
      </w:tr>
    </w:tbl>
    <w:p>
      <w:r>
        <w:br w:type="page"/>
      </w:r>
    </w:p>
    <w:p>
      <w:pPr>
        <w:keepNext/>
        <w:spacing w:before="120" w:after="40"/>
      </w:pPr>
      <w:r>
        <w:rPr>
          <w:rFonts w:ascii="Calibri" w:hAnsi="Calibri"/>
          <w:b/>
          <w:color w:val="0F172A"/>
          <w:sz w:val="23"/>
        </w:rPr>
        <w:t>8. Experimental Benchmark Results &amp; The 'Dollar Drift' Discovery</w:t>
      </w:r>
    </w:p>
    <w:p>
      <w:pPr>
        <w:spacing w:before="0" w:after="60" w:line="269" w:lineRule="auto"/>
      </w:pPr>
      <w:r>
        <w:rPr>
          <w:b/>
          <w:color w:val="0F172A"/>
          <w:sz w:val="19"/>
        </w:rPr>
        <w:t xml:space="preserve">Empirical Validation: </w:t>
      </w:r>
      <w:r>
        <w:rPr>
          <w:sz w:val="19"/>
        </w:rPr>
        <w:t>The enhanced system was evaluated across two rigorous empirical test suites: (1) an 18-Scenario Ground-Truth Sequence Benchmark, and (2) an Injected-Perturbation Failure-Mode Suite spanning 11 complex multi-step scenarios.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600"/>
            <w:shd w:fill="1E293B"/>
            <w:tcMar>
              <w:top w:w="50" w:type="dxa"/>
              <w:bottom w:w="50" w:type="dxa"/>
              <w:left w:w="80" w:type="dxa"/>
              <w:right w:w="80" w:type="dxa"/>
            </w:tcMar>
          </w:tcPr>
          <w:p>
            <w:r>
              <w:rPr>
                <w:b/>
                <w:color w:val="FFFFFF"/>
                <w:sz w:val="17"/>
              </w:rPr>
              <w:t>Benchmark Metric</w:t>
            </w:r>
          </w:p>
        </w:tc>
        <w:tc>
          <w:tcPr>
            <w:tcW w:type="dxa" w:w="2016"/>
            <w:shd w:fill="1E293B"/>
            <w:tcMar>
              <w:top w:w="50" w:type="dxa"/>
              <w:bottom w:w="50" w:type="dxa"/>
              <w:left w:w="80" w:type="dxa"/>
              <w:right w:w="80" w:type="dxa"/>
            </w:tcMar>
          </w:tcPr>
          <w:p>
            <w:r>
              <w:rPr>
                <w:b/>
                <w:color w:val="FFFFFF"/>
                <w:sz w:val="17"/>
              </w:rPr>
              <w:t>PRD Target</w:t>
            </w:r>
          </w:p>
        </w:tc>
        <w:tc>
          <w:tcPr>
            <w:tcW w:type="dxa" w:w="2160"/>
            <w:shd w:fill="1E293B"/>
            <w:tcMar>
              <w:top w:w="50" w:type="dxa"/>
              <w:bottom w:w="50" w:type="dxa"/>
              <w:left w:w="80" w:type="dxa"/>
              <w:right w:w="80" w:type="dxa"/>
            </w:tcMar>
          </w:tcPr>
          <w:p>
            <w:r>
              <w:rPr>
                <w:b/>
                <w:color w:val="FFFFFF"/>
                <w:sz w:val="17"/>
              </w:rPr>
              <w:t>Measured Score</w:t>
            </w:r>
          </w:p>
        </w:tc>
        <w:tc>
          <w:tcPr>
            <w:tcW w:type="dxa" w:w="2448"/>
            <w:shd w:fill="1E293B"/>
            <w:tcMar>
              <w:top w:w="50" w:type="dxa"/>
              <w:bottom w:w="50" w:type="dxa"/>
              <w:left w:w="80" w:type="dxa"/>
              <w:right w:w="80" w:type="dxa"/>
            </w:tcMar>
          </w:tcPr>
          <w:p>
            <w:r>
              <w:rPr>
                <w:b/>
                <w:color w:val="FFFFFF"/>
                <w:sz w:val="17"/>
              </w:rPr>
              <w:t>Operational Status</w:t>
            </w:r>
          </w:p>
        </w:tc>
      </w:tr>
      <w:tr>
        <w:tc>
          <w:tcPr>
            <w:tcW w:type="dxa" w:w="3600"/>
            <w:shd w:fill="F8FAFC"/>
            <w:tcMar>
              <w:top w:w="45" w:type="dxa"/>
              <w:bottom w:w="45" w:type="dxa"/>
              <w:left w:w="80" w:type="dxa"/>
              <w:right w:w="80" w:type="dxa"/>
            </w:tcMar>
          </w:tcPr>
          <w:p>
            <w:r>
              <w:rPr>
                <w:b/>
                <w:sz w:val="17"/>
              </w:rPr>
              <w:t>Tool-Selection Accuracy</w:t>
            </w:r>
          </w:p>
        </w:tc>
        <w:tc>
          <w:tcPr>
            <w:tcW w:type="dxa" w:w="2016"/>
            <w:shd w:fill="F8FAFC"/>
            <w:tcMar>
              <w:top w:w="45" w:type="dxa"/>
              <w:bottom w:w="45" w:type="dxa"/>
              <w:left w:w="80" w:type="dxa"/>
              <w:right w:w="80" w:type="dxa"/>
            </w:tcMar>
          </w:tcPr>
          <w:p>
            <w:r>
              <w:rPr>
                <w:sz w:val="17"/>
              </w:rPr>
              <w:t>≥ 85.0%</w:t>
            </w:r>
          </w:p>
        </w:tc>
        <w:tc>
          <w:tcPr>
            <w:tcW w:type="dxa" w:w="2160"/>
            <w:shd w:fill="F8FAFC"/>
            <w:tcMar>
              <w:top w:w="45" w:type="dxa"/>
              <w:bottom w:w="45" w:type="dxa"/>
              <w:left w:w="80" w:type="dxa"/>
              <w:right w:w="80" w:type="dxa"/>
            </w:tcMar>
          </w:tcPr>
          <w:p>
            <w:r>
              <w:rPr>
                <w:b/>
                <w:color w:val="059669"/>
                <w:sz w:val="17"/>
              </w:rPr>
              <w:t>100.0%</w:t>
            </w:r>
          </w:p>
        </w:tc>
        <w:tc>
          <w:tcPr>
            <w:tcW w:type="dxa" w:w="2448"/>
            <w:shd w:fill="F8FAFC"/>
            <w:tcMar>
              <w:top w:w="45" w:type="dxa"/>
              <w:bottom w:w="45" w:type="dxa"/>
              <w:left w:w="80" w:type="dxa"/>
              <w:right w:w="80" w:type="dxa"/>
            </w:tcMar>
          </w:tcPr>
          <w:p>
            <w:r>
              <w:rPr>
                <w:sz w:val="17"/>
              </w:rPr>
              <w:t>PASSED (18/18 Scenarios)</w:t>
            </w:r>
          </w:p>
        </w:tc>
      </w:tr>
      <w:tr>
        <w:tc>
          <w:tcPr>
            <w:tcW w:type="dxa" w:w="3600"/>
            <w:tcMar>
              <w:top w:w="45" w:type="dxa"/>
              <w:bottom w:w="45" w:type="dxa"/>
              <w:left w:w="80" w:type="dxa"/>
              <w:right w:w="80" w:type="dxa"/>
            </w:tcMar>
          </w:tcPr>
          <w:p>
            <w:r>
              <w:rPr>
                <w:b/>
                <w:sz w:val="17"/>
              </w:rPr>
              <w:t>Plan-Sequence Correctness (Headline)</w:t>
            </w:r>
          </w:p>
        </w:tc>
        <w:tc>
          <w:tcPr>
            <w:tcW w:type="dxa" w:w="2016"/>
            <w:tcMar>
              <w:top w:w="45" w:type="dxa"/>
              <w:bottom w:w="45" w:type="dxa"/>
              <w:left w:w="80" w:type="dxa"/>
              <w:right w:w="80" w:type="dxa"/>
            </w:tcMar>
          </w:tcPr>
          <w:p>
            <w:r>
              <w:rPr>
                <w:sz w:val="17"/>
              </w:rPr>
              <w:t>≥ 70.0%</w:t>
            </w:r>
          </w:p>
        </w:tc>
        <w:tc>
          <w:tcPr>
            <w:tcW w:type="dxa" w:w="2160"/>
            <w:tcMar>
              <w:top w:w="45" w:type="dxa"/>
              <w:bottom w:w="45" w:type="dxa"/>
              <w:left w:w="80" w:type="dxa"/>
              <w:right w:w="80" w:type="dxa"/>
            </w:tcMar>
          </w:tcPr>
          <w:p>
            <w:r>
              <w:rPr>
                <w:b/>
                <w:color w:val="059669"/>
                <w:sz w:val="17"/>
              </w:rPr>
              <w:t>100.0%</w:t>
            </w:r>
          </w:p>
        </w:tc>
        <w:tc>
          <w:tcPr>
            <w:tcW w:type="dxa" w:w="2448"/>
            <w:tcMar>
              <w:top w:w="45" w:type="dxa"/>
              <w:bottom w:w="45" w:type="dxa"/>
              <w:left w:w="80" w:type="dxa"/>
              <w:right w:w="80" w:type="dxa"/>
            </w:tcMar>
          </w:tcPr>
          <w:p>
            <w:r>
              <w:rPr>
                <w:sz w:val="17"/>
              </w:rPr>
              <w:t>PASSED (Optimal Chain)</w:t>
            </w:r>
          </w:p>
        </w:tc>
      </w:tr>
      <w:tr>
        <w:tc>
          <w:tcPr>
            <w:tcW w:type="dxa" w:w="3600"/>
            <w:shd w:fill="F8FAFC"/>
            <w:tcMar>
              <w:top w:w="45" w:type="dxa"/>
              <w:bottom w:w="45" w:type="dxa"/>
              <w:left w:w="80" w:type="dxa"/>
              <w:right w:w="80" w:type="dxa"/>
            </w:tcMar>
          </w:tcPr>
          <w:p>
            <w:r>
              <w:rPr>
                <w:b/>
                <w:sz w:val="17"/>
              </w:rPr>
              <w:t>Recommendation Groundedness</w:t>
            </w:r>
          </w:p>
        </w:tc>
        <w:tc>
          <w:tcPr>
            <w:tcW w:type="dxa" w:w="2016"/>
            <w:shd w:fill="F8FAFC"/>
            <w:tcMar>
              <w:top w:w="45" w:type="dxa"/>
              <w:bottom w:w="45" w:type="dxa"/>
              <w:left w:w="80" w:type="dxa"/>
              <w:right w:w="80" w:type="dxa"/>
            </w:tcMar>
          </w:tcPr>
          <w:p>
            <w:r>
              <w:rPr>
                <w:sz w:val="17"/>
              </w:rPr>
              <w:t>≥ 90.0%</w:t>
            </w:r>
          </w:p>
        </w:tc>
        <w:tc>
          <w:tcPr>
            <w:tcW w:type="dxa" w:w="2160"/>
            <w:shd w:fill="F8FAFC"/>
            <w:tcMar>
              <w:top w:w="45" w:type="dxa"/>
              <w:bottom w:w="45" w:type="dxa"/>
              <w:left w:w="80" w:type="dxa"/>
              <w:right w:w="80" w:type="dxa"/>
            </w:tcMar>
          </w:tcPr>
          <w:p>
            <w:r>
              <w:rPr>
                <w:b/>
                <w:color w:val="059669"/>
                <w:sz w:val="17"/>
              </w:rPr>
              <w:t>94.9%</w:t>
            </w:r>
          </w:p>
        </w:tc>
        <w:tc>
          <w:tcPr>
            <w:tcW w:type="dxa" w:w="2448"/>
            <w:shd w:fill="F8FAFC"/>
            <w:tcMar>
              <w:top w:w="45" w:type="dxa"/>
              <w:bottom w:w="45" w:type="dxa"/>
              <w:left w:w="80" w:type="dxa"/>
              <w:right w:w="80" w:type="dxa"/>
            </w:tcMar>
          </w:tcPr>
          <w:p>
            <w:r>
              <w:rPr>
                <w:sz w:val="17"/>
              </w:rPr>
              <w:t>PASSED (Grounded Figures)</w:t>
            </w:r>
          </w:p>
        </w:tc>
      </w:tr>
    </w:tbl>
    <w:p>
      <w:pPr>
        <w:spacing w:after="40"/>
      </w:pPr>
    </w:p>
    <w:tbl>
      <w:tblPr>
        <w:tblW w:type="auto" w:w="0"/>
        <w:jc w:val="center"/>
        <w:tblLayout w:type="fixed"/>
        <w:tblLook w:firstColumn="1" w:firstRow="1" w:lastColumn="0" w:lastRow="0" w:noHBand="0" w:noVBand="1" w:val="04A0"/>
      </w:tblPr>
      <w:tblGrid>
        <w:gridCol w:w="10224"/>
      </w:tblGrid>
      <w:tr>
        <w:tc>
          <w:tcPr>
            <w:tcW w:type="dxa" w:w="10224"/>
            <w:shd w:fill="FEF2F2"/>
            <w:tcBorders>
              <w:top w:val="none"/>
              <w:bottom w:val="none"/>
              <w:left w:val="single" w:sz="24" w:space="0" w:color="DC2626"/>
              <w:right w:val="none"/>
            </w:tcBorders>
            <w:tcMar>
              <w:top w:w="80" w:type="dxa"/>
              <w:bottom w:w="80" w:type="dxa"/>
              <w:left w:w="120" w:type="dxa"/>
              <w:right w:w="120" w:type="dxa"/>
            </w:tcMar>
          </w:tcPr>
          <w:p>
            <w:pPr>
              <w:spacing w:before="0" w:after="0" w:line="269" w:lineRule="auto"/>
            </w:pPr>
            <w:r>
              <w:rPr>
                <w:b/>
                <w:color w:val="B91C1C"/>
                <w:sz w:val="18"/>
              </w:rPr>
              <w:t xml:space="preserve">Key Scientific Finding: The Dollar Drift Phenomenon ($2X Multiplier)— </w:t>
            </w:r>
            <w:r>
              <w:rPr>
                <w:sz w:val="18"/>
              </w:rPr>
              <w:t>By injecting Step 1 misclassifications across 11 multi-step scenarios, we proved that an early error cascades into 100.0% of downstream tool calls and corrupts 72.7% of final recommendations. Mathematically, a miscategorized transaction of amount $X generates an exact bidirectional distortion: Dollar Drift = 2 * $X ($X subtracted from the legitimate envelope and $X erroneously added to the target envelope). Across just 11 test runs, unmitigated categorization errors created $6,353.08 in cumulative ledger distortion.</w:t>
            </w:r>
          </w:p>
        </w:tc>
      </w:tr>
    </w:tbl>
    <w:p>
      <w:pPr>
        <w:spacing w:after="40"/>
      </w:pPr>
    </w:p>
    <w:p>
      <w:pPr>
        <w:keepNext/>
        <w:spacing w:before="120" w:after="40"/>
      </w:pPr>
      <w:r>
        <w:rPr>
          <w:rFonts w:ascii="Calibri" w:hAnsi="Calibri"/>
          <w:b/>
          <w:color w:val="1E3A8A"/>
          <w:sz w:val="20"/>
        </w:rPr>
        <w:t>9. Current Project Milestone Status</w:t>
      </w:r>
    </w:p>
    <w:p>
      <w:pPr>
        <w:pStyle w:val="ListBullet"/>
        <w:spacing w:before="0" w:after="40" w:line="269" w:lineRule="auto"/>
      </w:pPr>
      <w:r>
        <w:rPr>
          <w:b/>
          <w:color w:val="0F172A"/>
          <w:sz w:val="18"/>
        </w:rPr>
        <w:t xml:space="preserve">1. Verified Core Engine: </w:t>
      </w:r>
      <w:r>
        <w:rPr>
          <w:sz w:val="18"/>
        </w:rPr>
        <w:t>Complete autonomous ReAct loop with dual execution support (deterministic local provider + live Google Gemini 2.5 Flash API).</w:t>
      </w:r>
    </w:p>
    <w:p>
      <w:pPr>
        <w:pStyle w:val="ListBullet"/>
        <w:spacing w:before="0" w:after="40" w:line="269" w:lineRule="auto"/>
      </w:pPr>
      <w:r>
        <w:rPr>
          <w:b/>
          <w:color w:val="0F172A"/>
          <w:sz w:val="18"/>
        </w:rPr>
        <w:t xml:space="preserve">2. Relational Ledger &amp; Test Suite: </w:t>
      </w:r>
      <w:r>
        <w:rPr>
          <w:sz w:val="18"/>
        </w:rPr>
        <w:t>Fully initialized SQLite database ('reconciliation.db') and 100% automated test coverage (10/10 unit tests passing).</w:t>
      </w:r>
    </w:p>
    <w:p>
      <w:pPr>
        <w:pStyle w:val="ListBullet"/>
        <w:spacing w:before="0" w:after="40" w:line="269" w:lineRule="auto"/>
      </w:pPr>
      <w:r>
        <w:rPr>
          <w:b/>
          <w:color w:val="0F172A"/>
          <w:sz w:val="18"/>
        </w:rPr>
        <w:t xml:space="preserve">3. Dual Operational Interfaces: </w:t>
      </w:r>
      <w:r>
        <w:rPr>
          <w:sz w:val="18"/>
        </w:rPr>
        <w:t>Unified CLI ('cli.py') for terminal execution alongside a local HTTP dashboard ('server.py' + 'web/') featuring executive audit timelines.</w:t>
      </w:r>
    </w:p>
    <w:p>
      <w:pPr>
        <w:keepNext/>
        <w:spacing w:before="120" w:after="40"/>
      </w:pPr>
      <w:r>
        <w:rPr>
          <w:rFonts w:ascii="Calibri" w:hAnsi="Calibri"/>
          <w:b/>
          <w:color w:val="1E3A8A"/>
          <w:sz w:val="20"/>
        </w:rPr>
        <w:t>10. Production Scalability Roadmap (Next Sprints)</w:t>
      </w:r>
    </w:p>
    <w:tbl>
      <w:tblPr>
        <w:tblW w:type="auto" w:w="0"/>
        <w:jc w:val="center"/>
        <w:tblLayout w:type="fixed"/>
        <w:tblLook w:firstColumn="1" w:firstRow="1" w:lastColumn="0" w:lastRow="0" w:noHBand="0" w:noVBand="1" w:val="04A0"/>
      </w:tblPr>
      <w:tblGrid>
        <w:gridCol w:w="3408"/>
        <w:gridCol w:w="3408"/>
        <w:gridCol w:w="3408"/>
      </w:tblGrid>
      <w:tr>
        <w:tc>
          <w:tcPr>
            <w:tcW w:type="dxa" w:w="2160"/>
            <w:shd w:fill="1E293B"/>
            <w:tcMar>
              <w:top w:w="45" w:type="dxa"/>
              <w:bottom w:w="45" w:type="dxa"/>
              <w:left w:w="70" w:type="dxa"/>
              <w:right w:w="70" w:type="dxa"/>
            </w:tcMar>
          </w:tcPr>
          <w:p>
            <w:r>
              <w:rPr>
                <w:b/>
                <w:color w:val="FFFFFF"/>
                <w:sz w:val="17"/>
              </w:rPr>
              <w:t>Sprint / Phase</w:t>
            </w:r>
          </w:p>
        </w:tc>
        <w:tc>
          <w:tcPr>
            <w:tcW w:type="dxa" w:w="4896"/>
            <w:shd w:fill="1E293B"/>
            <w:tcMar>
              <w:top w:w="45" w:type="dxa"/>
              <w:bottom w:w="45" w:type="dxa"/>
              <w:left w:w="70" w:type="dxa"/>
              <w:right w:w="70" w:type="dxa"/>
            </w:tcMar>
          </w:tcPr>
          <w:p>
            <w:r>
              <w:rPr>
                <w:b/>
                <w:color w:val="FFFFFF"/>
                <w:sz w:val="17"/>
              </w:rPr>
              <w:t>Target Production Deliverable</w:t>
            </w:r>
          </w:p>
        </w:tc>
        <w:tc>
          <w:tcPr>
            <w:tcW w:type="dxa" w:w="3168"/>
            <w:shd w:fill="1E293B"/>
            <w:tcMar>
              <w:top w:w="45" w:type="dxa"/>
              <w:bottom w:w="45" w:type="dxa"/>
              <w:left w:w="70" w:type="dxa"/>
              <w:right w:w="70" w:type="dxa"/>
            </w:tcMar>
          </w:tcPr>
          <w:p>
            <w:r>
              <w:rPr>
                <w:b/>
                <w:color w:val="FFFFFF"/>
                <w:sz w:val="17"/>
              </w:rPr>
              <w:t>Technology Stack</w:t>
            </w:r>
          </w:p>
        </w:tc>
      </w:tr>
      <w:tr>
        <w:tc>
          <w:tcPr>
            <w:tcW w:type="dxa" w:w="2160"/>
            <w:shd w:fill="F8FAFC"/>
            <w:tcMar>
              <w:top w:w="40" w:type="dxa"/>
              <w:bottom w:w="40" w:type="dxa"/>
              <w:left w:w="70" w:type="dxa"/>
              <w:right w:w="70" w:type="dxa"/>
            </w:tcMar>
          </w:tcPr>
          <w:p>
            <w:r>
              <w:rPr>
                <w:b/>
                <w:sz w:val="16"/>
              </w:rPr>
              <w:t>Sprint 1 (Weeks 1–2)</w:t>
            </w:r>
          </w:p>
        </w:tc>
        <w:tc>
          <w:tcPr>
            <w:tcW w:type="dxa" w:w="4896"/>
            <w:shd w:fill="F8FAFC"/>
            <w:tcMar>
              <w:top w:w="40" w:type="dxa"/>
              <w:bottom w:w="40" w:type="dxa"/>
              <w:left w:w="70" w:type="dxa"/>
              <w:right w:w="70" w:type="dxa"/>
            </w:tcMar>
          </w:tcPr>
          <w:p>
            <w:r>
              <w:rPr>
                <w:sz w:val="16"/>
              </w:rPr>
              <w:t>Semantic Vector Memory (pgvector) to index 250k+ merchant embeddings</w:t>
            </w:r>
          </w:p>
        </w:tc>
        <w:tc>
          <w:tcPr>
            <w:tcW w:type="dxa" w:w="3168"/>
            <w:shd w:fill="F8FAFC"/>
            <w:tcMar>
              <w:top w:w="40" w:type="dxa"/>
              <w:bottom w:w="40" w:type="dxa"/>
              <w:left w:w="70" w:type="dxa"/>
              <w:right w:w="70" w:type="dxa"/>
            </w:tcMar>
          </w:tcPr>
          <w:p>
            <w:r>
              <w:rPr>
                <w:sz w:val="16"/>
              </w:rPr>
              <w:t>PostgreSQL, pgvector, sentence-transformers</w:t>
            </w:r>
          </w:p>
        </w:tc>
      </w:tr>
      <w:tr>
        <w:tc>
          <w:tcPr>
            <w:tcW w:type="dxa" w:w="2160"/>
            <w:tcMar>
              <w:top w:w="40" w:type="dxa"/>
              <w:bottom w:w="40" w:type="dxa"/>
              <w:left w:w="70" w:type="dxa"/>
              <w:right w:w="70" w:type="dxa"/>
            </w:tcMar>
          </w:tcPr>
          <w:p>
            <w:r>
              <w:rPr>
                <w:b/>
                <w:sz w:val="16"/>
              </w:rPr>
              <w:t>Sprint 2 (Weeks 3–4)</w:t>
            </w:r>
          </w:p>
        </w:tc>
        <w:tc>
          <w:tcPr>
            <w:tcW w:type="dxa" w:w="4896"/>
            <w:tcMar>
              <w:top w:w="40" w:type="dxa"/>
              <w:bottom w:w="40" w:type="dxa"/>
              <w:left w:w="70" w:type="dxa"/>
              <w:right w:w="70" w:type="dxa"/>
            </w:tcMar>
          </w:tcPr>
          <w:p>
            <w:r>
              <w:rPr>
                <w:sz w:val="16"/>
              </w:rPr>
              <w:t>Linear Programming Solver (SciPy / PuLP) replacing greedy reallocation</w:t>
            </w:r>
          </w:p>
        </w:tc>
        <w:tc>
          <w:tcPr>
            <w:tcW w:type="dxa" w:w="3168"/>
            <w:tcMar>
              <w:top w:w="40" w:type="dxa"/>
              <w:bottom w:w="40" w:type="dxa"/>
              <w:left w:w="70" w:type="dxa"/>
              <w:right w:w="70" w:type="dxa"/>
            </w:tcMar>
          </w:tcPr>
          <w:p>
            <w:r>
              <w:rPr>
                <w:sz w:val="16"/>
              </w:rPr>
              <w:t>SciPy, PuLP, NumPy, Python 3.11</w:t>
            </w:r>
          </w:p>
        </w:tc>
      </w:tr>
      <w:tr>
        <w:tc>
          <w:tcPr>
            <w:tcW w:type="dxa" w:w="2160"/>
            <w:shd w:fill="F8FAFC"/>
            <w:tcMar>
              <w:top w:w="40" w:type="dxa"/>
              <w:bottom w:w="40" w:type="dxa"/>
              <w:left w:w="70" w:type="dxa"/>
              <w:right w:w="70" w:type="dxa"/>
            </w:tcMar>
          </w:tcPr>
          <w:p>
            <w:r>
              <w:rPr>
                <w:b/>
                <w:sz w:val="16"/>
              </w:rPr>
              <w:t>Sprint 3 (Weeks 5–6)</w:t>
            </w:r>
          </w:p>
        </w:tc>
        <w:tc>
          <w:tcPr>
            <w:tcW w:type="dxa" w:w="4896"/>
            <w:shd w:fill="F8FAFC"/>
            <w:tcMar>
              <w:top w:w="40" w:type="dxa"/>
              <w:bottom w:w="40" w:type="dxa"/>
              <w:left w:w="70" w:type="dxa"/>
              <w:right w:w="70" w:type="dxa"/>
            </w:tcMar>
          </w:tcPr>
          <w:p>
            <w:r>
              <w:rPr>
                <w:sz w:val="16"/>
              </w:rPr>
              <w:t>Self-Correcting Backtracking Gates (&lt; 0.85 conf) &amp; Zero-Trust PII Masking</w:t>
            </w:r>
          </w:p>
        </w:tc>
        <w:tc>
          <w:tcPr>
            <w:tcW w:type="dxa" w:w="3168"/>
            <w:shd w:fill="F8FAFC"/>
            <w:tcMar>
              <w:top w:w="40" w:type="dxa"/>
              <w:bottom w:w="40" w:type="dxa"/>
              <w:left w:w="70" w:type="dxa"/>
              <w:right w:w="70" w:type="dxa"/>
            </w:tcMar>
          </w:tcPr>
          <w:p>
            <w:r>
              <w:rPr>
                <w:sz w:val="16"/>
              </w:rPr>
              <w:t>Microsoft Presidio, WebSockets, SQLite</w:t>
            </w:r>
          </w:p>
        </w:tc>
      </w:tr>
      <w:tr>
        <w:tc>
          <w:tcPr>
            <w:tcW w:type="dxa" w:w="2160"/>
            <w:tcMar>
              <w:top w:w="40" w:type="dxa"/>
              <w:bottom w:w="40" w:type="dxa"/>
              <w:left w:w="70" w:type="dxa"/>
              <w:right w:w="70" w:type="dxa"/>
            </w:tcMar>
          </w:tcPr>
          <w:p>
            <w:r>
              <w:rPr>
                <w:b/>
                <w:sz w:val="16"/>
              </w:rPr>
              <w:t>Sprint 4 (Weeks 7–8)</w:t>
            </w:r>
          </w:p>
        </w:tc>
        <w:tc>
          <w:tcPr>
            <w:tcW w:type="dxa" w:w="4896"/>
            <w:tcMar>
              <w:top w:w="40" w:type="dxa"/>
              <w:bottom w:w="40" w:type="dxa"/>
              <w:left w:w="70" w:type="dxa"/>
              <w:right w:w="70" w:type="dxa"/>
            </w:tcMar>
          </w:tcPr>
          <w:p>
            <w:r>
              <w:rPr>
                <w:sz w:val="16"/>
              </w:rPr>
              <w:t>Live Banking Feed Webhooks (Plaid API) &amp; Mobile Push Approval Gates</w:t>
            </w:r>
          </w:p>
        </w:tc>
        <w:tc>
          <w:tcPr>
            <w:tcW w:type="dxa" w:w="3168"/>
            <w:tcMar>
              <w:top w:w="40" w:type="dxa"/>
              <w:bottom w:w="40" w:type="dxa"/>
              <w:left w:w="70" w:type="dxa"/>
              <w:right w:w="70" w:type="dxa"/>
            </w:tcMar>
          </w:tcPr>
          <w:p>
            <w:r>
              <w:rPr>
                <w:sz w:val="16"/>
              </w:rPr>
              <w:t>Plaid API, Apache Kafka, Next.js Ledger UI</w:t>
            </w:r>
          </w:p>
        </w:tc>
      </w:tr>
    </w:tbl>
    <w:p>
      <w:pPr>
        <w:spacing w:before="80" w:after="0"/>
        <w:jc w:val="right"/>
      </w:pPr>
      <w:r>
        <w:rPr>
          <w:i/>
          <w:color w:val="64748B"/>
          <w:sz w:val="16"/>
        </w:rPr>
        <w:t>Report Prepared by Mohammed Afraz Hussain  |  Status: Verified &amp; Operational  |  Page 4 of 4</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