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F714E">
      <w:pPr>
        <w:tabs>
          <w:tab w:val="left" w:pos="8205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AF0D">
      <w:pPr>
        <w:pStyle w:val="2"/>
      </w:pPr>
      <w:bookmarkStart w:id="0" w:name="Scalability &amp; Future Plan 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0EA115E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6D3ECF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25260A06">
            <w:pPr>
              <w:pStyle w:val="10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vAlign w:val="top"/>
          </w:tcPr>
          <w:p>
            <w:r>
              <w:t>15 July 2026</w:t>
            </w:r>
          </w:p>
        </w:tc>
      </w:tr>
      <w:tr w14:paraId="0CE023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B8B0DBE">
            <w:pPr>
              <w:pStyle w:val="10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XXXXXX</w:t>
            </w:r>
          </w:p>
        </w:tc>
      </w:tr>
      <w:tr w14:paraId="2C5182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3CE9A282">
            <w:pPr>
              <w:pStyle w:val="10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vAlign w:val="top"/>
          </w:tcPr>
          <w:p>
            <w:r>
              <w:t>Credit Card Approval Prediction</w:t>
            </w:r>
          </w:p>
        </w:tc>
      </w:tr>
      <w:tr w14:paraId="6B7755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488D6E28">
            <w:pPr>
              <w:pStyle w:val="10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r>
              <w:t>1 Mark</w:t>
            </w:r>
          </w:p>
        </w:tc>
      </w:tr>
    </w:tbl>
    <w:p w14:paraId="1FFA34C1">
      <w:pPr>
        <w:pStyle w:val="6"/>
        <w:spacing w:before="210"/>
        <w:rPr>
          <w:rFonts w:ascii="Arial"/>
          <w:b/>
          <w:sz w:val="28"/>
        </w:rPr>
      </w:pPr>
    </w:p>
    <w:p w14:paraId="5C2C4E29">
      <w:pPr>
        <w:pStyle w:val="3"/>
      </w:pPr>
      <w:bookmarkStart w:id="1" w:name="Scalability &amp; Future Plan: 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0EEBCF60">
      <w:pPr>
        <w:pStyle w:val="6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2C34A18C">
      <w:pPr>
        <w:pStyle w:val="6"/>
      </w:pPr>
    </w:p>
    <w:p w14:paraId="06C29FE6">
      <w:pPr>
        <w:pStyle w:val="6"/>
        <w:spacing w:before="57"/>
      </w:pPr>
    </w:p>
    <w:p w14:paraId="3C6C515A">
      <w:pPr>
        <w:pStyle w:val="3"/>
        <w:spacing w:before="1" w:after="38"/>
      </w:pPr>
      <w:bookmarkStart w:id="2" w:name="Current System Limitations: 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980"/>
        <w:gridCol w:w="3400"/>
        <w:gridCol w:w="2380"/>
      </w:tblGrid>
      <w:tr w14:paraId="464AD8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80" w:type="dxa"/>
          </w:tcPr>
          <w:p w14:paraId="4EC66B34">
            <w:pPr>
              <w:pStyle w:val="10"/>
              <w:spacing w:before="35"/>
              <w:rPr>
                <w:b/>
                <w:sz w:val="18"/>
              </w:rPr>
            </w:pPr>
          </w:p>
          <w:p w14:paraId="7A2C5891">
            <w:pPr>
              <w:pStyle w:val="10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12371BBC">
            <w:pPr>
              <w:pStyle w:val="10"/>
              <w:spacing w:before="35"/>
              <w:rPr>
                <w:b/>
                <w:sz w:val="18"/>
              </w:rPr>
            </w:pPr>
          </w:p>
          <w:p w14:paraId="624C6362">
            <w:pPr>
              <w:pStyle w:val="10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271E06E4">
            <w:pPr>
              <w:pStyle w:val="10"/>
              <w:spacing w:before="35"/>
              <w:rPr>
                <w:b/>
                <w:sz w:val="18"/>
              </w:rPr>
            </w:pPr>
          </w:p>
          <w:p w14:paraId="3E9F110A">
            <w:pPr>
              <w:pStyle w:val="10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7D2CBBD9">
            <w:pPr>
              <w:pStyle w:val="10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14:paraId="46CE62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1</w:t>
            </w:r>
          </w:p>
        </w:tc>
        <w:tc>
          <w:tcPr>
            <w:tcW w:w="3980" w:type="dxa"/>
            <w:vAlign w:val="center"/>
          </w:tcPr>
          <w:p>
            <w:r>
              <w:t>Approval predictions are based on a limited training dataset.</w:t>
            </w:r>
          </w:p>
        </w:tc>
        <w:tc>
          <w:tcPr>
            <w:tcW w:w="3400" w:type="dxa"/>
            <w:vAlign w:val="center"/>
          </w:tcPr>
          <w:p>
            <w:r>
              <w:t>May reduce prediction accuracy for underrepresented applicant profiles.</w:t>
            </w:r>
          </w:p>
        </w:tc>
        <w:tc>
          <w:tcPr>
            <w:tcW w:w="2380" w:type="dxa"/>
            <w:vAlign w:val="center"/>
          </w:tcPr>
          <w:p>
            <w:r>
              <w:t>High</w:t>
            </w:r>
          </w:p>
        </w:tc>
      </w:tr>
      <w:tr w14:paraId="55F2BB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>
            <w:r>
              <w:t>2</w:t>
            </w:r>
          </w:p>
        </w:tc>
        <w:tc>
          <w:tcPr>
            <w:tcW w:w="3980" w:type="dxa"/>
            <w:vAlign w:val="center"/>
          </w:tcPr>
          <w:p>
            <w:r>
              <w:t>Real-time credit bureau data integration is not available.</w:t>
            </w:r>
          </w:p>
        </w:tc>
        <w:tc>
          <w:tcPr>
            <w:tcW w:w="3400" w:type="dxa"/>
            <w:vAlign w:val="center"/>
          </w:tcPr>
          <w:p>
            <w:r>
              <w:t>Predictions may not reflect the applicant's most current credit standing.</w:t>
            </w:r>
          </w:p>
        </w:tc>
        <w:tc>
          <w:tcPr>
            <w:tcW w:w="2380" w:type="dxa"/>
            <w:vAlign w:val="center"/>
          </w:tcPr>
          <w:p>
            <w:r>
              <w:t>Medium</w:t>
            </w:r>
          </w:p>
        </w:tc>
      </w:tr>
      <w:tr w14:paraId="0D6487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>
            <w:r>
              <w:t>3</w:t>
            </w:r>
          </w:p>
        </w:tc>
        <w:tc>
          <w:tcPr>
            <w:tcW w:w="3980" w:type="dxa"/>
            <w:vAlign w:val="center"/>
          </w:tcPr>
          <w:p>
            <w:r>
              <w:t>The application is designed for local deployment only.</w:t>
            </w:r>
          </w:p>
        </w:tc>
        <w:tc>
          <w:tcPr>
            <w:tcW w:w="3400" w:type="dxa"/>
            <w:vAlign w:val="center"/>
          </w:tcPr>
          <w:p>
            <w:r>
              <w:t>Users cannot access the system remotely without hosting it online.</w:t>
            </w:r>
          </w:p>
        </w:tc>
        <w:tc>
          <w:tcPr>
            <w:tcW w:w="2380" w:type="dxa"/>
            <w:vAlign w:val="center"/>
          </w:tcPr>
          <w:p>
            <w:r>
              <w:t>Medium</w:t>
            </w:r>
          </w:p>
        </w:tc>
      </w:tr>
    </w:tbl>
    <w:p w14:paraId="1020D042">
      <w:pPr>
        <w:pStyle w:val="6"/>
        <w:spacing w:before="231"/>
        <w:rPr>
          <w:rFonts w:ascii="Arial"/>
          <w:b/>
          <w:sz w:val="22"/>
        </w:rPr>
      </w:pPr>
    </w:p>
    <w:p w14:paraId="559227C0">
      <w:pPr>
        <w:pStyle w:val="3"/>
        <w:spacing w:after="45"/>
      </w:pPr>
      <w:bookmarkStart w:id="3" w:name="Scalability Plan: 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4A6FF9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4BFC60F5">
            <w:pPr>
              <w:pStyle w:val="10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2E8B3F9E">
            <w:pPr>
              <w:pStyle w:val="10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3D5E42DD">
            <w:pPr>
              <w:pStyle w:val="10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00196737">
            <w:pPr>
              <w:pStyle w:val="10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14:paraId="2EF5F1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1</w:t>
            </w:r>
          </w:p>
        </w:tc>
        <w:tc>
          <w:tcPr>
            <w:tcW w:w="2260" w:type="dxa"/>
            <w:vAlign w:val="center"/>
          </w:tcPr>
          <w:p>
            <w:r>
              <w:t>User Load</w:t>
            </w:r>
          </w:p>
        </w:tc>
        <w:tc>
          <w:tcPr>
            <w:tcW w:w="2260" w:type="dxa"/>
            <w:vAlign w:val="center"/>
          </w:tcPr>
          <w:p>
            <w:r>
              <w:t>Supports a limited number of concurrent users on a local server.</w:t>
            </w:r>
          </w:p>
        </w:tc>
        <w:tc>
          <w:tcPr>
            <w:tcW w:w="5220" w:type="dxa"/>
            <w:vAlign w:val="center"/>
          </w:tcPr>
          <w:p>
            <w:r>
              <w:t>Deploy on a cloud platform with load balancing to support more users.</w:t>
            </w:r>
          </w:p>
        </w:tc>
      </w:tr>
      <w:tr w14:paraId="2DFE17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>
            <w:r>
              <w:t>2</w:t>
            </w:r>
          </w:p>
        </w:tc>
        <w:tc>
          <w:tcPr>
            <w:tcW w:w="2260" w:type="dxa"/>
            <w:vAlign w:val="center"/>
          </w:tcPr>
          <w:p>
            <w:r>
              <w:t>Data Storage</w:t>
            </w:r>
          </w:p>
        </w:tc>
        <w:tc>
          <w:tcPr>
            <w:tcW w:w="2260" w:type="dxa"/>
            <w:vAlign w:val="center"/>
          </w:tcPr>
          <w:p>
            <w:r>
              <w:t>Uses local dataset and basic database storage.</w:t>
            </w:r>
          </w:p>
        </w:tc>
        <w:tc>
          <w:tcPr>
            <w:tcW w:w="5220" w:type="dxa"/>
            <w:vAlign w:val="center"/>
          </w:tcPr>
          <w:p>
            <w:r>
              <w:t>Migrate to a scalable cloud database such as MySQL or PostgreSQL.</w:t>
            </w:r>
          </w:p>
        </w:tc>
      </w:tr>
      <w:bookmarkEnd w:id="5"/>
      <w:tr w14:paraId="671713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3</w:t>
            </w:r>
          </w:p>
        </w:tc>
        <w:tc>
          <w:tcPr>
            <w:tcW w:w="2260" w:type="dxa"/>
            <w:vAlign w:val="center"/>
          </w:tcPr>
          <w:p>
            <w:r>
              <w:t>Performance</w:t>
            </w:r>
          </w:p>
        </w:tc>
        <w:tc>
          <w:tcPr>
            <w:tcW w:w="2260" w:type="dxa"/>
            <w:vAlign w:val="center"/>
          </w:tcPr>
          <w:p>
            <w:r>
              <w:t>Performs well for small to medium datasets.</w:t>
            </w:r>
          </w:p>
        </w:tc>
        <w:tc>
          <w:tcPr>
            <w:tcW w:w="5220" w:type="dxa"/>
            <w:vAlign w:val="center"/>
          </w:tcPr>
          <w:p>
            <w:r>
              <w:t>Optimize the ML model, add caching, and improve API response time.</w:t>
            </w:r>
          </w:p>
        </w:tc>
      </w:tr>
      <w:tr w14:paraId="248DAC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4</w:t>
            </w:r>
          </w:p>
        </w:tc>
        <w:tc>
          <w:tcPr>
            <w:tcW w:w="2260" w:type="dxa"/>
            <w:vAlign w:val="center"/>
          </w:tcPr>
          <w:p>
            <w:r>
              <w:t>Security</w:t>
            </w:r>
          </w:p>
        </w:tc>
        <w:tc>
          <w:tcPr>
            <w:tcW w:w="2260" w:type="dxa"/>
            <w:vAlign w:val="center"/>
          </w:tcPr>
          <w:p>
            <w:r>
              <w:t>Basic input validation and local application security.</w:t>
            </w:r>
          </w:p>
        </w:tc>
        <w:tc>
          <w:tcPr>
            <w:tcW w:w="5220" w:type="dxa"/>
            <w:vAlign w:val="center"/>
          </w:tcPr>
          <w:p>
            <w:r>
              <w:t>Implement HTTPS, secure authentication, role-based access, and encrypted data storage.</w:t>
            </w:r>
          </w:p>
        </w:tc>
      </w:tr>
    </w:tbl>
    <w:p w14:paraId="1462A176">
      <w:pPr>
        <w:pStyle w:val="6"/>
        <w:spacing w:before="236"/>
        <w:rPr>
          <w:rFonts w:ascii="Arial"/>
          <w:b/>
          <w:sz w:val="22"/>
        </w:rPr>
      </w:pPr>
    </w:p>
    <w:p w14:paraId="5A2065B4">
      <w:pPr>
        <w:pStyle w:val="3"/>
        <w:spacing w:after="40"/>
      </w:pPr>
      <w:bookmarkStart w:id="4" w:name="Future Roadmap: 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431FEE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20" w:type="dxa"/>
          </w:tcPr>
          <w:p w14:paraId="01147F37">
            <w:pPr>
              <w:pStyle w:val="10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39D3DFBA">
            <w:pPr>
              <w:pStyle w:val="10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6FFBDE9C">
            <w:pPr>
              <w:pStyle w:val="10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04013D26">
            <w:pPr>
              <w:pStyle w:val="10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2B547F44">
      <w:pPr>
        <w:pStyle w:val="10"/>
        <w:spacing w:after="0"/>
        <w:rPr>
          <w:b/>
          <w:sz w:val="18"/>
        </w:rPr>
        <w:sectPr>
          <w:type w:val="continuous"/>
          <w:pgSz w:w="11920" w:h="16840"/>
          <w:pgMar w:top="980" w:right="708" w:bottom="1289" w:left="708" w:header="720" w:footer="720" w:gutter="0"/>
          <w:cols w:space="720" w:num="1"/>
        </w:sectPr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37608F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20" w:type="dxa"/>
            <w:vAlign w:val="center"/>
          </w:tcPr>
          <w:p>
            <w:r>
              <w:t>Phase 2</w:t>
            </w:r>
          </w:p>
        </w:tc>
        <w:tc>
          <w:tcPr>
            <w:tcW w:w="3400" w:type="dxa"/>
            <w:vAlign w:val="center"/>
          </w:tcPr>
          <w:p>
            <w:r>
              <w:t>Integrate real-time credit bureau and financial APIs for more accurate approval predictions.</w:t>
            </w:r>
          </w:p>
        </w:tc>
        <w:tc>
          <w:tcPr>
            <w:tcW w:w="1980" w:type="dxa"/>
            <w:vAlign w:val="center"/>
          </w:tcPr>
          <w:p>
            <w:r>
              <w:t>3–6 Months</w:t>
            </w:r>
          </w:p>
        </w:tc>
        <w:tc>
          <w:tcPr>
            <w:tcW w:w="3520" w:type="dxa"/>
            <w:vAlign w:val="center"/>
          </w:tcPr>
          <w:p>
            <w:r>
              <w:t>Improves prediction accuracy and provides up-to-date applicant risk assessment.</w:t>
            </w:r>
          </w:p>
        </w:tc>
      </w:tr>
      <w:tr w14:paraId="7C9BEA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20" w:type="dxa"/>
            <w:vAlign w:val="center"/>
          </w:tcPr>
          <w:p>
            <w:r>
              <w:t>Phase 3</w:t>
            </w:r>
          </w:p>
        </w:tc>
        <w:tc>
          <w:tcPr>
            <w:tcW w:w="3400" w:type="dxa"/>
            <w:vAlign w:val="center"/>
          </w:tcPr>
          <w:p>
            <w:r>
              <w:t>Develop an Android mobile application with multilingual support for applicants.</w:t>
            </w:r>
          </w:p>
        </w:tc>
        <w:tc>
          <w:tcPr>
            <w:tcW w:w="1980" w:type="dxa"/>
            <w:vAlign w:val="center"/>
          </w:tcPr>
          <w:p>
            <w:r>
              <w:t>6–9 Months</w:t>
            </w:r>
          </w:p>
        </w:tc>
        <w:tc>
          <w:tcPr>
            <w:tcW w:w="3520" w:type="dxa"/>
            <w:vAlign w:val="center"/>
          </w:tcPr>
          <w:p>
            <w:r>
              <w:t>Increases accessibility and enables applicants to apply from anywhere.</w:t>
            </w:r>
          </w:p>
        </w:tc>
      </w:tr>
      <w:tr w14:paraId="0E9946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20" w:type="dxa"/>
            <w:vAlign w:val="center"/>
          </w:tcPr>
          <w:p>
            <w:r>
              <w:t>Phase 4</w:t>
            </w:r>
          </w:p>
        </w:tc>
        <w:tc>
          <w:tcPr>
            <w:tcW w:w="3400" w:type="dxa"/>
            <w:vAlign w:val="center"/>
          </w:tcPr>
          <w:p>
            <w:r>
              <w:t>Add AI-based fraud detection and explainable-AI reasoning for approval/rejection decisions.</w:t>
            </w:r>
          </w:p>
        </w:tc>
        <w:tc>
          <w:tcPr>
            <w:tcW w:w="1980" w:type="dxa"/>
            <w:vAlign w:val="center"/>
          </w:tcPr>
          <w:p>
            <w:r>
              <w:t>9–12 Months</w:t>
            </w:r>
          </w:p>
        </w:tc>
        <w:tc>
          <w:tcPr>
            <w:tcW w:w="3520" w:type="dxa"/>
            <w:vAlign w:val="center"/>
          </w:tcPr>
          <w:p>
            <w:r>
              <w:t>Enhances trust and transparency, improves fraud prevention, and supports responsible lending.</w:t>
            </w:r>
          </w:p>
        </w:tc>
      </w:tr>
    </w:tbl>
    <w:p w14:paraId="37B656D6"/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6F7DDB"/>
    <w:rsid w:val="213A3850"/>
    <w:rsid w:val="2C842C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Strong"/>
    <w:basedOn w:val="4"/>
    <w:qFormat/>
    <w:uiPriority w:val="0"/>
    <w:rPr>
      <w:b/>
      <w:bCs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611</Characters>
  <TotalTime>2</TotalTime>
  <ScaleCrop>false</ScaleCrop>
  <LinksUpToDate>false</LinksUpToDate>
  <CharactersWithSpaces>690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2026-07-05T19:29:00Z</dcterms:created>
  <dc:creator>yasee</dc:creator>
  <cp:lastModifiedBy>Yaseen Ali</cp:lastModifiedBy>
  <dcterms:modified xsi:type="dcterms:W3CDTF">2026-07-05T19:36:00Z</dcterms:modified>
  <dc:title>Scalability &amp; Future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  <property fmtid="{D5CDD505-2E9C-101B-9397-08002B2CF9AE}" pid="6" name="KSOTemplateDocerSaveRecord">
    <vt:lpwstr>eyJoZGlkIjoiNjQwNDY0MDdlNDU5ZGQzZjQwNTYxNDMyNjhhOWY4YmQiLCJ1c2VySWQiOiI1Njc2MjY5ODE2MDcifQ==</vt:lpwstr>
  </property>
  <property fmtid="{D5CDD505-2E9C-101B-9397-08002B2CF9AE}" pid="7" name="KSOProductBuildVer">
    <vt:lpwstr>1033-12.1.0.26880</vt:lpwstr>
  </property>
  <property fmtid="{D5CDD505-2E9C-101B-9397-08002B2CF9AE}" pid="8" name="ICV">
    <vt:lpwstr>65AD44490DC1465C8AAE60A1F17B330E_12</vt:lpwstr>
  </property>
</Properties>
</file>