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A3A6B"/>
          <w:sz w:val="40"/>
          <w:szCs w:val="40"/>
        </w:rPr>
        <w:t xml:space="preserve">STAGE THRESHOLDS &amp; DECISION CRITERIA</w:t>
      </w:r>
    </w:p>
    <w:p>
      <w:pPr>
        <w:spacing w:before="60" w:after="60"/>
        <w:jc w:val="center"/>
      </w:pPr>
      <w:r>
        <w:rPr>
          <w:rFonts w:ascii="Arial" w:cs="Arial" w:eastAsia="Arial" w:hAnsi="Arial"/>
          <w:b w:val="false"/>
          <w:bCs w:val="false"/>
          <w:color w:val="555555"/>
          <w:sz w:val="24"/>
          <w:szCs w:val="24"/>
        </w:rPr>
        <w:t xml:space="preserve">Remote Sensing Index Reference for Flood Detection Pipelines</w:t>
      </w:r>
    </w:p>
    <w:p>
      <w:pPr>
        <w:spacing w:before="60" w:after="60"/>
        <w:jc w:val="center"/>
      </w:pPr>
      <w:r>
        <w:rPr>
          <w:rFonts w:ascii="Arial" w:cs="Arial" w:eastAsia="Arial" w:hAnsi="Arial"/>
          <w:b w:val="false"/>
          <w:bCs w:val="false"/>
          <w:color w:val="777777"/>
          <w:sz w:val="20"/>
          <w:szCs w:val="20"/>
        </w:rPr>
        <w:t xml:space="preserve">Literature-grounded thresholds for MNDWI · NDVI · ΔNDVI · SAR Backscatter · JRC Occurrence</w:t>
      </w:r>
    </w:p>
    <w:p>
      <w:pPr>
        <w:pBdr>
          <w:bottom w:val="single" w:color="CCCCCC" w:sz="4" w:space="2"/>
        </w:pBdr>
        <w:spacing w:before="120" w:after="120"/>
      </w:pPr>
    </w:p>
    <w:p>
      <w:pPr>
        <w:pStyle w:val="Heading1"/>
        <w:pBdr>
          <w:bottom w:val="single" w:color="1A3A6B" w:sz="8" w:space="4"/>
        </w:pBdr>
        <w:spacing w:before="360" w:after="180"/>
      </w:pPr>
      <w:r>
        <w:rPr>
          <w:rFonts w:ascii="Arial" w:cs="Arial" w:eastAsia="Arial" w:hAnsi="Arial"/>
          <w:b/>
          <w:bCs/>
          <w:color w:val="1A3A6B"/>
          <w:sz w:val="36"/>
          <w:szCs w:val="36"/>
        </w:rPr>
        <w:t xml:space="preserve">1. Purpose &amp; Scope</w:t>
      </w:r>
    </w:p>
    <w:p>
      <w:pPr>
        <w:spacing w:before="60" w:after="60"/>
        <w:jc w:val="left"/>
      </w:pPr>
      <w:r>
        <w:rPr>
          <w:rFonts w:ascii="Arial" w:cs="Arial" w:eastAsia="Arial" w:hAnsi="Arial"/>
          <w:b w:val="false"/>
          <w:bCs w:val="false"/>
          <w:color w:val="000000"/>
          <w:sz w:val="20"/>
          <w:szCs w:val="20"/>
        </w:rPr>
        <w:t xml:space="preserve">This document provides a definitive, peer-reviewed threshold reference for each spectral and radar index used in a GEE flood-detection and change-detection pipeline. Every threshold is grounded in primary literature. The sections are ordered by index, followed by a combined multi-stage decision table and key caveats.</w:t>
      </w:r>
    </w:p>
    <w:p>
      <w:pPr>
        <w:spacing w:before="60" w:after="60"/>
        <w:jc w:val="left"/>
      </w:pPr>
      <w:r>
        <w:rPr>
          <w:rFonts w:ascii="Arial" w:cs="Arial" w:eastAsia="Arial" w:hAnsi="Arial"/>
          <w:b w:val="false"/>
          <w:bCs w:val="false"/>
          <w:color w:val="000000"/>
          <w:sz w:val="20"/>
          <w:szCs w:val="20"/>
        </w:rPr>
        <w:t xml:space="preserve">Indices covered: MNDWI, NDVI (absolute &amp; change), SAR backscatter (Sentinel-1 VV/VH), JRC Global Surface Water occurrence masking, and CCDC structural break flags.</w:t>
      </w:r>
    </w:p>
    <w:p>
      <w:pPr>
        <w:pStyle w:val="Heading1"/>
        <w:pBdr>
          <w:bottom w:val="single" w:color="1A3A6B" w:sz="8" w:space="4"/>
        </w:pBdr>
        <w:spacing w:before="360" w:after="180"/>
      </w:pPr>
      <w:r>
        <w:rPr>
          <w:rFonts w:ascii="Arial" w:cs="Arial" w:eastAsia="Arial" w:hAnsi="Arial"/>
          <w:b/>
          <w:bCs/>
          <w:color w:val="1A3A6B"/>
          <w:sz w:val="36"/>
          <w:szCs w:val="36"/>
        </w:rPr>
        <w:t xml:space="preserve">2. Physical Basis of Each Index</w:t>
      </w:r>
    </w:p>
    <w:p>
      <w:pPr>
        <w:pStyle w:val="Heading2"/>
        <w:spacing w:before="280" w:after="120"/>
      </w:pPr>
      <w:r>
        <w:rPr>
          <w:rFonts w:ascii="Arial" w:cs="Arial" w:eastAsia="Arial" w:hAnsi="Arial"/>
          <w:b/>
          <w:bCs/>
          <w:color w:val="2E75B6"/>
          <w:sz w:val="28"/>
          <w:szCs w:val="28"/>
        </w:rPr>
        <w:t xml:space="preserve">2.1 MNDWI — Modified Normalised Difference Water Index</w:t>
      </w:r>
    </w:p>
    <w:p>
      <w:pPr>
        <w:spacing w:before="60" w:after="60"/>
        <w:jc w:val="left"/>
      </w:pPr>
      <w:r>
        <w:rPr>
          <w:rFonts w:ascii="Arial" w:cs="Arial" w:eastAsia="Arial" w:hAnsi="Arial"/>
          <w:b w:val="false"/>
          <w:bCs w:val="false"/>
          <w:color w:val="000000"/>
          <w:sz w:val="20"/>
          <w:szCs w:val="20"/>
        </w:rPr>
        <w:t xml:space="preserve">Formula: MNDWI = (GREEN − SWIR) / (GREEN + SWIR)  [Xu, 2006]</w:t>
      </w:r>
    </w:p>
    <w:p>
      <w:pPr>
        <w:spacing w:before="60" w:after="60"/>
        <w:jc w:val="left"/>
      </w:pPr>
      <w:r>
        <w:rPr>
          <w:rFonts w:ascii="Arial" w:cs="Arial" w:eastAsia="Arial" w:hAnsi="Arial"/>
          <w:b w:val="false"/>
          <w:bCs w:val="false"/>
          <w:color w:val="000000"/>
          <w:sz w:val="20"/>
          <w:szCs w:val="20"/>
        </w:rPr>
        <w:t xml:space="preserve">Water strongly absorbs SWIR radiation (absorption features at ~1450 nm and ~1950 nm), while GREEN reflectance remains relatively high. This combination produces strongly positive values for open water. The key advantage over the original NDWI (McFeeters 1996) is the replacement of NIR with SWIR, which pushes built-up surfaces into strongly </w:t>
      </w:r>
      <w:r>
        <w:rPr>
          <w:rFonts w:ascii="Arial" w:cs="Arial" w:eastAsia="Arial" w:hAnsi="Arial"/>
          <w:b/>
          <w:bCs/>
          <w:color w:val="000000"/>
          <w:sz w:val="20"/>
          <w:szCs w:val="20"/>
        </w:rPr>
        <w:t xml:space="preserve">negative</w:t>
      </w:r>
      <w:r>
        <w:rPr>
          <w:rFonts w:ascii="Arial" w:cs="Arial" w:eastAsia="Arial" w:hAnsi="Arial"/>
          <w:b w:val="false"/>
          <w:bCs w:val="false"/>
          <w:color w:val="000000"/>
          <w:sz w:val="20"/>
          <w:szCs w:val="20"/>
        </w:rPr>
        <w:t xml:space="preserve"> MNDWI territory — since urban surfaces exhibit high SWIR reflectance — thereby eliminating urban false-positives (Xu 2006; Zhai et al. 2015, Tandfonline).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3A6B" w:val="clear"/>
            <w:tcMar>
              <w:top w:type="dxa" w:w="100"/>
              <w:left w:type="dxa" w:w="120"/>
              <w:bottom w:type="dxa" w:w="100"/>
              <w:right w:type="dxa" w:w="120"/>
            </w:tcMar>
            <w:vAlign w:val="center"/>
          </w:tcPr>
          <w:p>
            <w:pPr>
              <w:spacing w:before="60" w:after="60"/>
              <w:jc w:val="center"/>
            </w:pPr>
            <w:r>
              <w:rPr>
                <w:rFonts w:ascii="Arial" w:cs="Arial" w:eastAsia="Arial" w:hAnsi="Arial"/>
                <w:b/>
                <w:bCs/>
                <w:color w:val="FFFFFF"/>
                <w:sz w:val="20"/>
                <w:szCs w:val="20"/>
              </w:rPr>
              <w:t xml:space="preserve">KEY</w:t>
            </w:r>
          </w:p>
        </w:tc>
        <w:tc>
          <w:tcPr>
            <w:tcW w:type="dxa" w:w="816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20"/>
            </w:tcMar>
          </w:tcPr>
          <w:p>
            <w:pPr>
              <w:spacing w:before="60" w:after="60"/>
              <w:jc w:val="left"/>
            </w:pPr>
            <w:r>
              <w:rPr>
                <w:rFonts w:ascii="Arial" w:cs="Arial" w:eastAsia="Arial" w:hAnsi="Arial"/>
                <w:b w:val="false"/>
                <w:bCs w:val="false"/>
                <w:color w:val="000000"/>
                <w:sz w:val="19"/>
                <w:szCs w:val="19"/>
              </w:rPr>
              <w:t xml:space="preserve">OA &gt; 94.6% for MNDWI vs open water detection across 6 study sites (MDPI Review, Remote Sensing, 2022). MNDWI outperformed NDWI in 4/6 cases. For flood mapping specifically, MNDWI was the most-used index (39.4% of flood studies reviewed).</w:t>
            </w:r>
          </w:p>
        </w:tc>
      </w:tr>
    </w:tbl>
    <w:p>
      <w:pPr>
        <w:pStyle w:val="Heading2"/>
        <w:spacing w:before="280" w:after="120"/>
      </w:pPr>
      <w:r>
        <w:rPr>
          <w:rFonts w:ascii="Arial" w:cs="Arial" w:eastAsia="Arial" w:hAnsi="Arial"/>
          <w:b/>
          <w:bCs/>
          <w:color w:val="2E75B6"/>
          <w:sz w:val="28"/>
          <w:szCs w:val="28"/>
        </w:rPr>
        <w:t xml:space="preserve">2.2 NDVI — Normalised Difference Vegetation Index</w:t>
      </w:r>
    </w:p>
    <w:p>
      <w:pPr>
        <w:spacing w:before="60" w:after="60"/>
        <w:jc w:val="left"/>
      </w:pPr>
      <w:r>
        <w:rPr>
          <w:rFonts w:ascii="Arial" w:cs="Arial" w:eastAsia="Arial" w:hAnsi="Arial"/>
          <w:b w:val="false"/>
          <w:bCs w:val="false"/>
          <w:color w:val="000000"/>
          <w:sz w:val="20"/>
          <w:szCs w:val="20"/>
        </w:rPr>
        <w:t xml:space="preserve">Formula: NDVI = (NIR − RED) / (NIR + RED)  [Rouse et al., 1974]</w:t>
      </w:r>
    </w:p>
    <w:p>
      <w:pPr>
        <w:spacing w:before="60" w:after="60"/>
        <w:jc w:val="left"/>
      </w:pPr>
      <w:r>
        <w:rPr>
          <w:rFonts w:ascii="Arial" w:cs="Arial" w:eastAsia="Arial" w:hAnsi="Arial"/>
          <w:b w:val="false"/>
          <w:bCs w:val="false"/>
          <w:color w:val="000000"/>
          <w:sz w:val="20"/>
          <w:szCs w:val="20"/>
        </w:rPr>
        <w:t xml:space="preserve">Chlorophyll absorbs strongly in RED; healthy vegetation reflects strongly in NIR. Water absorbs NIR → strongly negative or near-zero NDVI. Post-flood NDVI </w:t>
      </w:r>
      <w:r>
        <w:rPr>
          <w:rFonts w:ascii="Arial" w:cs="Arial" w:eastAsia="Arial" w:hAnsi="Arial"/>
          <w:b/>
          <w:bCs/>
          <w:color w:val="000000"/>
          <w:sz w:val="20"/>
          <w:szCs w:val="20"/>
        </w:rPr>
        <w:t xml:space="preserve">drops</w:t>
      </w:r>
      <w:r>
        <w:rPr>
          <w:rFonts w:ascii="Arial" w:cs="Arial" w:eastAsia="Arial" w:hAnsi="Arial"/>
          <w:b w:val="false"/>
          <w:bCs w:val="false"/>
          <w:color w:val="000000"/>
          <w:sz w:val="20"/>
          <w:szCs w:val="20"/>
        </w:rPr>
        <w:t xml:space="preserve"> are used as vegetation stress / damage indicators via the DVDI (Disaster Vegetation Damage Index) framework (Di et al. 2018, International Journal of Disaster Risk Science). The relative difference method (rdNDVI) from Sentinel-2 achieved Kappa = 0.75 for flash flood detection in Afghanistan (MDPI 2022).</w:t>
      </w:r>
    </w:p>
    <w:p>
      <w:pPr>
        <w:pStyle w:val="Heading2"/>
        <w:spacing w:before="280" w:after="120"/>
      </w:pPr>
      <w:r>
        <w:rPr>
          <w:rFonts w:ascii="Arial" w:cs="Arial" w:eastAsia="Arial" w:hAnsi="Arial"/>
          <w:b/>
          <w:bCs/>
          <w:color w:val="2E75B6"/>
          <w:sz w:val="28"/>
          <w:szCs w:val="28"/>
        </w:rPr>
        <w:t xml:space="preserve">2.3 SAR Backscatter (Sentinel-1 C-band)</w:t>
      </w:r>
    </w:p>
    <w:p>
      <w:pPr>
        <w:spacing w:before="60" w:after="60"/>
        <w:jc w:val="left"/>
      </w:pPr>
      <w:r>
        <w:rPr>
          <w:rFonts w:ascii="Arial" w:cs="Arial" w:eastAsia="Arial" w:hAnsi="Arial"/>
          <w:b w:val="false"/>
          <w:bCs w:val="false"/>
          <w:color w:val="000000"/>
          <w:sz w:val="20"/>
          <w:szCs w:val="20"/>
        </w:rPr>
        <w:t xml:space="preserve">Calm open water causes specular reflection at C-band (5.4 GHz): the radar signal scatters away from the sensor, resulting in very low return (dark pixels in SAR imagery). Land surfaces scatter diffusely, returning higher signal. This contrast is the physical basis of SAR flood mapping. VV polarization provides better surface-roughness contrast; VH detects double-bounce from flooded vegetation (ESA SentiWiki; Sree et al. backscatter optimization study).</w:t>
      </w:r>
    </w:p>
    <w:p>
      <w:pPr>
        <w:pStyle w:val="Heading2"/>
        <w:spacing w:before="280" w:after="120"/>
      </w:pPr>
      <w:r>
        <w:rPr>
          <w:rFonts w:ascii="Arial" w:cs="Arial" w:eastAsia="Arial" w:hAnsi="Arial"/>
          <w:b/>
          <w:bCs/>
          <w:color w:val="2E75B6"/>
          <w:sz w:val="28"/>
          <w:szCs w:val="28"/>
        </w:rPr>
        <w:t xml:space="preserve">2.4 JRC Global Surface Water</w:t>
      </w:r>
    </w:p>
    <w:p>
      <w:pPr>
        <w:spacing w:before="60" w:after="60"/>
        <w:jc w:val="left"/>
      </w:pPr>
      <w:r>
        <w:rPr>
          <w:rFonts w:ascii="Arial" w:cs="Arial" w:eastAsia="Arial" w:hAnsi="Arial"/>
          <w:b w:val="false"/>
          <w:bCs w:val="false"/>
          <w:color w:val="000000"/>
          <w:sz w:val="20"/>
          <w:szCs w:val="20"/>
        </w:rPr>
        <w:t xml:space="preserve">The JRC dataset classifies each 30 m pixel as water/non-water using 4.7 million Landsat scenes (1984–2021). The occurrence band gives the percentage of time each pixel was classified as water. Using JRC occurrence to mask permanent water before flood detection is standard practice — failing to do so degrades Otsu threshold performance by violating the bi-modal Gaussian assumption (GitHub flood detection algorithms; Ganga Basin GEE study, Springer 2022).</w:t>
      </w:r>
    </w:p>
    <w:p>
      <w:pPr>
        <w:pStyle w:val="Heading1"/>
        <w:pBdr>
          <w:bottom w:val="single" w:color="1A3A6B" w:sz="8" w:space="4"/>
        </w:pBdr>
        <w:spacing w:before="360" w:after="180"/>
      </w:pPr>
      <w:r>
        <w:rPr>
          <w:rFonts w:ascii="Arial" w:cs="Arial" w:eastAsia="Arial" w:hAnsi="Arial"/>
          <w:b/>
          <w:bCs/>
          <w:color w:val="1A3A6B"/>
          <w:sz w:val="36"/>
          <w:szCs w:val="36"/>
        </w:rPr>
        <w:t xml:space="preserve">3. MNDWI Absolute Thresholds</w:t>
      </w:r>
    </w:p>
    <w:p>
      <w:pPr>
        <w:spacing w:before="60" w:after="60"/>
        <w:jc w:val="left"/>
      </w:pPr>
      <w:r>
        <w:rPr>
          <w:rFonts w:ascii="Arial" w:cs="Arial" w:eastAsia="Arial" w:hAnsi="Arial"/>
          <w:b w:val="false"/>
          <w:bCs w:val="false"/>
          <w:color w:val="555555"/>
          <w:sz w:val="20"/>
          <w:szCs w:val="20"/>
        </w:rPr>
        <w:t xml:space="preserve">Source basis: Xu (2006) original paper; Vembanad flood study (MDPI 2023); Nepal NDWI evaluation (PMC 2018); Piave River flood study (Tandfonline 2022); Xinjiang lake monitoring GEE study (ScienceDirect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4060"/>
      </w:tblGrid>
      <w:tr>
        <w:tc>
          <w:tcPr>
            <w:tcW w:type="dxa" w:w="18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MNDWI Value</w:t>
            </w:r>
          </w:p>
        </w:tc>
        <w:tc>
          <w:tcPr>
            <w:tcW w:type="dxa" w:w="16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19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c>
          <w:tcPr>
            <w:tcW w:type="dxa" w:w="40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Physical Meaning &amp; Evidence</w:t>
            </w:r>
          </w:p>
        </w:tc>
      </w:tr>
      <w:tr>
        <w:tc>
          <w:tcPr>
            <w:tcW w:type="dxa" w:w="1800"/>
            <w:tcBorders>
              <w:top w:val="single" w:color="BBBBBB" w:sz="4"/>
              <w:left w:val="single" w:color="BBBBBB" w:sz="4"/>
              <w:bottom w:val="single" w:color="BBBBBB" w:sz="4"/>
              <w:right w:val="single" w:color="BBBBBB"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&gt; 0.3</w:t>
            </w:r>
          </w:p>
        </w:tc>
        <w:tc>
          <w:tcPr>
            <w:tcW w:type="dxa" w:w="16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Open / Deep Water</w:t>
            </w:r>
          </w:p>
        </w:tc>
        <w:tc>
          <w:tcPr>
            <w:tcW w:type="dxa" w:w="19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Very 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Clear rivers, lakes. SWIR strongly absorbed; GREEN high. Xu (2006) — definitive open water. OA &gt; 94% (MDPI 2022).</w:t>
            </w:r>
          </w:p>
        </w:tc>
      </w:tr>
      <w:tr>
        <w:tc>
          <w:tcPr>
            <w:tcW w:type="dxa" w:w="1800"/>
            <w:tcBorders>
              <w:top w:val="single" w:color="BBBBBB" w:sz="4"/>
              <w:left w:val="single" w:color="BBBBBB" w:sz="4"/>
              <w:bottom w:val="single" w:color="BBBBBB" w:sz="4"/>
              <w:right w:val="single" w:color="BBBBBB" w:sz="4"/>
            </w:tcBorders>
            <w:shd w:fill="1E88E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0.1 → 0.3</w:t>
            </w:r>
          </w:p>
        </w:tc>
        <w:tc>
          <w:tcPr>
            <w:tcW w:type="dxa" w:w="16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Shallow / Turbid Water</w:t>
            </w:r>
          </w:p>
        </w:tc>
        <w:tc>
          <w:tcPr>
            <w:tcW w:type="dxa" w:w="19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Sediment-laden floodwater, turbid channels. High sediment raises SWIR slightly. Confirmed via Sentinel-2 in Vembanad flood (MDPI 2023).</w:t>
            </w:r>
          </w:p>
        </w:tc>
      </w:tr>
      <w:tr>
        <w:tc>
          <w:tcPr>
            <w:tcW w:type="dxa" w:w="1800"/>
            <w:tcBorders>
              <w:top w:val="single" w:color="BBBBBB" w:sz="4"/>
              <w:left w:val="single" w:color="BBBBBB" w:sz="4"/>
              <w:bottom w:val="single" w:color="BBBBBB" w:sz="4"/>
              <w:right w:val="single" w:color="BBBBBB" w:sz="4"/>
            </w:tcBorders>
            <w:shd w:fill="90CAF9"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0.0 → 0.1</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Wet Soil / Marginal Water</w:t>
            </w:r>
          </w:p>
        </w:tc>
        <w:tc>
          <w:tcPr>
            <w:tcW w:type="dxa" w:w="19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Moderate</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Wet soils, marshes, paddy margins. Use with caution — paddy field false positives common at this range (Soltanian et al., 2019 ISPRS).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 → 0.0</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Bare Soil / Dry Veg</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Most non-water land cover falls here. Threshold = 0 is the universal water/non-water split (McFeeters 1996; Xu 2006).</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 -0.3</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Built-up / Dense Veg</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Urban surfaces have HIGH SWIR → strongly negative MNDWI. Key advantage of MNDWI over NDWI: built-up suppressed (Xu 2006; Zhai et al. 2015).</w:t>
            </w:r>
          </w:p>
        </w:tc>
      </w:tr>
    </w:tbl>
    <w:p>
      <w:pPr>
        <w:spacing w:before="6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3A6B" w:val="clear"/>
            <w:tcMar>
              <w:top w:type="dxa" w:w="100"/>
              <w:left w:type="dxa" w:w="120"/>
              <w:bottom w:type="dxa" w:w="100"/>
              <w:right w:type="dxa" w:w="120"/>
            </w:tcMar>
            <w:vAlign w:val="center"/>
          </w:tcPr>
          <w:p>
            <w:pPr>
              <w:spacing w:before="60" w:after="60"/>
              <w:jc w:val="center"/>
            </w:pPr>
            <w:r>
              <w:rPr>
                <w:rFonts w:ascii="Arial" w:cs="Arial" w:eastAsia="Arial" w:hAnsi="Arial"/>
                <w:b/>
                <w:bCs/>
                <w:color w:val="FFFFFF"/>
                <w:sz w:val="20"/>
                <w:szCs w:val="20"/>
              </w:rPr>
              <w:t xml:space="preserve">PADDY ALERT</w:t>
            </w:r>
          </w:p>
        </w:tc>
        <w:tc>
          <w:tcPr>
            <w:tcW w:type="dxa" w:w="816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20"/>
            </w:tcMar>
          </w:tcPr>
          <w:p>
            <w:pPr>
              <w:spacing w:before="60" w:after="60"/>
              <w:jc w:val="left"/>
            </w:pPr>
            <w:r>
              <w:rPr>
                <w:rFonts w:ascii="Arial" w:cs="Arial" w:eastAsia="Arial" w:hAnsi="Arial"/>
                <w:b w:val="false"/>
                <w:bCs w:val="false"/>
                <w:color w:val="000000"/>
                <w:sz w:val="19"/>
                <w:szCs w:val="19"/>
              </w:rPr>
              <w:t xml:space="preserve">MNDWI is excessively sensitive to wet paddy fields. Flooded paddies score 0.0–0.2, causing systematic over-estimation of flood extent in deltaic / rice-growing regions. Cross-check with JRC seasonality (&gt; 5 months/yr) to mask expected seasonal paddy flooding (Soltanian et al. 2019 ISPRS; Comparative Analysis MODIS NDSIs 2020).</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4. NDVI Absolute Thresholds</w:t>
      </w:r>
    </w:p>
    <w:p>
      <w:pPr>
        <w:spacing w:before="60" w:after="60"/>
        <w:jc w:val="left"/>
      </w:pPr>
      <w:r>
        <w:rPr>
          <w:rFonts w:ascii="Arial" w:cs="Arial" w:eastAsia="Arial" w:hAnsi="Arial"/>
          <w:b w:val="false"/>
          <w:bCs w:val="false"/>
          <w:color w:val="555555"/>
          <w:sz w:val="20"/>
          <w:szCs w:val="20"/>
        </w:rPr>
        <w:t xml:space="preserve">Source basis: NASA Earthdata NDVI documentation; Charikar flash flood study (MDPI 2022); Nepal NDWI/NDVI evaluation (PMC 2018); NDVI class ranges from Charikar study with Sentinel-2.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600"/>
        <w:gridCol w:w="4060"/>
      </w:tblGrid>
      <w:tr>
        <w:tc>
          <w:tcPr>
            <w:tcW w:type="dxa" w:w="18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NDVI Value</w:t>
            </w:r>
          </w:p>
        </w:tc>
        <w:tc>
          <w:tcPr>
            <w:tcW w:type="dxa" w:w="19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Land Cover Class</w:t>
            </w:r>
          </w:p>
        </w:tc>
        <w:tc>
          <w:tcPr>
            <w:tcW w:type="dxa" w:w="16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Flood Signal?</w:t>
            </w:r>
          </w:p>
        </w:tc>
        <w:tc>
          <w:tcPr>
            <w:tcW w:type="dxa" w:w="40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Physical Meaning &amp; Evidence</w:t>
            </w:r>
          </w:p>
        </w:tc>
      </w:tr>
      <w:tr>
        <w:tc>
          <w:tcPr>
            <w:tcW w:type="dxa" w:w="1800"/>
            <w:tcBorders>
              <w:top w:val="single" w:color="BBBBBB" w:sz="4"/>
              <w:left w:val="single" w:color="BBBBBB" w:sz="4"/>
              <w:bottom w:val="single" w:color="BBBBBB" w:sz="4"/>
              <w:right w:val="single" w:color="BBBBBB"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&lt; 0.0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Water / Bare Rock / Ice</w:t>
            </w:r>
          </w:p>
        </w:tc>
        <w:tc>
          <w:tcPr>
            <w:tcW w:type="dxa" w:w="16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YES — standing water</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Water absorbs NIR; no vegetation signal. Definitive inundation when combined with MNDWI &gt; 0. NASA Earthdata; Nepal study (PMC 2018).</w:t>
            </w:r>
          </w:p>
        </w:tc>
      </w:tr>
      <w:tr>
        <w:tc>
          <w:tcPr>
            <w:tcW w:type="dxa" w:w="1800"/>
            <w:tcBorders>
              <w:top w:val="single" w:color="BBBBBB" w:sz="4"/>
              <w:left w:val="single" w:color="BBBBBB" w:sz="4"/>
              <w:bottom w:val="single" w:color="BBBBBB" w:sz="4"/>
              <w:right w:val="single" w:color="BBBBBB" w:sz="4"/>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 → 0.15</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Bare Soil / Sparse Veg</w:t>
            </w:r>
          </w:p>
        </w:tc>
        <w:tc>
          <w:tcPr>
            <w:tcW w:type="dxa" w:w="16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Possible — check MNDWI</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Sand, exposed mud, or very sparse cover. NDVI ≈ 0.1 for bare/sparse (Charikar flash flood study, MDPI 2022). Combined rule with MNDWI increases accuracy.</w:t>
            </w:r>
          </w:p>
        </w:tc>
      </w:tr>
      <w:tr>
        <w:tc>
          <w:tcPr>
            <w:tcW w:type="dxa" w:w="1800"/>
            <w:tcBorders>
              <w:top w:val="single" w:color="BBBBBB" w:sz="4"/>
              <w:left w:val="single" w:color="BBBBBB" w:sz="4"/>
              <w:bottom w:val="single" w:color="BBBBBB" w:sz="4"/>
              <w:right w:val="single" w:color="BBBBBB" w:sz="4"/>
            </w:tcBorders>
            <w:shd w:fill="C8E6C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0.15 → 0.30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Shrub / Stressed Crop</w:t>
            </w:r>
          </w:p>
        </w:tc>
        <w:tc>
          <w:tcPr>
            <w:tcW w:type="dxa" w:w="16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Δ signal here = flood stress</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Shrubs and meadows per Sentinel-2 NDVI ranges. Post-flood NDVI drop INTO this zone from &gt; 0.3 = vegetation stress signal (MODIS DVDI literature).</w:t>
            </w:r>
          </w:p>
        </w:tc>
      </w:tr>
      <w:tr>
        <w:tc>
          <w:tcPr>
            <w:tcW w:type="dxa" w:w="1800"/>
            <w:tcBorders>
              <w:top w:val="single" w:color="BBBBBB" w:sz="4"/>
              <w:left w:val="single" w:color="BBBBBB" w:sz="4"/>
              <w:bottom w:val="single" w:color="BBBBBB" w:sz="4"/>
              <w:right w:val="single" w:color="BBBBBB" w:sz="4"/>
            </w:tcBorders>
            <w:shd w:fill="66BB6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0.30 → 0.60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Cropland / Grassland</w:t>
            </w:r>
          </w:p>
        </w:tc>
        <w:tc>
          <w:tcPr>
            <w:tcW w:type="dxa" w:w="16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ΔNDVI &lt; -0.10 = damage</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Normal healthy crop range. ΔNDVI (post-pre) cut-off used in DVDI: 0→-0.1 = slight, -0.1→-0.2 = moderate, -0.2→-0.3 = sub-severe, &lt; -0.3 = serious (Di et al. 2018; Wen et al. 2025).</w:t>
            </w:r>
          </w:p>
        </w:tc>
      </w:tr>
      <w:tr>
        <w:tc>
          <w:tcPr>
            <w:tcW w:type="dxa" w:w="1800"/>
            <w:tcBorders>
              <w:top w:val="single" w:color="BBBBBB" w:sz="4"/>
              <w:left w:val="single" w:color="BBBBBB" w:sz="4"/>
              <w:bottom w:val="single" w:color="BBBBBB" w:sz="4"/>
              <w:right w:val="single" w:color="BBBBBB" w:sz="4"/>
            </w:tcBorders>
            <w:shd w:fill="1B5E2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8"/>
                <w:szCs w:val="18"/>
              </w:rPr>
              <w:t xml:space="preserve">&gt; 0.60</w:t>
            </w:r>
          </w:p>
        </w:tc>
        <w:tc>
          <w:tcPr>
            <w:tcW w:type="dxa" w:w="1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Dense Forest / Tropical Veg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ΔNDVI signal weaker</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Temperate/tropical forest. Flood signal masked by canopy. SAR + L-band preferred for detection under dense canopy (Sentinel-1 Applications, ESA).</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5. ΔNDVI Change Thresholds (Flood Damage Severity)</w:t>
      </w:r>
    </w:p>
    <w:p>
      <w:pPr>
        <w:spacing w:before="60" w:after="60"/>
        <w:jc w:val="left"/>
      </w:pPr>
      <w:r>
        <w:rPr>
          <w:rFonts w:ascii="Arial" w:cs="Arial" w:eastAsia="Arial" w:hAnsi="Arial"/>
          <w:b w:val="false"/>
          <w:bCs w:val="false"/>
          <w:color w:val="000000"/>
          <w:sz w:val="20"/>
          <w:szCs w:val="20"/>
        </w:rPr>
        <w:t xml:space="preserve">ΔNDVI = NDVI_post_flood − NDVI_pre_flood  (or vs. historical median for same DOY)</w:t>
      </w:r>
    </w:p>
    <w:p>
      <w:pPr>
        <w:spacing w:before="60" w:after="60"/>
        <w:jc w:val="left"/>
      </w:pPr>
      <w:r>
        <w:rPr>
          <w:rFonts w:ascii="Arial" w:cs="Arial" w:eastAsia="Arial" w:hAnsi="Arial"/>
          <w:b w:val="false"/>
          <w:bCs w:val="false"/>
          <w:color w:val="555555"/>
          <w:sz w:val="20"/>
          <w:szCs w:val="20"/>
        </w:rPr>
        <w:t xml:space="preserve">Source basis: Di et al. (2018) DVDI — validated across Iowa, Nebraska, Texas flood events (R² = 0.54 with yield loss); Wen et al. (2025) NDVI disaster level for Hebei Province; Construction of Crop Flood Damage Assessment Index CFAI (MDPI Remote Sensing 2024); DVDI systematic review (Agriculture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ΔNDVI (post − pre)</w:t>
            </w:r>
          </w:p>
        </w:tc>
        <w:tc>
          <w:tcPr>
            <w:tcW w:type="dxa" w:w="22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Damage Severity</w:t>
            </w:r>
          </w:p>
        </w:tc>
        <w:tc>
          <w:tcPr>
            <w:tcW w:type="dxa" w:w="49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&amp; 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 → -0.10</w:t>
            </w:r>
          </w:p>
        </w:tc>
        <w:tc>
          <w:tcPr>
            <w:tcW w:type="dxa" w:w="22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Sub-minor / Normal variation</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natural phenological noise; Di et al. (2018) DVDI classification. Not attributable to flood alone.</w:t>
            </w:r>
          </w:p>
        </w:tc>
      </w:tr>
      <w:tr>
        <w:tc>
          <w:tcPr>
            <w:tcW w:type="dxa" w:w="22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 → -0.20</w:t>
            </w:r>
          </w:p>
        </w:tc>
        <w:tc>
          <w:tcPr>
            <w:tcW w:type="dxa" w:w="22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Slight Damage</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Crop growth visibly affected. Consistent across DVDI (Di 2018) and Wen et al. (2025) NDVI disaster level framework.</w:t>
            </w:r>
          </w:p>
        </w:tc>
      </w:tr>
      <w:tr>
        <w:tc>
          <w:tcPr>
            <w:tcW w:type="dxa" w:w="2200"/>
            <w:tcBorders>
              <w:top w:val="single" w:color="BBBBBB" w:sz="4"/>
              <w:left w:val="single" w:color="BBBBBB" w:sz="4"/>
              <w:bottom w:val="single" w:color="BBBBBB" w:sz="4"/>
              <w:right w:val="single" w:color="BBBBBB" w:sz="4"/>
            </w:tcBorders>
            <w:shd w:fill="FFD58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 → -0.30</w:t>
            </w:r>
          </w:p>
        </w:tc>
        <w:tc>
          <w:tcPr>
            <w:tcW w:type="dxa" w:w="2200"/>
            <w:tcBorders>
              <w:top w:val="single" w:color="BBBBBB" w:sz="4"/>
              <w:left w:val="single" w:color="BBBBBB" w:sz="4"/>
              <w:bottom w:val="single" w:color="BBBBBB" w:sz="4"/>
              <w:right w:val="single" w:color="BBBBBB" w:sz="4"/>
            </w:tcBorders>
            <w:shd w:fill="FFD58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Damage</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 et al. (2018), MDPI Remote Sensing. Corroborated by CFAI model (Wen 2025). Yield loss detectable at county scale.</w:t>
            </w:r>
          </w:p>
        </w:tc>
      </w:tr>
      <w:tr>
        <w:tc>
          <w:tcPr>
            <w:tcW w:type="dxa" w:w="22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-0.30 → -0.40</w:t>
            </w:r>
          </w:p>
        </w:tc>
        <w:tc>
          <w:tcPr>
            <w:tcW w:type="dxa" w:w="22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Sub-Severe Damage</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Clear vegetation collapse. Di et al. (2018). Validated in Iowa corn/soybean flood events.</w:t>
            </w:r>
          </w:p>
        </w:tc>
      </w:tr>
      <w:tr>
        <w:tc>
          <w:tcPr>
            <w:tcW w:type="dxa" w:w="2200"/>
            <w:tcBorders>
              <w:top w:val="single" w:color="BBBBBB" w:sz="4"/>
              <w:left w:val="single" w:color="BBBBBB" w:sz="4"/>
              <w:bottom w:val="single" w:color="BBBBBB" w:sz="4"/>
              <w:right w:val="single" w:color="BBBBBB" w:sz="4"/>
            </w:tcBorders>
            <w:shd w:fill="FF6B6B"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&lt; -0.40</w:t>
            </w:r>
          </w:p>
        </w:tc>
        <w:tc>
          <w:tcPr>
            <w:tcW w:type="dxa" w:w="2200"/>
            <w:tcBorders>
              <w:top w:val="single" w:color="BBBBBB" w:sz="4"/>
              <w:left w:val="single" w:color="BBBBBB" w:sz="4"/>
              <w:bottom w:val="single" w:color="BBBBBB" w:sz="4"/>
              <w:right w:val="single" w:color="BBBBBB" w:sz="4"/>
            </w:tcBorders>
            <w:shd w:fill="FF6B6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SEVERE / Complete Loss</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Physical destruction of crop canopy. Di et al. (2018); validated via R² = 0.54 between DVDI and yield loss. NDVI ratio &lt; 1 post-event confirms non-recovery.</w:t>
            </w:r>
          </w:p>
        </w:tc>
      </w:tr>
    </w:tbl>
    <w:p>
      <w:pPr>
        <w:spacing w:before="6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3A6B" w:val="clear"/>
            <w:tcMar>
              <w:top w:type="dxa" w:w="100"/>
              <w:left w:type="dxa" w:w="120"/>
              <w:bottom w:type="dxa" w:w="100"/>
              <w:right w:type="dxa" w:w="120"/>
            </w:tcMar>
            <w:vAlign w:val="center"/>
          </w:tcPr>
          <w:p>
            <w:pPr>
              <w:spacing w:before="60" w:after="60"/>
              <w:jc w:val="center"/>
            </w:pPr>
            <w:r>
              <w:rPr>
                <w:rFonts w:ascii="Arial" w:cs="Arial" w:eastAsia="Arial" w:hAnsi="Arial"/>
                <w:b/>
                <w:bCs/>
                <w:color w:val="FFFFFF"/>
                <w:sz w:val="20"/>
                <w:szCs w:val="20"/>
              </w:rPr>
              <w:t xml:space="preserve">TIMING NOTE</w:t>
            </w:r>
          </w:p>
        </w:tc>
        <w:tc>
          <w:tcPr>
            <w:tcW w:type="dxa" w:w="816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20"/>
            </w:tcMar>
          </w:tcPr>
          <w:p>
            <w:pPr>
              <w:spacing w:before="60" w:after="60"/>
              <w:jc w:val="left"/>
            </w:pPr>
            <w:r>
              <w:rPr>
                <w:rFonts w:ascii="Arial" w:cs="Arial" w:eastAsia="Arial" w:hAnsi="Arial"/>
                <w:b w:val="false"/>
                <w:bCs w:val="false"/>
                <w:color w:val="000000"/>
                <w:sz w:val="19"/>
                <w:szCs w:val="19"/>
              </w:rPr>
              <w:t xml:space="preserve">ΔNDVI must be compared at the same Day-of-Year (DOY) to remove phenological bias. Use historical 10-year median NDVI for the same DOY as the baseline. Post-event window: 4–14 days after flood peak (Di et al. 2018). Satellite: Sentinel-2 (10 m, NDVI) preferred over MODIS (250 m) for localised damage.</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6. SAR Backscatter Thresholds (Sentinel-1)</w:t>
      </w:r>
    </w:p>
    <w:p>
      <w:pPr>
        <w:spacing w:before="60" w:after="60"/>
        <w:jc w:val="left"/>
      </w:pPr>
      <w:r>
        <w:rPr>
          <w:rFonts w:ascii="Arial" w:cs="Arial" w:eastAsia="Arial" w:hAnsi="Arial"/>
          <w:b w:val="false"/>
          <w:bCs w:val="false"/>
          <w:color w:val="555555"/>
          <w:sz w:val="20"/>
          <w:szCs w:val="20"/>
        </w:rPr>
        <w:t xml:space="preserve">Source basis: Optimised SAR backscatter ranges (peer-reviewed academic study via Academia.edu); Dar es Salaam GEE study (Tandfonline 2023); Bayesian BCP time-series detection (arXiv 2025); ESA Sentinel-1 Applications SentiWiki; SAR-based flood mapping tutorial (FSU Jena / EO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c>
          <w:tcPr>
            <w:tcW w:type="dxa" w:w="17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Polarization</w:t>
            </w:r>
          </w:p>
        </w:tc>
        <w:tc>
          <w:tcPr>
            <w:tcW w:type="dxa" w:w="17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Flood Water dB Range</w:t>
            </w:r>
          </w:p>
        </w:tc>
        <w:tc>
          <w:tcPr>
            <w:tcW w:type="dxa" w:w="59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Physics &amp; Source</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VV</w:t>
            </w:r>
          </w:p>
        </w:tc>
        <w:tc>
          <w:tcPr>
            <w:tcW w:type="dxa" w:w="17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 to -15 dB</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Calm water = specular reflection → near-zero backscatter. VV most sensitive to surface roughness and best contrast with dry land. Optimal flood detection range (Sree et al. academic review). Dar es Salaam study: Otsu thresholds converged to -15 to -12 dB (Tandfonline 2023).</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VH</w:t>
            </w:r>
          </w:p>
        </w:tc>
        <w:tc>
          <w:tcPr>
            <w:tcW w:type="dxa" w:w="17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 to -24 dB</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Cross-polarization; sensitive to volume scattering. Flooded vegetation shows double-bounce → anomalous HIGH return. Useful in vegetated/agricultural areas (Bayesian BCP study, arXiv 2025; ESA SentiWiki).</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HH</w:t>
            </w:r>
          </w:p>
        </w:tc>
        <w:tc>
          <w:tcPr>
            <w:tcW w:type="dxa" w:w="17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 to -12 dB</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Generally preferred for flood mapping where available; better land-water demarcation than VV (Henry et al. 2003). Often not available from Sentinel-1 IW mode.</w:t>
            </w:r>
          </w:p>
        </w:tc>
      </w:tr>
      <w:tr>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Δ dB (change)</w:t>
            </w:r>
          </w:p>
        </w:tc>
        <w:tc>
          <w:tcPr>
            <w:tcW w:type="dxa" w:w="17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&gt; 3–5 dB drop</w:t>
            </w:r>
          </w:p>
        </w:tc>
        <w:tc>
          <w:tcPr>
            <w:tcW w:type="dxa" w:w="5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detection: pre-event minus post-event backscatter drop ≥ 3–5 dB indicates likely inundation. Scale factor ≥ 1.25× used in GEE SAR pipelines (GEE Academy 2025). Ratio-based methods outperform static thresholds (Chini tiled-Otsu approach).</w:t>
            </w:r>
          </w:p>
        </w:tc>
      </w:tr>
    </w:tbl>
    <w:p>
      <w:pPr>
        <w:spacing w:before="6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3A6B" w:val="clear"/>
            <w:tcMar>
              <w:top w:type="dxa" w:w="100"/>
              <w:left w:type="dxa" w:w="120"/>
              <w:bottom w:type="dxa" w:w="100"/>
              <w:right w:type="dxa" w:w="120"/>
            </w:tcMar>
            <w:vAlign w:val="center"/>
          </w:tcPr>
          <w:p>
            <w:pPr>
              <w:spacing w:before="60" w:after="60"/>
              <w:jc w:val="center"/>
            </w:pPr>
            <w:r>
              <w:rPr>
                <w:rFonts w:ascii="Arial" w:cs="Arial" w:eastAsia="Arial" w:hAnsi="Arial"/>
                <w:b/>
                <w:bCs/>
                <w:color w:val="FFFFFF"/>
                <w:sz w:val="20"/>
                <w:szCs w:val="20"/>
              </w:rPr>
              <w:t xml:space="preserve">CHANGE VS STATIC</w:t>
            </w:r>
          </w:p>
        </w:tc>
        <w:tc>
          <w:tcPr>
            <w:tcW w:type="dxa" w:w="816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20"/>
            </w:tcMar>
          </w:tcPr>
          <w:p>
            <w:pPr>
              <w:spacing w:before="60" w:after="60"/>
              <w:jc w:val="left"/>
            </w:pPr>
            <w:r>
              <w:rPr>
                <w:rFonts w:ascii="Arial" w:cs="Arial" w:eastAsia="Arial" w:hAnsi="Arial"/>
                <w:b w:val="false"/>
                <w:bCs w:val="false"/>
                <w:color w:val="000000"/>
                <w:sz w:val="19"/>
                <w:szCs w:val="19"/>
              </w:rPr>
              <w:t xml:space="preserve">Static absolute dB thresholds carry high uncertainty across geographic regions and orbit types (ascending vs descending vary by ±2 dB, Dar es Salaam study). For GEE pipelines, use CHANGE DETECTION (ratio or difference between pre/post images) rather than absolute thresholds. The tiled-Otsu algorithm (Chini) maximises bi-class variance and is the recommended automated approach.</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7. JRC Global Surface Water — Occurrence Masking Thresholds</w:t>
      </w:r>
    </w:p>
    <w:p>
      <w:pPr>
        <w:spacing w:before="60" w:after="60"/>
        <w:jc w:val="left"/>
      </w:pPr>
      <w:r>
        <w:rPr>
          <w:rFonts w:ascii="Arial" w:cs="Arial" w:eastAsia="Arial" w:hAnsi="Arial"/>
          <w:b w:val="false"/>
          <w:bCs w:val="false"/>
          <w:color w:val="555555"/>
          <w:sz w:val="20"/>
          <w:szCs w:val="20"/>
        </w:rPr>
        <w:t xml:space="preserve">Source basis: JRC dataset documentation (Google Earth Engine Catalog); GEE Water Resources Management course (SpatialThoughts); Ganga Basin flood study (Springer 2022); NDWFI surface water paper (Science.org 2023); Global Flood Database documentation (GEE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JRC Occurrence (%)</w:t>
            </w:r>
          </w:p>
        </w:tc>
        <w:tc>
          <w:tcPr>
            <w:tcW w:type="dxa" w:w="22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Water Regime</w:t>
            </w:r>
          </w:p>
        </w:tc>
        <w:tc>
          <w:tcPr>
            <w:tcW w:type="dxa" w:w="53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Pipeline Use</w:t>
            </w:r>
          </w:p>
        </w:tc>
      </w:tr>
      <w:tr>
        <w:tc>
          <w:tcPr>
            <w:tcW w:type="dxa" w:w="1800"/>
            <w:tcBorders>
              <w:top w:val="single" w:color="BBBBBB" w:sz="4"/>
              <w:left w:val="single" w:color="BBBBBB" w:sz="4"/>
              <w:bottom w:val="single" w:color="BBBBBB" w:sz="4"/>
              <w:right w:val="single" w:color="BBBBBB" w:sz="4"/>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&gt; 80%</w:t>
            </w:r>
          </w:p>
        </w:tc>
        <w:tc>
          <w:tcPr>
            <w:tcW w:type="dxa" w:w="22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Permanent Water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MASK OUT completely — not flood. Rivers, lakes, reservoirs present every year. Used in all major GEE flood pipelines (Ganga Basin study 2022; GEE Academy SAR tutorial 2025).</w:t>
            </w:r>
          </w:p>
        </w:tc>
      </w:tr>
      <w:tr>
        <w:tc>
          <w:tcPr>
            <w:tcW w:type="dxa" w:w="1800"/>
            <w:tcBorders>
              <w:top w:val="single" w:color="BBBBBB" w:sz="4"/>
              <w:left w:val="single" w:color="BBBBBB" w:sz="4"/>
              <w:bottom w:val="single" w:color="BBBBBB" w:sz="4"/>
              <w:right w:val="single" w:color="BBBBBB" w:sz="4"/>
            </w:tcBorders>
            <w:shd w:fill="90CAF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 → 80%</w:t>
            </w:r>
          </w:p>
        </w:tc>
        <w:tc>
          <w:tcPr>
            <w:tcW w:type="dxa" w:w="22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Seasonal Water</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TREAT WITH CAUTION. May be normal seasonal inundation (paddy fields, floodplains). For 'abnormal flood' detection, mask this zone. For seasonal monitoring, keep it. JRC seasonality band: &gt; 5 months/yr = permanent (GEE course, SpatialThoughts).</w:t>
            </w:r>
          </w:p>
        </w:tc>
      </w:tr>
      <w:tr>
        <w:tc>
          <w:tcPr>
            <w:tcW w:type="dxa" w:w="18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 → 30%</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Infrequent / Episodic</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Potential flood extent zone. JRC max_extent band (0/1) shows maximum ever observed. This range represents valid flood detection area — cross-check with MNDWI/SAR.</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 10%</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Rarely Flooded Land</w:t>
            </w:r>
          </w:p>
        </w:tc>
        <w:tc>
          <w:tcPr>
            <w:tcW w:type="dxa" w:w="5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Abnormal flood signal if MNDWI/SAR flags this as inundated. High priority mapping zone. Use seasonal water frequency WF: seasonal = 0.05 ≤ WF &lt; 0.75; permanent = WF ≥ 0.75 (Science.org NDWFI paper 2023).</w:t>
            </w:r>
          </w:p>
        </w:tc>
      </w:tr>
    </w:tbl>
    <w:p>
      <w:pPr>
        <w:spacing w:before="60" w:after="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BBBB" w:sz="4"/>
              <w:left w:val="single" w:color="BBBBBB" w:sz="4"/>
              <w:bottom w:val="single" w:color="BBBBBB" w:sz="4"/>
              <w:right w:val="single" w:color="BBBBBB" w:sz="4"/>
            </w:tcBorders>
            <w:shd w:fill="1A3A6B" w:val="clear"/>
            <w:tcMar>
              <w:top w:type="dxa" w:w="100"/>
              <w:left w:type="dxa" w:w="120"/>
              <w:bottom w:type="dxa" w:w="100"/>
              <w:right w:type="dxa" w:w="120"/>
            </w:tcMar>
            <w:vAlign w:val="center"/>
          </w:tcPr>
          <w:p>
            <w:pPr>
              <w:spacing w:before="60" w:after="60"/>
              <w:jc w:val="center"/>
            </w:pPr>
            <w:r>
              <w:rPr>
                <w:rFonts w:ascii="Arial" w:cs="Arial" w:eastAsia="Arial" w:hAnsi="Arial"/>
                <w:b/>
                <w:bCs/>
                <w:color w:val="FFFFFF"/>
                <w:sz w:val="20"/>
                <w:szCs w:val="20"/>
              </w:rPr>
              <w:t xml:space="preserve">STANDARD MASK</w:t>
            </w:r>
          </w:p>
        </w:tc>
        <w:tc>
          <w:tcPr>
            <w:tcW w:type="dxa" w:w="816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20"/>
            </w:tcMar>
          </w:tcPr>
          <w:p>
            <w:pPr>
              <w:spacing w:before="60" w:after="60"/>
              <w:jc w:val="left"/>
            </w:pPr>
            <w:r>
              <w:rPr>
                <w:rFonts w:ascii="Arial" w:cs="Arial" w:eastAsia="Arial" w:hAnsi="Arial"/>
                <w:b w:val="false"/>
                <w:bCs w:val="false"/>
                <w:color w:val="000000"/>
                <w:sz w:val="19"/>
                <w:szCs w:val="19"/>
              </w:rPr>
              <w:t xml:space="preserve">The universal GEE flood pipeline convention: mask pixels where JRC seasonality ≥ 10 months/year (permanent water). For 'abnormal' flood detection beyond seasonal patterns, also mask 5–9 months/year pixels and compare with historical wet-season baselines.</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8. Multi-Index Flood Stage Decision Table</w:t>
      </w:r>
    </w:p>
    <w:p>
      <w:pPr>
        <w:spacing w:before="60" w:after="60"/>
        <w:jc w:val="left"/>
      </w:pPr>
      <w:r>
        <w:rPr>
          <w:rFonts w:ascii="Arial" w:cs="Arial" w:eastAsia="Arial" w:hAnsi="Arial"/>
          <w:b/>
          <w:bCs/>
          <w:color w:val="000000"/>
          <w:sz w:val="20"/>
          <w:szCs w:val="20"/>
        </w:rPr>
        <w:t xml:space="preserve">The following logical staging combines all indices into a coherent classification hierarchy. Rules are applied in order; the highest satisfied stage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c>
          <w:tcPr>
            <w:tcW w:type="dxa" w:w="20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Flood Stage</w:t>
            </w:r>
          </w:p>
        </w:tc>
        <w:tc>
          <w:tcPr>
            <w:tcW w:type="dxa" w:w="18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Trigger</w:t>
            </w:r>
          </w:p>
        </w:tc>
        <w:tc>
          <w:tcPr>
            <w:tcW w:type="dxa" w:w="15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Confidence</w:t>
            </w:r>
          </w:p>
        </w:tc>
        <w:tc>
          <w:tcPr>
            <w:tcW w:type="dxa" w:w="40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 Criteria</w:t>
            </w:r>
          </w:p>
        </w:tc>
      </w:tr>
      <w:tr>
        <w:tc>
          <w:tcPr>
            <w:tcW w:type="dxa" w:w="20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Stage 0: No Flood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indices normal</w:t>
            </w:r>
          </w:p>
        </w:tc>
        <w:tc>
          <w:tcPr>
            <w:tcW w:type="dxa" w:w="15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MNDWI &lt; 0 AND NDVI &gt; 0.3 AND JRC_occ &gt; 10% OR SAR ΔdB &lt; 3 dB</w:t>
            </w:r>
          </w:p>
        </w:tc>
      </w:tr>
      <w:tr>
        <w:tc>
          <w:tcPr>
            <w:tcW w:type="dxa" w:w="20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Stage 1: Potential Inundation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MNDWI 0.0→0.1 OR SAR 3–5 dB drop</w:t>
            </w:r>
          </w:p>
        </w:tc>
        <w:tc>
          <w:tcPr>
            <w:tcW w:type="dxa" w:w="15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Moderate</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MNDWI ≥ 0.0 OR SAR ΔdB ≥ 3 dB AND JRC_occ &lt; 30% → flag for review. May be wet soil.</w:t>
            </w:r>
          </w:p>
        </w:tc>
      </w:tr>
      <w:tr>
        <w:tc>
          <w:tcPr>
            <w:tcW w:type="dxa" w:w="2000"/>
            <w:tcBorders>
              <w:top w:val="single" w:color="BBBBBB" w:sz="4"/>
              <w:left w:val="single" w:color="BBBBBB" w:sz="4"/>
              <w:bottom w:val="single" w:color="BBBBBB" w:sz="4"/>
              <w:right w:val="single" w:color="BBBBBB" w:sz="4"/>
            </w:tcBorders>
            <w:shd w:fill="FF98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 2: Confirmed Open Water Flood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MNDWI &gt; 0.1 + SAR low</w:t>
            </w:r>
          </w:p>
        </w:tc>
        <w:tc>
          <w:tcPr>
            <w:tcW w:type="dxa" w:w="15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MNDWI &gt; 0.1 AND SAR ΔdB &gt; 5 dB AND JRC_occ &lt; 30% AND NDVI &lt; 0.15 — confirmed flood. Spatially mask JRC permanent water.</w:t>
            </w:r>
          </w:p>
        </w:tc>
      </w:tr>
      <w:tr>
        <w:tc>
          <w:tcPr>
            <w:tcW w:type="dxa" w:w="20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Stage 3: Flood + Vegetation Damage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ΔNDVI &lt; -0.10</w:t>
            </w:r>
          </w:p>
        </w:tc>
        <w:tc>
          <w:tcPr>
            <w:tcW w:type="dxa" w:w="15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Stage 2 criteria MET + ΔNDVI (post−pre) &lt; -0.10. Severity: slight (-0.1), moderate (-0.2), sub-severe (-0.3), serious (&lt; -0.4) per DVDI (Di et al. 2018).</w:t>
            </w:r>
          </w:p>
        </w:tc>
      </w:tr>
      <w:tr>
        <w:tc>
          <w:tcPr>
            <w:tcW w:type="dxa" w:w="2000"/>
            <w:tcBorders>
              <w:top w:val="single" w:color="BBBBBB" w:sz="4"/>
              <w:left w:val="single" w:color="BBBBBB" w:sz="4"/>
              <w:bottom w:val="single" w:color="BBBBBB" w:sz="4"/>
              <w:right w:val="single" w:color="BBBBBB"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 4: Structural Break (CCDC)</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tBreak &gt; 0</w:t>
            </w:r>
          </w:p>
        </w:tc>
        <w:tc>
          <w:tcPr>
            <w:tcW w:type="dxa" w:w="1500"/>
            <w:tcBorders>
              <w:top w:val="single" w:color="BBBBBB" w:sz="4"/>
              <w:left w:val="single" w:color="BBBBBB" w:sz="4"/>
              <w:bottom w:val="single" w:color="BBBBBB" w:sz="4"/>
              <w:right w:val="single" w:color="BBBBBB"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Very High</w:t>
            </w:r>
          </w:p>
        </w:tc>
        <w:tc>
          <w:tcPr>
            <w:tcW w:type="dxa" w:w="4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CCDC tBreak &gt; 0 on NDVI or MNDWI band. Persistent multi-year change — e.g., river avulsion, permanent waterlogging. Use chiSquareProbability = 0.99 for robust breaks.</w:t>
            </w:r>
          </w:p>
        </w:tc>
      </w:tr>
    </w:tbl>
    <w:p>
      <w:pPr>
        <w:spacing w:before="60" w:after="60"/>
        <w:jc w:val="left"/>
      </w:pPr>
    </w:p>
    <w:p>
      <w:pPr>
        <w:pStyle w:val="Heading1"/>
        <w:pBdr>
          <w:bottom w:val="single" w:color="1A3A6B" w:sz="8" w:space="4"/>
        </w:pBdr>
        <w:spacing w:before="360" w:after="180"/>
      </w:pPr>
      <w:r>
        <w:rPr>
          <w:rFonts w:ascii="Arial" w:cs="Arial" w:eastAsia="Arial" w:hAnsi="Arial"/>
          <w:b/>
          <w:bCs/>
          <w:color w:val="1A3A6B"/>
          <w:sz w:val="36"/>
          <w:szCs w:val="36"/>
        </w:rPr>
        <w:t xml:space="preserve">9. Critical Caveats &amp; Known Failure Modes</w:t>
      </w:r>
    </w:p>
    <w:p>
      <w:pPr>
        <w:pStyle w:val="Heading2"/>
        <w:spacing w:before="280" w:after="120"/>
      </w:pPr>
      <w:r>
        <w:rPr>
          <w:rFonts w:ascii="Arial" w:cs="Arial" w:eastAsia="Arial" w:hAnsi="Arial"/>
          <w:b/>
          <w:bCs/>
          <w:color w:val="2E75B6"/>
          <w:sz w:val="28"/>
          <w:szCs w:val="28"/>
        </w:rPr>
        <w:t xml:space="preserve">9.1 Optical Index Failures</w:t>
      </w:r>
    </w:p>
    <w:p>
      <w:pPr>
        <w:pStyle w:val="ListParagraph"/>
        <w:numPr>
          <w:ilvl w:val="0"/>
          <w:numId w:val="2"/>
        </w:numPr>
        <w:spacing w:before="40" w:after="40"/>
      </w:pPr>
      <w:r>
        <w:rPr>
          <w:rFonts w:ascii="Arial" w:cs="Arial" w:eastAsia="Arial" w:hAnsi="Arial"/>
          <w:sz w:val="20"/>
          <w:szCs w:val="20"/>
        </w:rPr>
        <w:t xml:space="preserve">Cloud cover: MNDWI and NDVI fail completely under cloud. Post-flood optical imagery often unavailable. Pair with SAR for all-weather coverage.</w:t>
      </w:r>
    </w:p>
    <w:p>
      <w:pPr>
        <w:pStyle w:val="ListParagraph"/>
        <w:numPr>
          <w:ilvl w:val="0"/>
          <w:numId w:val="2"/>
        </w:numPr>
        <w:spacing w:before="40" w:after="40"/>
      </w:pPr>
      <w:r>
        <w:rPr>
          <w:rFonts w:ascii="Arial" w:cs="Arial" w:eastAsia="Arial" w:hAnsi="Arial"/>
          <w:sz w:val="20"/>
          <w:szCs w:val="20"/>
        </w:rPr>
        <w:t xml:space="preserve">Shadow confusion: Mountain and urban shadows have similar spectral signatures to water; MNDWI shows false-positive in shadow zones. AWEIsh addresses this (Feyisa et al. 2014).</w:t>
      </w:r>
    </w:p>
    <w:p>
      <w:pPr>
        <w:pStyle w:val="ListParagraph"/>
        <w:numPr>
          <w:ilvl w:val="0"/>
          <w:numId w:val="2"/>
        </w:numPr>
        <w:spacing w:before="40" w:after="40"/>
      </w:pPr>
      <w:r>
        <w:rPr>
          <w:rFonts w:ascii="Arial" w:cs="Arial" w:eastAsia="Arial" w:hAnsi="Arial"/>
          <w:sz w:val="20"/>
          <w:szCs w:val="20"/>
        </w:rPr>
        <w:t xml:space="preserve">Turbid/sediment-laden water: High suspended sediment raises SWIR reflectance, suppressing MNDWI. Use threshold of 0.1 (not 0.0) for turbid flood detection.</w:t>
      </w:r>
    </w:p>
    <w:p>
      <w:pPr>
        <w:pStyle w:val="ListParagraph"/>
        <w:numPr>
          <w:ilvl w:val="0"/>
          <w:numId w:val="2"/>
        </w:numPr>
        <w:spacing w:before="40" w:after="40"/>
      </w:pPr>
      <w:r>
        <w:rPr>
          <w:rFonts w:ascii="Arial" w:cs="Arial" w:eastAsia="Arial" w:hAnsi="Arial"/>
          <w:sz w:val="20"/>
          <w:szCs w:val="20"/>
        </w:rPr>
        <w:t xml:space="preserve">Paddy fields: Systematically the largest false-positive source in South/Southeast Asia deltas. JRC seasonality masking is mandatory.</w:t>
      </w:r>
    </w:p>
    <w:p>
      <w:pPr>
        <w:pStyle w:val="Heading2"/>
        <w:spacing w:before="280" w:after="120"/>
      </w:pPr>
      <w:r>
        <w:rPr>
          <w:rFonts w:ascii="Arial" w:cs="Arial" w:eastAsia="Arial" w:hAnsi="Arial"/>
          <w:b/>
          <w:bCs/>
          <w:color w:val="2E75B6"/>
          <w:sz w:val="28"/>
          <w:szCs w:val="28"/>
        </w:rPr>
        <w:t xml:space="preserve">9.2 SAR Failures</w:t>
      </w:r>
    </w:p>
    <w:p>
      <w:pPr>
        <w:pStyle w:val="ListParagraph"/>
        <w:numPr>
          <w:ilvl w:val="0"/>
          <w:numId w:val="2"/>
        </w:numPr>
        <w:spacing w:before="40" w:after="40"/>
      </w:pPr>
      <w:r>
        <w:rPr>
          <w:rFonts w:ascii="Arial" w:cs="Arial" w:eastAsia="Arial" w:hAnsi="Arial"/>
          <w:sz w:val="20"/>
          <w:szCs w:val="20"/>
        </w:rPr>
        <w:t xml:space="preserve">Wind-roughened water: Wind waves scatter SAR signal back to sensor → water appears bright (dry land signature). Can cause false-negative flood detection.</w:t>
      </w:r>
    </w:p>
    <w:p>
      <w:pPr>
        <w:pStyle w:val="ListParagraph"/>
        <w:numPr>
          <w:ilvl w:val="0"/>
          <w:numId w:val="2"/>
        </w:numPr>
        <w:spacing w:before="40" w:after="40"/>
      </w:pPr>
      <w:r>
        <w:rPr>
          <w:rFonts w:ascii="Arial" w:cs="Arial" w:eastAsia="Arial" w:hAnsi="Arial"/>
          <w:sz w:val="20"/>
          <w:szCs w:val="20"/>
        </w:rPr>
        <w:t xml:space="preserve">Urban double-bounce: Buildings reflect SAR signal strongly. Urban flooding appears bright, not dark — inverse of open-field flood signature.</w:t>
      </w:r>
    </w:p>
    <w:p>
      <w:pPr>
        <w:pStyle w:val="ListParagraph"/>
        <w:numPr>
          <w:ilvl w:val="0"/>
          <w:numId w:val="2"/>
        </w:numPr>
        <w:spacing w:before="40" w:after="40"/>
      </w:pPr>
      <w:r>
        <w:rPr>
          <w:rFonts w:ascii="Arial" w:cs="Arial" w:eastAsia="Arial" w:hAnsi="Arial"/>
          <w:sz w:val="20"/>
          <w:szCs w:val="20"/>
        </w:rPr>
        <w:t xml:space="preserve">Flooded dense vegetation: C-band SAR (Sentinel-1) cannot penetrate dense forest canopy. L-band (ALOS-2) required for sub-canopy flood detection.</w:t>
      </w:r>
    </w:p>
    <w:p>
      <w:pPr>
        <w:pStyle w:val="ListParagraph"/>
        <w:numPr>
          <w:ilvl w:val="0"/>
          <w:numId w:val="2"/>
        </w:numPr>
        <w:spacing w:before="40" w:after="40"/>
      </w:pPr>
      <w:r>
        <w:rPr>
          <w:rFonts w:ascii="Arial" w:cs="Arial" w:eastAsia="Arial" w:hAnsi="Arial"/>
          <w:sz w:val="20"/>
          <w:szCs w:val="20"/>
        </w:rPr>
        <w:t xml:space="preserve">Orbit geometry: Ascending vs descending orbit images have different incidence angles, causing ±2–3 dB backscatter variation. Always filter time-series by orbit direction (BCP study, arXiv 2025).</w:t>
      </w:r>
    </w:p>
    <w:p>
      <w:pPr>
        <w:pStyle w:val="Heading2"/>
        <w:spacing w:before="280" w:after="120"/>
      </w:pPr>
      <w:r>
        <w:rPr>
          <w:rFonts w:ascii="Arial" w:cs="Arial" w:eastAsia="Arial" w:hAnsi="Arial"/>
          <w:b/>
          <w:bCs/>
          <w:color w:val="2E75B6"/>
          <w:sz w:val="28"/>
          <w:szCs w:val="28"/>
        </w:rPr>
        <w:t xml:space="preserve">9.3 Threshold Universality</w:t>
      </w:r>
    </w:p>
    <w:p>
      <w:pPr>
        <w:pStyle w:val="ListParagraph"/>
        <w:numPr>
          <w:ilvl w:val="0"/>
          <w:numId w:val="2"/>
        </w:numPr>
        <w:spacing w:before="40" w:after="40"/>
      </w:pPr>
      <w:r>
        <w:rPr>
          <w:rFonts w:ascii="Arial" w:cs="Arial" w:eastAsia="Arial" w:hAnsi="Arial"/>
          <w:sz w:val="20"/>
          <w:szCs w:val="20"/>
        </w:rPr>
        <w:t xml:space="preserve">No single fixed threshold is globally optimal. The consensus approach: use 0 as the starting point for MNDWI/NDWI, then fine-tune via Otsu or visual inspection per scene.</w:t>
      </w:r>
    </w:p>
    <w:p>
      <w:pPr>
        <w:pStyle w:val="ListParagraph"/>
        <w:numPr>
          <w:ilvl w:val="0"/>
          <w:numId w:val="2"/>
        </w:numPr>
        <w:spacing w:before="40" w:after="40"/>
      </w:pPr>
      <w:r>
        <w:rPr>
          <w:rFonts w:ascii="Arial" w:cs="Arial" w:eastAsia="Arial" w:hAnsi="Arial"/>
          <w:sz w:val="20"/>
          <w:szCs w:val="20"/>
        </w:rPr>
        <w:t xml:space="preserve">For operational pipelines: prefer Otsu adaptive thresholding (1979 IEEE) or tiled-Otsu (Chini) over hardcoded values. Hardcoded values are only justified for rapid-response when computation time is critical.</w:t>
      </w:r>
    </w:p>
    <w:p>
      <w:pPr>
        <w:pStyle w:val="ListParagraph"/>
        <w:numPr>
          <w:ilvl w:val="0"/>
          <w:numId w:val="2"/>
        </w:numPr>
        <w:spacing w:before="40" w:after="40"/>
      </w:pPr>
      <w:r>
        <w:rPr>
          <w:rFonts w:ascii="Arial" w:cs="Arial" w:eastAsia="Arial" w:hAnsi="Arial"/>
          <w:sz w:val="20"/>
          <w:szCs w:val="20"/>
        </w:rPr>
        <w:t xml:space="preserve">Index choice hierarchy for flood: MNDWI &gt; NDWI for built-up areas; NDWI &gt; MNDWI for paddy-field-dominated landscapes (Soltanian 2019); AWEI for shadow-prone mountain areas.</w:t>
      </w:r>
    </w:p>
    <w:p>
      <w:pPr>
        <w:pStyle w:val="Heading1"/>
        <w:pBdr>
          <w:bottom w:val="single" w:color="1A3A6B" w:sz="8" w:space="4"/>
        </w:pBdr>
        <w:spacing w:before="360" w:after="180"/>
      </w:pPr>
      <w:r>
        <w:rPr>
          <w:rFonts w:ascii="Arial" w:cs="Arial" w:eastAsia="Arial" w:hAnsi="Arial"/>
          <w:b/>
          <w:bCs/>
          <w:color w:val="1A3A6B"/>
          <w:sz w:val="36"/>
          <w:szCs w:val="36"/>
        </w:rPr>
        <w:t xml:space="preserve">10. Recommended Hardcoded Values for GEE Pipeline</w:t>
      </w:r>
    </w:p>
    <w:p>
      <w:pPr>
        <w:spacing w:before="60" w:after="60"/>
        <w:jc w:val="left"/>
      </w:pPr>
      <w:r>
        <w:rPr>
          <w:rFonts w:ascii="Arial" w:cs="Arial" w:eastAsia="Arial" w:hAnsi="Arial"/>
          <w:b/>
          <w:bCs/>
          <w:color w:val="000000"/>
          <w:sz w:val="20"/>
          <w:szCs w:val="20"/>
        </w:rPr>
        <w:t xml:space="preserve">When adaptive thresholding is not available or feasible, use these values based on median literature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00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960"/>
            <w:tcBorders>
              <w:top w:val="single" w:color="BBBBBB" w:sz="4"/>
              <w:left w:val="single" w:color="BBBBBB" w:sz="4"/>
              <w:bottom w:val="single" w:color="BBBBBB" w:sz="4"/>
              <w:right w:val="single" w:color="BBBBBB"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MNDWI water threshold</w:t>
            </w:r>
          </w:p>
        </w:tc>
        <w:tc>
          <w:tcPr>
            <w:tcW w:type="dxa" w:w="20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&gt; 0.0 (strict: &gt; 0.1)</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 = universal split (Xu 2006). 0.1 reduces paddy false positives for delta regions.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NDVI open-water flag</w:t>
            </w:r>
          </w:p>
        </w:tc>
        <w:tc>
          <w:tcPr>
            <w:tcW w:type="dxa" w:w="2000"/>
            <w:tcBorders>
              <w:top w:val="single" w:color="BBBBBB" w:sz="4"/>
              <w:left w:val="single" w:color="BBBBBB" w:sz="4"/>
              <w:bottom w:val="single" w:color="BBBBBB" w:sz="4"/>
              <w:right w:val="single" w:color="BBBBBB" w:sz="4"/>
            </w:tcBorders>
            <w:shd w:fill="D6E4F7"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&lt; 0.15</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Below this, pixel has negligible vegetation. Combines cleanly with MNDWI &gt; 0 for water confirmation.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ΔNDVI damage trigger</w:t>
            </w:r>
          </w:p>
        </w:tc>
        <w:tc>
          <w:tcPr>
            <w:tcW w:type="dxa" w:w="20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&lt; -0.10</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 et al. (2018) DVDI: sub-minor below this. Any value &lt; -0.1 is detectable flood-induced stress.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SAR ΔdB change trigger</w:t>
            </w:r>
          </w:p>
        </w:tc>
        <w:tc>
          <w:tcPr>
            <w:tcW w:type="dxa" w:w="20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&gt; 3 dB drop</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Conservative trigger. Scale factor 1.25× used in GEE SAR tutorial. 5 dB for high-confidence confirmation.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JRC permanent water mask</w:t>
            </w:r>
          </w:p>
        </w:tc>
        <w:tc>
          <w:tcPr>
            <w:tcW w:type="dxa" w:w="20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occurrence &gt; 75%</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mask occurrence &gt; 75–80%. For 'abnormal flood only': mask &gt; 30% (seasonal water too).</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JRC seasonal flood zone</w:t>
            </w:r>
          </w:p>
        </w:tc>
        <w:tc>
          <w:tcPr>
            <w:tcW w:type="dxa" w:w="2000"/>
            <w:tcBorders>
              <w:top w:val="single" w:color="BBBBBB" w:sz="4"/>
              <w:left w:val="single" w:color="BBBBBB" w:sz="4"/>
              <w:bottom w:val="single" w:color="BBBBBB" w:sz="4"/>
              <w:right w:val="single" w:color="BBBBBB"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seasonality ≥ 10 months</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Ganga Basin study (Springer 2022) and GEE Academy SAR tutorial use seasonality ≥ 10 for permanent water removal.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CCDC tBreak significance</w:t>
            </w:r>
          </w:p>
        </w:tc>
        <w:tc>
          <w:tcPr>
            <w:tcW w:type="dxa" w:w="2000"/>
            <w:tcBorders>
              <w:top w:val="single" w:color="BBBBBB" w:sz="4"/>
              <w:left w:val="single" w:color="BBBBBB" w:sz="4"/>
              <w:bottom w:val="single" w:color="BBBBBB" w:sz="4"/>
              <w:right w:val="single" w:color="BBBBBB"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tBreak &gt; 0 (both bands)</w:t>
            </w:r>
          </w:p>
        </w:tc>
        <w:tc>
          <w:tcPr>
            <w:tcW w:type="dxa" w:w="4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tBreak &gt; 0 in NDVI AND MNDWI = structural break confirmed. chiSquareProbability = 0.99, minObservations = 6.</w:t>
            </w:r>
          </w:p>
        </w:tc>
      </w:tr>
    </w:tbl>
    <w:p>
      <w:pPr>
        <w:pStyle w:val="Heading1"/>
        <w:pBdr>
          <w:bottom w:val="single" w:color="1A3A6B" w:sz="8" w:space="4"/>
        </w:pBdr>
        <w:spacing w:before="360" w:after="180"/>
      </w:pPr>
      <w:r>
        <w:rPr>
          <w:rFonts w:ascii="Arial" w:cs="Arial" w:eastAsia="Arial" w:hAnsi="Arial"/>
          <w:b/>
          <w:bCs/>
          <w:color w:val="1A3A6B"/>
          <w:sz w:val="36"/>
          <w:szCs w:val="36"/>
        </w:rPr>
        <w:t xml:space="preserve">11. Key Literature References</w:t>
      </w:r>
    </w:p>
    <w:p>
      <w:pPr>
        <w:spacing w:before="60" w:after="60"/>
        <w:jc w:val="left"/>
      </w:pPr>
      <w:r>
        <w:rPr>
          <w:rFonts w:ascii="Arial" w:cs="Arial" w:eastAsia="Arial" w:hAnsi="Arial"/>
          <w:b w:val="false"/>
          <w:bCs w:val="false"/>
          <w:color w:val="000000"/>
          <w:sz w:val="20"/>
          <w:szCs w:val="20"/>
        </w:rPr>
        <w:t xml:space="preserve">The following peer-reviewed sources directly support the thresholds in this document.</w:t>
      </w:r>
    </w:p>
    <w:p>
      <w:pPr>
        <w:pStyle w:val="ListParagraph"/>
        <w:numPr>
          <w:ilvl w:val="0"/>
          <w:numId w:val="2"/>
        </w:numPr>
        <w:spacing w:before="40" w:after="40"/>
      </w:pPr>
      <w:r>
        <w:rPr>
          <w:rFonts w:ascii="Arial" w:cs="Arial" w:eastAsia="Arial" w:hAnsi="Arial"/>
          <w:sz w:val="20"/>
          <w:szCs w:val="20"/>
        </w:rPr>
        <w:t xml:space="preserve">Xu, H. (2006). Modification of normalised difference water index (MNDWI). International Journal of Remote Sensing, 27(14). — Original MNDWI formulation.</w:t>
      </w:r>
    </w:p>
    <w:p>
      <w:pPr>
        <w:pStyle w:val="ListParagraph"/>
        <w:numPr>
          <w:ilvl w:val="0"/>
          <w:numId w:val="2"/>
        </w:numPr>
        <w:spacing w:before="40" w:after="40"/>
      </w:pPr>
      <w:r>
        <w:rPr>
          <w:rFonts w:ascii="Arial" w:cs="Arial" w:eastAsia="Arial" w:hAnsi="Arial"/>
          <w:sz w:val="20"/>
          <w:szCs w:val="20"/>
        </w:rPr>
        <w:t xml:space="preserve">McFeeters, S.K. (1996). The use of normalised difference water index (NDWI). International Journal of Remote Sensing. — NDWI threshold = 0 origin.</w:t>
      </w:r>
    </w:p>
    <w:p>
      <w:pPr>
        <w:pStyle w:val="ListParagraph"/>
        <w:numPr>
          <w:ilvl w:val="0"/>
          <w:numId w:val="2"/>
        </w:numPr>
        <w:spacing w:before="40" w:after="40"/>
      </w:pPr>
      <w:r>
        <w:rPr>
          <w:rFonts w:ascii="Arial" w:cs="Arial" w:eastAsia="Arial" w:hAnsi="Arial"/>
          <w:sz w:val="20"/>
          <w:szCs w:val="20"/>
        </w:rPr>
        <w:t xml:space="preserve">Di, L. et al. (2018). Remote Sensing-Based Rapid Assessment of Flood Crop Damage Using Novel DVDI. International Journal of Disaster Risk Science. — ΔNDVI damage classes.</w:t>
      </w:r>
    </w:p>
    <w:p>
      <w:pPr>
        <w:pStyle w:val="ListParagraph"/>
        <w:numPr>
          <w:ilvl w:val="0"/>
          <w:numId w:val="2"/>
        </w:numPr>
        <w:spacing w:before="40" w:after="40"/>
      </w:pPr>
      <w:r>
        <w:rPr>
          <w:rFonts w:ascii="Arial" w:cs="Arial" w:eastAsia="Arial" w:hAnsi="Arial"/>
          <w:sz w:val="20"/>
          <w:szCs w:val="20"/>
        </w:rPr>
        <w:t xml:space="preserve">Wen et al. (2025). NDVI disaster level for crop flood damage, Hebei Province. — Corroboration of DVDI thresholds.</w:t>
      </w:r>
    </w:p>
    <w:p>
      <w:pPr>
        <w:pStyle w:val="ListParagraph"/>
        <w:numPr>
          <w:ilvl w:val="0"/>
          <w:numId w:val="2"/>
        </w:numPr>
        <w:spacing w:before="40" w:after="40"/>
      </w:pPr>
      <w:r>
        <w:rPr>
          <w:rFonts w:ascii="Arial" w:cs="Arial" w:eastAsia="Arial" w:hAnsi="Arial"/>
          <w:sz w:val="20"/>
          <w:szCs w:val="20"/>
        </w:rPr>
        <w:t xml:space="preserve">Pekel, J-F. et al. (2016). High-resolution mapping of global surface water and its long-term changes. Nature. — JRC GSW dataset foundation.</w:t>
      </w:r>
    </w:p>
    <w:p>
      <w:pPr>
        <w:pStyle w:val="ListParagraph"/>
        <w:numPr>
          <w:ilvl w:val="0"/>
          <w:numId w:val="2"/>
        </w:numPr>
        <w:spacing w:before="40" w:after="40"/>
      </w:pPr>
      <w:r>
        <w:rPr>
          <w:rFonts w:ascii="Arial" w:cs="Arial" w:eastAsia="Arial" w:hAnsi="Arial"/>
          <w:sz w:val="20"/>
          <w:szCs w:val="20"/>
        </w:rPr>
        <w:t xml:space="preserve">Feyisa, G.L. et al. (2014). Automated Water Extraction Index (AWEI). Remote Sensing of Environment. — AWEI shadow-handling approach.</w:t>
      </w:r>
    </w:p>
    <w:p>
      <w:pPr>
        <w:pStyle w:val="ListParagraph"/>
        <w:numPr>
          <w:ilvl w:val="0"/>
          <w:numId w:val="2"/>
        </w:numPr>
        <w:spacing w:before="40" w:after="40"/>
      </w:pPr>
      <w:r>
        <w:rPr>
          <w:rFonts w:ascii="Arial" w:cs="Arial" w:eastAsia="Arial" w:hAnsi="Arial"/>
          <w:sz w:val="20"/>
          <w:szCs w:val="20"/>
        </w:rPr>
        <w:t xml:space="preserve">Soltanian, F.K. et al. (2019). Flood monitoring using NDWI and MNDWI spectral indices. ISPRS Archives. — Paddy-field overestimation by MNDWI confirmed.</w:t>
      </w:r>
    </w:p>
    <w:p>
      <w:pPr>
        <w:pStyle w:val="ListParagraph"/>
        <w:numPr>
          <w:ilvl w:val="0"/>
          <w:numId w:val="2"/>
        </w:numPr>
        <w:spacing w:before="40" w:after="40"/>
      </w:pPr>
      <w:r>
        <w:rPr>
          <w:rFonts w:ascii="Arial" w:cs="Arial" w:eastAsia="Arial" w:hAnsi="Arial"/>
          <w:sz w:val="20"/>
          <w:szCs w:val="20"/>
        </w:rPr>
        <w:t xml:space="preserve">Zhai et al. (2015). Comparison of surface water extraction: NDWI, MNDWI, AWEI. Tandfonline. — OLI vs TM performance.</w:t>
      </w:r>
    </w:p>
    <w:p>
      <w:pPr>
        <w:pStyle w:val="ListParagraph"/>
        <w:numPr>
          <w:ilvl w:val="0"/>
          <w:numId w:val="2"/>
        </w:numPr>
        <w:spacing w:before="40" w:after="40"/>
      </w:pPr>
      <w:r>
        <w:rPr>
          <w:rFonts w:ascii="Arial" w:cs="Arial" w:eastAsia="Arial" w:hAnsi="Arial"/>
          <w:sz w:val="20"/>
          <w:szCs w:val="20"/>
        </w:rPr>
        <w:t xml:space="preserve">MDPI Remote Sensing Review (2022). Detection of Surface Water and Floods with Multispectral Satellites. — OA &gt; 94.6% for MNDWI.</w:t>
      </w:r>
    </w:p>
    <w:p>
      <w:pPr>
        <w:pStyle w:val="ListParagraph"/>
        <w:numPr>
          <w:ilvl w:val="0"/>
          <w:numId w:val="2"/>
        </w:numPr>
        <w:spacing w:before="40" w:after="40"/>
      </w:pPr>
      <w:r>
        <w:rPr>
          <w:rFonts w:ascii="Arial" w:cs="Arial" w:eastAsia="Arial" w:hAnsi="Arial"/>
          <w:sz w:val="20"/>
          <w:szCs w:val="20"/>
        </w:rPr>
        <w:t xml:space="preserve">Sree et al. Optimization of SAR backscatter threshold ranges for flood mapping. — VV -6 to -15 dB; VH -15 to -24 dB.</w:t>
      </w:r>
    </w:p>
    <w:p>
      <w:pPr>
        <w:pStyle w:val="ListParagraph"/>
        <w:numPr>
          <w:ilvl w:val="0"/>
          <w:numId w:val="2"/>
        </w:numPr>
        <w:spacing w:before="40" w:after="40"/>
      </w:pPr>
      <w:r>
        <w:rPr>
          <w:rFonts w:ascii="Arial" w:cs="Arial" w:eastAsia="Arial" w:hAnsi="Arial"/>
          <w:sz w:val="20"/>
          <w:szCs w:val="20"/>
        </w:rPr>
        <w:t xml:space="preserve">Markert et al. (2020) / Chini et al. Tiled-Otsu thresholding for SAR flood mapping. — Adaptive threshold methodology.</w:t>
      </w:r>
    </w:p>
    <w:p>
      <w:pPr>
        <w:pStyle w:val="ListParagraph"/>
        <w:numPr>
          <w:ilvl w:val="0"/>
          <w:numId w:val="2"/>
        </w:numPr>
        <w:spacing w:before="40" w:after="40"/>
      </w:pPr>
      <w:r>
        <w:rPr>
          <w:rFonts w:ascii="Arial" w:cs="Arial" w:eastAsia="Arial" w:hAnsi="Arial"/>
          <w:sz w:val="20"/>
          <w:szCs w:val="20"/>
        </w:rPr>
        <w:t xml:space="preserve">Bayesian BCP SAR time-series detection (arXiv 2025). — Combined VV+VH Bayesian change point, F1 scores 0.49–0.75.</w:t>
      </w:r>
    </w:p>
    <w:p>
      <w:pPr>
        <w:pStyle w:val="ListParagraph"/>
        <w:numPr>
          <w:ilvl w:val="0"/>
          <w:numId w:val="2"/>
        </w:numPr>
        <w:spacing w:before="40" w:after="40"/>
      </w:pPr>
      <w:r>
        <w:rPr>
          <w:rFonts w:ascii="Arial" w:cs="Arial" w:eastAsia="Arial" w:hAnsi="Arial"/>
          <w:sz w:val="20"/>
          <w:szCs w:val="20"/>
        </w:rPr>
        <w:t xml:space="preserve">GEE Academy SAR Flood Tutorial (2025). — JRC seasonality ≥ 10 months as permanent water mask.</w:t>
      </w:r>
    </w:p>
    <w:p>
      <w:pPr>
        <w:pStyle w:val="ListParagraph"/>
        <w:numPr>
          <w:ilvl w:val="0"/>
          <w:numId w:val="2"/>
        </w:numPr>
        <w:spacing w:before="40" w:after="40"/>
      </w:pPr>
      <w:r>
        <w:rPr>
          <w:rFonts w:ascii="Arial" w:cs="Arial" w:eastAsia="Arial" w:hAnsi="Arial"/>
          <w:sz w:val="20"/>
          <w:szCs w:val="20"/>
        </w:rPr>
        <w:t xml:space="preserve">Ganga Basin COVID-19 flood study (Springer 2022). — JRC 10-month mask in operational GEE pipeline.</w:t>
      </w:r>
    </w:p>
    <w:p>
      <w:pPr>
        <w:pBdr>
          <w:bottom w:val="single" w:color="CCCCCC" w:sz="4" w:space="2"/>
        </w:pBdr>
        <w:spacing w:before="120" w:after="120"/>
      </w:pPr>
    </w:p>
    <w:p>
      <w:pPr>
        <w:spacing w:before="60" w:after="60"/>
        <w:jc w:val="center"/>
      </w:pPr>
      <w:r>
        <w:rPr>
          <w:rFonts w:ascii="Arial" w:cs="Arial" w:eastAsia="Arial" w:hAnsi="Arial"/>
          <w:b w:val="false"/>
          <w:bCs w:val="false"/>
          <w:color w:val="888888"/>
          <w:sz w:val="18"/>
          <w:szCs w:val="18"/>
        </w:rPr>
        <w:t xml:space="preserve">Document generated from deep literature study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2026-03-03T11:14:33.412Z</dcterms:created>
  <dcterms:modified xsi:type="dcterms:W3CDTF">2026-03-03T11:14:33.413Z</dcterms:modified>
</cp:coreProperties>
</file>

<file path=docProps/custom.xml><?xml version="1.0" encoding="utf-8"?>
<Properties xmlns="http://schemas.openxmlformats.org/officeDocument/2006/custom-properties" xmlns:vt="http://schemas.openxmlformats.org/officeDocument/2006/docPropsVTypes"/>
</file>