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E62" w14:textId="77777777" w:rsidR="00C15262" w:rsidRDefault="00137602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137602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21ECE492" w:rsidR="00C15262" w:rsidRDefault="00137602">
            <w:pPr>
              <w:pStyle w:val="TableParagraph"/>
              <w:spacing w:line="234" w:lineRule="exact"/>
              <w:ind w:left="110"/>
            </w:pPr>
            <w:r>
              <w:t>11</w:t>
            </w:r>
            <w:r w:rsidR="00820EA8" w:rsidRPr="00820EA8">
              <w:rPr>
                <w:vertAlign w:val="superscript"/>
              </w:rPr>
              <w:t>h</w:t>
            </w:r>
            <w:r w:rsidR="00820EA8">
              <w:t xml:space="preserve"> </w:t>
            </w:r>
            <w:r>
              <w:t>July</w:t>
            </w:r>
            <w:r w:rsidR="00820EA8">
              <w:t>, 202</w:t>
            </w:r>
            <w:r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13760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67B15B82" w:rsidR="00C15262" w:rsidRDefault="00137602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LTVIP2025TMID45098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13760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C15262" w:rsidRDefault="00820EA8" w:rsidP="00820EA8">
            <w:pPr>
              <w:pStyle w:val="TableParagraph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13760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137602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137602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137602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137602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137602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 w14:textId="77777777" w:rsidR="00C15262" w:rsidRDefault="001376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137602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137602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137602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137602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137602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137602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137602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137602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137602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137602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137602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137602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137602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137602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137602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137602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137602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137602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137602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137602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137602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137602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137602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 w14:textId="77777777" w:rsidR="00C15262" w:rsidRDefault="001376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1376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137602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137602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13760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>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137602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137602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 w14:textId="77777777" w:rsidR="00C15262" w:rsidRDefault="001376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13760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137602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Default="00137602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7A0667" w:rsidRDefault="000E1B4A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7A0667" w:rsidRDefault="000E1B4A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E1B4A"/>
    <w:rsid w:val="00137602"/>
    <w:rsid w:val="0027017B"/>
    <w:rsid w:val="003C750E"/>
    <w:rsid w:val="007A0667"/>
    <w:rsid w:val="00820EA8"/>
    <w:rsid w:val="00874032"/>
    <w:rsid w:val="00B9419C"/>
    <w:rsid w:val="00C15262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Arshiya</cp:lastModifiedBy>
  <cp:revision>6</cp:revision>
  <cp:lastPrinted>2023-11-14T09:47:00Z</cp:lastPrinted>
  <dcterms:created xsi:type="dcterms:W3CDTF">2023-11-14T09:49:00Z</dcterms:created>
  <dcterms:modified xsi:type="dcterms:W3CDTF">2025-07-21T13:05:00Z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