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7B1C" w14:textId="4E52DE26" w:rsidR="004965B0" w:rsidRPr="00BE15D7" w:rsidRDefault="00BE15D7" w:rsidP="00A27F7D">
      <w:pPr>
        <w:pStyle w:val="Title"/>
        <w:spacing w:after="240"/>
        <w:rPr>
          <w:szCs w:val="28"/>
        </w:rPr>
      </w:pPr>
      <w:r w:rsidRPr="00BE15D7">
        <w:rPr>
          <w:szCs w:val="28"/>
        </w:rPr>
        <w:t>Evaluating Residential Investment Strategies</w:t>
      </w:r>
    </w:p>
    <w:p w14:paraId="2FC246EA" w14:textId="7F97EDFF" w:rsidR="005E0F49" w:rsidRPr="00846E53" w:rsidRDefault="005E0F49" w:rsidP="005E0F49">
      <w:pPr>
        <w:pStyle w:val="Authornames"/>
        <w:rPr>
          <w:sz w:val="20"/>
          <w:szCs w:val="20"/>
        </w:rPr>
      </w:pPr>
      <w:r>
        <w:rPr>
          <w:sz w:val="20"/>
          <w:szCs w:val="20"/>
        </w:rPr>
        <w:t>Joshi Shreya, Shaik Salma Aga, Upputuri Lakshmi Anusha, Yeluri Monica</w:t>
      </w:r>
    </w:p>
    <w:p w14:paraId="4B273C4C" w14:textId="77777777" w:rsidR="005E0F49" w:rsidRPr="000B5974" w:rsidRDefault="005E0F49" w:rsidP="005E0F49">
      <w:pPr>
        <w:pStyle w:val="Authornames"/>
        <w:rPr>
          <w:sz w:val="20"/>
          <w:szCs w:val="20"/>
        </w:rPr>
      </w:pPr>
      <w:r>
        <w:rPr>
          <w:sz w:val="20"/>
          <w:szCs w:val="20"/>
        </w:rPr>
        <w:t>ISE 200, San José State University, San José, CA</w:t>
      </w:r>
    </w:p>
    <w:p w14:paraId="29BFA27D" w14:textId="29E849BD" w:rsidR="005F5F01" w:rsidRPr="00B765F7" w:rsidRDefault="003D01E9" w:rsidP="00CD10C3">
      <w:pPr>
        <w:pStyle w:val="Abstract"/>
        <w:spacing w:before="202"/>
      </w:pPr>
      <w:r w:rsidRPr="003D01E9">
        <w:t xml:space="preserve">Investing in real estate in desirable areas like San Jose and Sunnyvale requires a deep grasp of finances for stability. Understanding the economic terrain is key to secure long-term success in property </w:t>
      </w:r>
      <w:r w:rsidR="005E0F49" w:rsidRPr="003D01E9">
        <w:t>ventures. This</w:t>
      </w:r>
      <w:r w:rsidRPr="003D01E9">
        <w:t xml:space="preserve"> study delves into the economic ramifications of property acquisition in these vibrant Silicon Valley regions. Various purchasing methods are considered, encompassing both conventional and innovative approaches, while employing financial metrics like Net Present Value (NPV) and Equivalent Uniform Annual Worth (EUAW).</w:t>
      </w:r>
      <w:r w:rsidR="008F105D">
        <w:t xml:space="preserve"> </w:t>
      </w:r>
      <w:r w:rsidRPr="003D01E9">
        <w:t>By comprehensively analyzing costs, returns, and risk factors, this study equips individuals and investors with the insights necessary to navigate the booming real estate markets in these coveted Silicon Valley locations. It aims to provide a nuanced understanding of financial sustainability, offering guidance amidst competitive domestic real estate demands, enabling stakeholders to make well-informed choices regarding property acquisition and investment</w:t>
      </w:r>
    </w:p>
    <w:p w14:paraId="37C964E9" w14:textId="77777777" w:rsidR="00751A8D" w:rsidRPr="00846E53" w:rsidRDefault="00751A8D" w:rsidP="003A0086">
      <w:pPr>
        <w:pStyle w:val="Keywords"/>
        <w:rPr>
          <w:szCs w:val="20"/>
        </w:rPr>
      </w:pPr>
    </w:p>
    <w:p w14:paraId="44310DC5" w14:textId="77777777" w:rsidR="002F44B0" w:rsidRPr="00846E53" w:rsidRDefault="002F44B0" w:rsidP="00AE7182">
      <w:pPr>
        <w:rPr>
          <w:sz w:val="20"/>
          <w:szCs w:val="20"/>
        </w:rPr>
        <w:sectPr w:rsidR="002F44B0" w:rsidRPr="00846E53" w:rsidSect="00F65F05">
          <w:headerReference w:type="default" r:id="rId12"/>
          <w:footerReference w:type="default" r:id="rId13"/>
          <w:type w:val="continuous"/>
          <w:pgSz w:w="12240" w:h="15840" w:code="1"/>
          <w:pgMar w:top="1440" w:right="720" w:bottom="720" w:left="720" w:header="720" w:footer="720" w:gutter="0"/>
          <w:cols w:space="720"/>
          <w:docGrid w:linePitch="360"/>
        </w:sectPr>
      </w:pPr>
    </w:p>
    <w:p w14:paraId="28EA1137" w14:textId="0C48716A" w:rsidR="00A10143" w:rsidRPr="0085348B" w:rsidRDefault="005F053C" w:rsidP="00054E4B">
      <w:pPr>
        <w:pStyle w:val="Heading1nospacingbefore"/>
        <w:rPr>
          <w:rFonts w:cs="Times New Roman"/>
        </w:rPr>
      </w:pPr>
      <w:r w:rsidRPr="0085348B">
        <w:rPr>
          <w:rFonts w:cs="Times New Roman"/>
          <w:sz w:val="24"/>
        </w:rPr>
        <w:t>Introduction</w:t>
      </w:r>
    </w:p>
    <w:p w14:paraId="1AC75DAC" w14:textId="3FEB3BA8" w:rsidR="00B765F7" w:rsidRPr="00766683" w:rsidRDefault="005E0F49" w:rsidP="005E0F49">
      <w:pPr>
        <w:jc w:val="both"/>
        <w:rPr>
          <w:color w:val="0D0D0D"/>
          <w:sz w:val="20"/>
          <w:szCs w:val="20"/>
          <w:shd w:val="clear" w:color="auto" w:fill="FFFFFF"/>
        </w:rPr>
      </w:pPr>
      <w:bookmarkStart w:id="0" w:name="_Hlk165599021"/>
      <w:r>
        <w:rPr>
          <w:color w:val="0D0D0D"/>
          <w:sz w:val="20"/>
          <w:szCs w:val="20"/>
          <w:shd w:val="clear" w:color="auto" w:fill="FFFFFF"/>
        </w:rPr>
        <w:t xml:space="preserve">        </w:t>
      </w:r>
      <w:r w:rsidR="00FC2E7C" w:rsidRPr="00FC2E7C">
        <w:rPr>
          <w:color w:val="0D0D0D"/>
          <w:sz w:val="20"/>
          <w:szCs w:val="20"/>
          <w:shd w:val="clear" w:color="auto" w:fill="FFFFFF"/>
        </w:rPr>
        <w:t>It is important for people to look at financial sustainability if planning to buy a house or invest in real estate at San Jose and Sunnyvale. The present study investigates the financial consequences of purchasing or renting such structures through four distinct financing arrangements: cash payment in full, bank loan spread over five years, buyout via third party over seven years, and lease/rent scenarios. To give a thorough knowledge of the long-term financial implications of each choice, the analysis will include important financial measurements including Net Present Value (NPV) and Equivalent Uniform Annual Worth (EUAW</w:t>
      </w:r>
      <w:r w:rsidR="00DD2EAF" w:rsidRPr="00FC2E7C">
        <w:rPr>
          <w:color w:val="0D0D0D"/>
          <w:sz w:val="20"/>
          <w:szCs w:val="20"/>
          <w:shd w:val="clear" w:color="auto" w:fill="FFFFFF"/>
        </w:rPr>
        <w:t>). This</w:t>
      </w:r>
      <w:r w:rsidR="00FC2E7C" w:rsidRPr="00FC2E7C">
        <w:rPr>
          <w:color w:val="0D0D0D"/>
          <w:sz w:val="20"/>
          <w:szCs w:val="20"/>
          <w:shd w:val="clear" w:color="auto" w:fill="FFFFFF"/>
        </w:rPr>
        <w:t xml:space="preserve"> study aspires </w:t>
      </w:r>
      <w:r w:rsidR="00C03955" w:rsidRPr="00FC2E7C">
        <w:rPr>
          <w:color w:val="0D0D0D"/>
          <w:sz w:val="20"/>
          <w:szCs w:val="20"/>
          <w:shd w:val="clear" w:color="auto" w:fill="FFFFFF"/>
        </w:rPr>
        <w:t>to give</w:t>
      </w:r>
      <w:r w:rsidR="00FC2E7C" w:rsidRPr="00FC2E7C">
        <w:rPr>
          <w:color w:val="0D0D0D"/>
          <w:sz w:val="20"/>
          <w:szCs w:val="20"/>
          <w:shd w:val="clear" w:color="auto" w:fill="FFFFFF"/>
        </w:rPr>
        <w:t xml:space="preserve"> consumers with the knowledge they need to make </w:t>
      </w:r>
      <w:r w:rsidR="00C03955" w:rsidRPr="00FC2E7C">
        <w:rPr>
          <w:color w:val="0D0D0D"/>
          <w:sz w:val="20"/>
          <w:szCs w:val="20"/>
          <w:shd w:val="clear" w:color="auto" w:fill="FFFFFF"/>
        </w:rPr>
        <w:t>informed opinions</w:t>
      </w:r>
      <w:r w:rsidR="00FC2E7C" w:rsidRPr="00FC2E7C">
        <w:rPr>
          <w:color w:val="0D0D0D"/>
          <w:sz w:val="20"/>
          <w:szCs w:val="20"/>
          <w:shd w:val="clear" w:color="auto" w:fill="FFFFFF"/>
        </w:rPr>
        <w:t xml:space="preserve"> in extremely competitive domestic real </w:t>
      </w:r>
      <w:r w:rsidR="00063349" w:rsidRPr="00FC2E7C">
        <w:rPr>
          <w:color w:val="0D0D0D"/>
          <w:sz w:val="20"/>
          <w:szCs w:val="20"/>
          <w:shd w:val="clear" w:color="auto" w:fill="FFFFFF"/>
        </w:rPr>
        <w:t>estate requests</w:t>
      </w:r>
      <w:r w:rsidR="00FC2E7C" w:rsidRPr="00FC2E7C">
        <w:rPr>
          <w:color w:val="0D0D0D"/>
          <w:sz w:val="20"/>
          <w:szCs w:val="20"/>
          <w:shd w:val="clear" w:color="auto" w:fill="FFFFFF"/>
        </w:rPr>
        <w:t>.</w:t>
      </w:r>
      <w:bookmarkEnd w:id="0"/>
    </w:p>
    <w:p w14:paraId="36A32BDF" w14:textId="55EDB1B5" w:rsidR="002B4999" w:rsidRPr="0085348B" w:rsidRDefault="002B4999" w:rsidP="002B4999">
      <w:pPr>
        <w:pStyle w:val="BodyText"/>
        <w:rPr>
          <w:szCs w:val="20"/>
        </w:rPr>
      </w:pPr>
    </w:p>
    <w:p w14:paraId="2CD6C907" w14:textId="6CFD1453" w:rsidR="009C546B" w:rsidRDefault="00792D94" w:rsidP="00FA0D2B">
      <w:pPr>
        <w:pStyle w:val="Heading1"/>
        <w:rPr>
          <w:rFonts w:cs="Times New Roman"/>
          <w:szCs w:val="20"/>
        </w:rPr>
      </w:pPr>
      <w:r>
        <w:rPr>
          <w:rFonts w:cs="Times New Roman"/>
          <w:sz w:val="24"/>
          <w:szCs w:val="20"/>
        </w:rPr>
        <w:t>PROBLEM STATEMENT</w:t>
      </w:r>
    </w:p>
    <w:p w14:paraId="41C7C8DC" w14:textId="48990D21" w:rsidR="00621631" w:rsidRPr="00700CE5" w:rsidRDefault="005E0F49" w:rsidP="005E0F49">
      <w:pPr>
        <w:jc w:val="both"/>
        <w:rPr>
          <w:sz w:val="20"/>
          <w:szCs w:val="20"/>
        </w:rPr>
      </w:pPr>
      <w:bookmarkStart w:id="1" w:name="_Hlk165599044"/>
      <w:r>
        <w:rPr>
          <w:sz w:val="20"/>
          <w:szCs w:val="20"/>
        </w:rPr>
        <w:t xml:space="preserve">      </w:t>
      </w:r>
      <w:r w:rsidR="00781F83" w:rsidRPr="00781F83">
        <w:rPr>
          <w:sz w:val="20"/>
          <w:szCs w:val="20"/>
        </w:rPr>
        <w:t>Our task is to compare the financial impacts of purchasing or renting a one BHK apartment in Sunnyvale and San Jose using a various of financial techniques</w:t>
      </w:r>
      <w:r w:rsidR="00621631" w:rsidRPr="00700CE5">
        <w:rPr>
          <w:sz w:val="20"/>
          <w:szCs w:val="20"/>
        </w:rPr>
        <w:t xml:space="preserve"> Our goal is to examine and evaluate four distinct methods of purchasing real estate: leasing or renting, a 5-year bank loan, a 7-year third-party buyout agreement, and full upfront payment. Our goal is to determine the most favo</w:t>
      </w:r>
      <w:r w:rsidR="00621631">
        <w:rPr>
          <w:sz w:val="20"/>
          <w:szCs w:val="20"/>
        </w:rPr>
        <w:t>r</w:t>
      </w:r>
      <w:r w:rsidR="00621631" w:rsidRPr="00700CE5">
        <w:rPr>
          <w:sz w:val="20"/>
          <w:szCs w:val="20"/>
        </w:rPr>
        <w:t>able financial path through this investigation by assessing variables like Equivalent Uniform Annual Worth (EUAW) and Net Present Value (NPV). In these highly competitive housing markets, this analysis will enable individuals and stakeholders to make informed decisions about residential choices and real estate investments.</w:t>
      </w:r>
      <w:sdt>
        <w:sdtPr>
          <w:rPr>
            <w:sz w:val="20"/>
            <w:szCs w:val="20"/>
          </w:rPr>
          <w:id w:val="1690112492"/>
          <w:citation/>
        </w:sdtPr>
        <w:sdtContent>
          <w:r w:rsidR="00D61361">
            <w:rPr>
              <w:sz w:val="20"/>
              <w:szCs w:val="20"/>
            </w:rPr>
            <w:fldChar w:fldCharType="begin"/>
          </w:r>
          <w:r w:rsidR="00D61361">
            <w:rPr>
              <w:sz w:val="20"/>
              <w:szCs w:val="20"/>
            </w:rPr>
            <w:instrText xml:space="preserve"> CITATION Ign911 \l 1033 </w:instrText>
          </w:r>
          <w:r w:rsidR="00D61361">
            <w:rPr>
              <w:sz w:val="20"/>
              <w:szCs w:val="20"/>
            </w:rPr>
            <w:fldChar w:fldCharType="separate"/>
          </w:r>
          <w:r w:rsidR="00856A0C">
            <w:rPr>
              <w:noProof/>
              <w:sz w:val="20"/>
              <w:szCs w:val="20"/>
            </w:rPr>
            <w:t xml:space="preserve"> </w:t>
          </w:r>
          <w:r w:rsidR="00856A0C" w:rsidRPr="00856A0C">
            <w:rPr>
              <w:noProof/>
              <w:sz w:val="20"/>
              <w:szCs w:val="20"/>
            </w:rPr>
            <w:t>(Ignoffo, 1991)</w:t>
          </w:r>
          <w:r w:rsidR="00D61361">
            <w:rPr>
              <w:sz w:val="20"/>
              <w:szCs w:val="20"/>
            </w:rPr>
            <w:fldChar w:fldCharType="end"/>
          </w:r>
        </w:sdtContent>
      </w:sdt>
    </w:p>
    <w:bookmarkEnd w:id="1"/>
    <w:p w14:paraId="3CDB3D34" w14:textId="77777777" w:rsidR="00621631" w:rsidRPr="00621631" w:rsidRDefault="00621631" w:rsidP="00621631">
      <w:pPr>
        <w:pStyle w:val="BodyText"/>
      </w:pPr>
    </w:p>
    <w:p w14:paraId="2B61BC13" w14:textId="30741736" w:rsidR="00CD10C3" w:rsidRPr="00CD10C3" w:rsidRDefault="00621631" w:rsidP="00CD10C3">
      <w:pPr>
        <w:pStyle w:val="Heading2"/>
        <w:rPr>
          <w:rFonts w:cs="Times New Roman"/>
          <w:szCs w:val="20"/>
        </w:rPr>
      </w:pPr>
      <w:r>
        <w:rPr>
          <w:rFonts w:cs="Times New Roman"/>
          <w:szCs w:val="20"/>
        </w:rPr>
        <w:t xml:space="preserve">Key </w:t>
      </w:r>
      <w:r w:rsidR="00B803A4">
        <w:rPr>
          <w:rFonts w:cs="Times New Roman"/>
          <w:szCs w:val="20"/>
        </w:rPr>
        <w:t>Challenges</w:t>
      </w:r>
    </w:p>
    <w:p w14:paraId="727ACB78" w14:textId="48558CA6" w:rsidR="00CD10C3" w:rsidRDefault="005E0F49" w:rsidP="005E0F49">
      <w:pPr>
        <w:pStyle w:val="ListParagraph"/>
        <w:autoSpaceDE w:val="0"/>
        <w:autoSpaceDN w:val="0"/>
        <w:adjustRightInd w:val="0"/>
        <w:ind w:left="0"/>
        <w:jc w:val="both"/>
        <w:rPr>
          <w:sz w:val="20"/>
          <w:szCs w:val="20"/>
        </w:rPr>
      </w:pPr>
      <w:r>
        <w:rPr>
          <w:i/>
          <w:sz w:val="20"/>
          <w:szCs w:val="20"/>
        </w:rPr>
        <w:t xml:space="preserve">       </w:t>
      </w:r>
      <w:r w:rsidR="00CD10C3" w:rsidRPr="00504127">
        <w:rPr>
          <w:i/>
          <w:sz w:val="20"/>
          <w:szCs w:val="20"/>
        </w:rPr>
        <w:t>Financial Complexity</w:t>
      </w:r>
      <w:r w:rsidR="00CD10C3">
        <w:rPr>
          <w:i/>
          <w:color w:val="000000"/>
          <w:sz w:val="20"/>
          <w:szCs w:val="20"/>
        </w:rPr>
        <w:t xml:space="preserve">. </w:t>
      </w:r>
      <w:r w:rsidR="00CD10C3" w:rsidRPr="00B5565F">
        <w:rPr>
          <w:sz w:val="20"/>
          <w:szCs w:val="20"/>
        </w:rPr>
        <w:t>There are a variety of complex financial scenarios with different total costs, cash flows, and</w:t>
      </w:r>
      <w:r w:rsidR="00CD10C3">
        <w:rPr>
          <w:sz w:val="20"/>
          <w:szCs w:val="20"/>
        </w:rPr>
        <w:t xml:space="preserve"> </w:t>
      </w:r>
      <w:r w:rsidR="00CD10C3" w:rsidRPr="00CD10C3">
        <w:rPr>
          <w:sz w:val="20"/>
          <w:szCs w:val="20"/>
        </w:rPr>
        <w:t>net present</w:t>
      </w:r>
    </w:p>
    <w:p w14:paraId="76BEB6A0" w14:textId="77777777" w:rsidR="005E0F49" w:rsidRDefault="00CD10C3" w:rsidP="005E0F49">
      <w:pPr>
        <w:autoSpaceDE w:val="0"/>
        <w:autoSpaceDN w:val="0"/>
        <w:adjustRightInd w:val="0"/>
        <w:jc w:val="both"/>
        <w:rPr>
          <w:sz w:val="20"/>
          <w:szCs w:val="20"/>
        </w:rPr>
      </w:pPr>
      <w:r w:rsidRPr="00CD10C3">
        <w:rPr>
          <w:sz w:val="20"/>
          <w:szCs w:val="20"/>
        </w:rPr>
        <w:t>values (NPVs) when using the different payment options, which include full payment, bank loans with variable</w:t>
      </w:r>
      <w:r w:rsidRPr="00CD10C3">
        <w:rPr>
          <w:sz w:val="20"/>
        </w:rPr>
        <w:t xml:space="preserve"> </w:t>
      </w:r>
      <w:r w:rsidRPr="00CD10C3">
        <w:rPr>
          <w:sz w:val="20"/>
          <w:szCs w:val="20"/>
        </w:rPr>
        <w:t>down payments and repayment terms, and leases with or without buyouts. To make sure the most economical and financially feasible decision is made, a thorough understanding, and comparison of these options is necessary, requiring financial literacy and expertise.</w:t>
      </w:r>
    </w:p>
    <w:p w14:paraId="0906EF16" w14:textId="49969447" w:rsidR="00CD10C3" w:rsidRPr="005E0F49" w:rsidRDefault="005E0F49" w:rsidP="005E0F49">
      <w:pPr>
        <w:autoSpaceDE w:val="0"/>
        <w:autoSpaceDN w:val="0"/>
        <w:adjustRightInd w:val="0"/>
        <w:jc w:val="both"/>
        <w:rPr>
          <w:sz w:val="20"/>
          <w:szCs w:val="20"/>
        </w:rPr>
      </w:pPr>
      <w:r>
        <w:rPr>
          <w:bCs/>
          <w:i/>
          <w:iCs/>
          <w:sz w:val="20"/>
          <w:szCs w:val="20"/>
          <w:lang w:val="en-GB"/>
        </w:rPr>
        <w:t xml:space="preserve">      </w:t>
      </w:r>
      <w:r w:rsidR="00CD10C3" w:rsidRPr="00504127">
        <w:rPr>
          <w:bCs/>
          <w:i/>
          <w:iCs/>
          <w:sz w:val="20"/>
          <w:szCs w:val="20"/>
          <w:lang w:val="en-GB"/>
        </w:rPr>
        <w:t>Maintenance fees and other costs</w:t>
      </w:r>
      <w:r w:rsidR="00CD10C3">
        <w:rPr>
          <w:i/>
          <w:color w:val="000000"/>
          <w:sz w:val="20"/>
          <w:szCs w:val="20"/>
        </w:rPr>
        <w:t xml:space="preserve">. </w:t>
      </w:r>
      <w:r w:rsidR="00CD10C3" w:rsidRPr="00AD3BC7">
        <w:rPr>
          <w:sz w:val="20"/>
          <w:szCs w:val="20"/>
        </w:rPr>
        <w:t>Over time, the overall cost of ownership is greatly impacted by the recurring maintenance costs connected to each payment choice. Since these fees add to the entire cost of property ownership, they should be carefully evaluated and considered when making decisions</w:t>
      </w:r>
    </w:p>
    <w:p w14:paraId="76E615AD" w14:textId="366B38A5" w:rsidR="00CD10C3" w:rsidRDefault="005E0F49" w:rsidP="005E0F49">
      <w:pPr>
        <w:pBdr>
          <w:top w:val="nil"/>
          <w:left w:val="nil"/>
          <w:bottom w:val="nil"/>
          <w:right w:val="nil"/>
          <w:between w:val="nil"/>
        </w:pBdr>
        <w:jc w:val="both"/>
        <w:rPr>
          <w:sz w:val="20"/>
          <w:szCs w:val="20"/>
        </w:rPr>
      </w:pPr>
      <w:r>
        <w:rPr>
          <w:bCs/>
          <w:i/>
          <w:iCs/>
          <w:sz w:val="20"/>
          <w:szCs w:val="20"/>
          <w:lang w:val="en-GB"/>
        </w:rPr>
        <w:t xml:space="preserve">      </w:t>
      </w:r>
      <w:r w:rsidR="00CD10C3" w:rsidRPr="00504127">
        <w:rPr>
          <w:bCs/>
          <w:i/>
          <w:iCs/>
          <w:sz w:val="20"/>
          <w:szCs w:val="20"/>
          <w:lang w:val="en-GB"/>
        </w:rPr>
        <w:t>Salvage Value and Depreciation</w:t>
      </w:r>
      <w:r w:rsidR="00CD10C3">
        <w:rPr>
          <w:i/>
          <w:color w:val="000000"/>
          <w:sz w:val="20"/>
          <w:szCs w:val="20"/>
        </w:rPr>
        <w:t>.</w:t>
      </w:r>
      <w:r w:rsidR="00CD10C3" w:rsidRPr="00CD10C3">
        <w:rPr>
          <w:sz w:val="20"/>
          <w:szCs w:val="20"/>
        </w:rPr>
        <w:t xml:space="preserve"> </w:t>
      </w:r>
      <w:r w:rsidR="00CD10C3" w:rsidRPr="00AD3BC7">
        <w:rPr>
          <w:sz w:val="20"/>
          <w:szCs w:val="20"/>
        </w:rPr>
        <w:t>As seen in the computations, the idea of salvage value and depreciation adds layers of complexity to the long-term assessment of real estate. Assessing long-term investment returns and exit plans requires an understanding of how the property's value depreciates and what salvage value may be expected at certain times in time</w:t>
      </w:r>
      <w:r w:rsidR="00CD10C3">
        <w:rPr>
          <w:sz w:val="20"/>
          <w:szCs w:val="20"/>
        </w:rPr>
        <w:t>.</w:t>
      </w:r>
    </w:p>
    <w:p w14:paraId="42296482" w14:textId="15BF66B3" w:rsidR="00CD10C3" w:rsidRDefault="005E0F49" w:rsidP="005E0F49">
      <w:pPr>
        <w:pStyle w:val="ListParagraph"/>
        <w:autoSpaceDE w:val="0"/>
        <w:autoSpaceDN w:val="0"/>
        <w:adjustRightInd w:val="0"/>
        <w:ind w:left="0"/>
        <w:jc w:val="both"/>
        <w:rPr>
          <w:sz w:val="20"/>
          <w:szCs w:val="20"/>
        </w:rPr>
      </w:pPr>
      <w:r>
        <w:rPr>
          <w:bCs/>
          <w:i/>
          <w:iCs/>
          <w:sz w:val="20"/>
          <w:szCs w:val="20"/>
          <w:lang w:val="en-GB"/>
        </w:rPr>
        <w:t xml:space="preserve">      </w:t>
      </w:r>
      <w:r w:rsidR="00CD10C3" w:rsidRPr="00504127">
        <w:rPr>
          <w:bCs/>
          <w:i/>
          <w:iCs/>
          <w:sz w:val="20"/>
          <w:szCs w:val="20"/>
          <w:lang w:val="en-GB"/>
        </w:rPr>
        <w:t>Interest Rates and Loan Terms</w:t>
      </w:r>
      <w:r w:rsidR="00CD10C3">
        <w:rPr>
          <w:sz w:val="20"/>
          <w:szCs w:val="20"/>
        </w:rPr>
        <w:t xml:space="preserve">. </w:t>
      </w:r>
      <w:r w:rsidR="00CD10C3" w:rsidRPr="00B5565F">
        <w:rPr>
          <w:sz w:val="20"/>
          <w:szCs w:val="20"/>
        </w:rPr>
        <w:t xml:space="preserve">There are a variety of complex financial scenarios with different total costs, cash flows, and net </w:t>
      </w:r>
      <w:r w:rsidR="00CD10C3">
        <w:rPr>
          <w:sz w:val="20"/>
          <w:szCs w:val="20"/>
        </w:rPr>
        <w:t xml:space="preserve"> </w:t>
      </w:r>
    </w:p>
    <w:p w14:paraId="4ACC723B" w14:textId="6058C1FD" w:rsidR="00CD10C3" w:rsidRDefault="00CD10C3" w:rsidP="005E0F49">
      <w:pPr>
        <w:autoSpaceDE w:val="0"/>
        <w:autoSpaceDN w:val="0"/>
        <w:adjustRightInd w:val="0"/>
        <w:jc w:val="both"/>
        <w:rPr>
          <w:sz w:val="20"/>
          <w:szCs w:val="20"/>
        </w:rPr>
      </w:pPr>
      <w:r w:rsidRPr="00CD10C3">
        <w:rPr>
          <w:sz w:val="20"/>
          <w:szCs w:val="20"/>
        </w:rPr>
        <w:t>present values (NPVs) when using the different payment options, which include full payment, bank loans with variable</w:t>
      </w:r>
      <w:r w:rsidRPr="00CD10C3">
        <w:rPr>
          <w:sz w:val="20"/>
        </w:rPr>
        <w:t xml:space="preserve"> </w:t>
      </w:r>
      <w:r w:rsidRPr="00CD10C3">
        <w:rPr>
          <w:sz w:val="20"/>
          <w:szCs w:val="20"/>
        </w:rPr>
        <w:t>down payments and repayment terms, and leases with or without buyouts. To make sure the most economical and financially feasible decision is made, a thorough understanding, and comparison of these options is necessary, requiring financial literacy and expertise.</w:t>
      </w:r>
    </w:p>
    <w:p w14:paraId="0B46992F" w14:textId="7BD02D6E" w:rsidR="00CD10C3" w:rsidRDefault="005E0F49" w:rsidP="005E0F49">
      <w:pPr>
        <w:pBdr>
          <w:top w:val="nil"/>
          <w:left w:val="nil"/>
          <w:bottom w:val="nil"/>
          <w:right w:val="nil"/>
          <w:between w:val="nil"/>
        </w:pBdr>
        <w:jc w:val="both"/>
        <w:rPr>
          <w:sz w:val="20"/>
          <w:szCs w:val="20"/>
        </w:rPr>
      </w:pPr>
      <w:r>
        <w:rPr>
          <w:bCs/>
          <w:i/>
          <w:iCs/>
          <w:sz w:val="20"/>
          <w:szCs w:val="20"/>
          <w:lang w:val="en-GB"/>
        </w:rPr>
        <w:t xml:space="preserve">      </w:t>
      </w:r>
      <w:r w:rsidR="00CD10C3" w:rsidRPr="00504127">
        <w:rPr>
          <w:bCs/>
          <w:i/>
          <w:iCs/>
          <w:sz w:val="20"/>
          <w:szCs w:val="20"/>
          <w:lang w:val="en-GB"/>
        </w:rPr>
        <w:t>Market Volatility and Inflation</w:t>
      </w:r>
      <w:r w:rsidR="00CD10C3">
        <w:rPr>
          <w:i/>
          <w:color w:val="000000"/>
          <w:sz w:val="20"/>
          <w:szCs w:val="20"/>
        </w:rPr>
        <w:t>.</w:t>
      </w:r>
      <w:r w:rsidR="00CD10C3" w:rsidRPr="00CD10C3">
        <w:rPr>
          <w:bCs/>
          <w:iCs/>
          <w:sz w:val="20"/>
          <w:szCs w:val="20"/>
          <w:lang w:val="en-GB"/>
        </w:rPr>
        <w:t xml:space="preserve"> </w:t>
      </w:r>
      <w:r w:rsidR="00CD10C3" w:rsidRPr="00AD3BC7">
        <w:rPr>
          <w:bCs/>
          <w:iCs/>
          <w:sz w:val="20"/>
          <w:szCs w:val="20"/>
          <w:lang w:val="en-GB"/>
        </w:rPr>
        <w:t>Presumptions concerning inflation, appraisal rates, and depreciation (e.g., 7% appraisal, 9% inflation, and 4% depreciation) might create uncertainty about future expenses and property values. Long-term changes in market conditions may have an impact on the chosen payment option's financial viability</w:t>
      </w:r>
      <w:r w:rsidR="00CD10C3">
        <w:rPr>
          <w:sz w:val="20"/>
          <w:szCs w:val="20"/>
        </w:rPr>
        <w:t>.</w:t>
      </w:r>
    </w:p>
    <w:p w14:paraId="134608C4" w14:textId="050267D2" w:rsidR="00CD10C3" w:rsidRPr="005E0F49" w:rsidRDefault="005E0F49" w:rsidP="005E0F49">
      <w:pPr>
        <w:autoSpaceDE w:val="0"/>
        <w:autoSpaceDN w:val="0"/>
        <w:adjustRightInd w:val="0"/>
        <w:jc w:val="both"/>
        <w:rPr>
          <w:bCs/>
          <w:iCs/>
          <w:sz w:val="20"/>
          <w:szCs w:val="20"/>
          <w:lang w:val="en-GB"/>
        </w:rPr>
      </w:pPr>
      <w:r>
        <w:rPr>
          <w:bCs/>
          <w:i/>
          <w:iCs/>
          <w:sz w:val="20"/>
          <w:szCs w:val="20"/>
          <w:lang w:val="en-GB"/>
        </w:rPr>
        <w:t xml:space="preserve">      </w:t>
      </w:r>
      <w:r w:rsidR="00CD10C3" w:rsidRPr="005E0F49">
        <w:rPr>
          <w:bCs/>
          <w:i/>
          <w:iCs/>
          <w:sz w:val="20"/>
          <w:szCs w:val="20"/>
          <w:lang w:val="en-GB"/>
        </w:rPr>
        <w:t>Comparing Lease vs. Ownership</w:t>
      </w:r>
      <w:r w:rsidR="00CD10C3" w:rsidRPr="005E0F49">
        <w:rPr>
          <w:i/>
          <w:color w:val="000000"/>
          <w:sz w:val="20"/>
          <w:szCs w:val="20"/>
        </w:rPr>
        <w:t>.</w:t>
      </w:r>
      <w:r w:rsidR="00CD10C3" w:rsidRPr="005E0F49">
        <w:rPr>
          <w:bCs/>
          <w:iCs/>
          <w:sz w:val="20"/>
          <w:szCs w:val="20"/>
          <w:lang w:val="en-GB"/>
        </w:rPr>
        <w:t xml:space="preserve"> It assessing the advantages and disadvantages of retaining versus renting entails comparing the</w:t>
      </w:r>
    </w:p>
    <w:p w14:paraId="45D84C39" w14:textId="50CAAB18" w:rsidR="00621631" w:rsidRPr="00CD10C3" w:rsidRDefault="00CD10C3" w:rsidP="00CD10C3">
      <w:pPr>
        <w:autoSpaceDE w:val="0"/>
        <w:autoSpaceDN w:val="0"/>
        <w:adjustRightInd w:val="0"/>
        <w:jc w:val="both"/>
        <w:rPr>
          <w:bCs/>
          <w:iCs/>
          <w:sz w:val="20"/>
          <w:szCs w:val="20"/>
          <w:lang w:val="en-GB"/>
        </w:rPr>
      </w:pPr>
      <w:r w:rsidRPr="00CD10C3">
        <w:rPr>
          <w:bCs/>
          <w:iCs/>
          <w:sz w:val="20"/>
          <w:szCs w:val="20"/>
          <w:lang w:val="en-GB"/>
        </w:rPr>
        <w:t xml:space="preserve"> parcel option with no buyout to power choices, considering rudiments like long- term equity structure, inflexibility, and general fiscal stability.</w:t>
      </w:r>
      <w:sdt>
        <w:sdtPr>
          <w:rPr>
            <w:bCs/>
            <w:iCs/>
            <w:sz w:val="20"/>
            <w:szCs w:val="20"/>
            <w:lang w:val="en-GB"/>
          </w:rPr>
          <w:id w:val="107786724"/>
          <w:citation/>
        </w:sdtPr>
        <w:sdtContent>
          <w:r w:rsidR="00D61361">
            <w:rPr>
              <w:bCs/>
              <w:iCs/>
              <w:sz w:val="20"/>
              <w:szCs w:val="20"/>
              <w:lang w:val="en-GB"/>
            </w:rPr>
            <w:fldChar w:fldCharType="begin"/>
          </w:r>
          <w:r w:rsidR="00D61361">
            <w:rPr>
              <w:bCs/>
              <w:iCs/>
              <w:sz w:val="20"/>
              <w:szCs w:val="20"/>
            </w:rPr>
            <w:instrText xml:space="preserve"> CITATION Shi071 \l 1033 </w:instrText>
          </w:r>
          <w:r w:rsidR="00D61361">
            <w:rPr>
              <w:bCs/>
              <w:iCs/>
              <w:sz w:val="20"/>
              <w:szCs w:val="20"/>
              <w:lang w:val="en-GB"/>
            </w:rPr>
            <w:fldChar w:fldCharType="separate"/>
          </w:r>
          <w:r w:rsidR="00856A0C">
            <w:rPr>
              <w:bCs/>
              <w:iCs/>
              <w:noProof/>
              <w:sz w:val="20"/>
              <w:szCs w:val="20"/>
            </w:rPr>
            <w:t xml:space="preserve"> </w:t>
          </w:r>
          <w:r w:rsidR="00856A0C" w:rsidRPr="00856A0C">
            <w:rPr>
              <w:noProof/>
              <w:sz w:val="20"/>
              <w:szCs w:val="20"/>
            </w:rPr>
            <w:t>(Shishir &amp; Alicia, 2007 )</w:t>
          </w:r>
          <w:r w:rsidR="00D61361">
            <w:rPr>
              <w:bCs/>
              <w:iCs/>
              <w:sz w:val="20"/>
              <w:szCs w:val="20"/>
              <w:lang w:val="en-GB"/>
            </w:rPr>
            <w:fldChar w:fldCharType="end"/>
          </w:r>
        </w:sdtContent>
      </w:sdt>
    </w:p>
    <w:p w14:paraId="042AF1CF" w14:textId="1E422589" w:rsidR="00BD1D1B" w:rsidRPr="00732840" w:rsidRDefault="00D872CF" w:rsidP="00695771">
      <w:pPr>
        <w:pStyle w:val="Heading1"/>
      </w:pPr>
      <w:r w:rsidRPr="00D872CF">
        <w:rPr>
          <w:sz w:val="24"/>
        </w:rPr>
        <w:lastRenderedPageBreak/>
        <w:t>M</w:t>
      </w:r>
      <w:r w:rsidR="00C03955">
        <w:rPr>
          <w:sz w:val="24"/>
        </w:rPr>
        <w:t>ethodologies for Resolving the Issues</w:t>
      </w:r>
    </w:p>
    <w:p w14:paraId="59D73792" w14:textId="05AF987F" w:rsidR="00B803A4" w:rsidRDefault="00C03955" w:rsidP="00B803A4">
      <w:pPr>
        <w:pBdr>
          <w:top w:val="nil"/>
          <w:left w:val="nil"/>
          <w:bottom w:val="nil"/>
          <w:right w:val="nil"/>
          <w:between w:val="nil"/>
        </w:pBdr>
        <w:ind w:firstLine="360"/>
        <w:jc w:val="both"/>
        <w:rPr>
          <w:color w:val="000000"/>
          <w:sz w:val="20"/>
          <w:szCs w:val="20"/>
        </w:rPr>
      </w:pPr>
      <w:bookmarkStart w:id="2" w:name="_Hlk165634183"/>
      <w:r w:rsidRPr="00C03955">
        <w:rPr>
          <w:color w:val="000000"/>
          <w:sz w:val="20"/>
          <w:szCs w:val="20"/>
        </w:rPr>
        <w:t>To thoroughly explore the long-term costs of owning two diverse residences, this study utilizes a comprehensive empirical strategy centered on evaluating the principles of Net Present Value (NPV) and Equivalent Uniform Annual Worth (EUAW).</w:t>
      </w:r>
      <w:sdt>
        <w:sdtPr>
          <w:rPr>
            <w:color w:val="000000"/>
            <w:sz w:val="20"/>
            <w:szCs w:val="20"/>
          </w:rPr>
          <w:id w:val="22686055"/>
          <w:citation/>
        </w:sdtPr>
        <w:sdtContent>
          <w:r w:rsidR="00D61361">
            <w:rPr>
              <w:color w:val="000000"/>
              <w:sz w:val="20"/>
              <w:szCs w:val="20"/>
            </w:rPr>
            <w:fldChar w:fldCharType="begin"/>
          </w:r>
          <w:r w:rsidR="00D61361">
            <w:rPr>
              <w:color w:val="000000"/>
              <w:sz w:val="20"/>
              <w:szCs w:val="20"/>
            </w:rPr>
            <w:instrText xml:space="preserve"> CITATION Mee941 \l 1033 </w:instrText>
          </w:r>
          <w:r w:rsidR="00D61361">
            <w:rPr>
              <w:color w:val="000000"/>
              <w:sz w:val="20"/>
              <w:szCs w:val="20"/>
            </w:rPr>
            <w:fldChar w:fldCharType="separate"/>
          </w:r>
          <w:r w:rsidR="00856A0C">
            <w:rPr>
              <w:noProof/>
              <w:color w:val="000000"/>
              <w:sz w:val="20"/>
              <w:szCs w:val="20"/>
            </w:rPr>
            <w:t xml:space="preserve"> </w:t>
          </w:r>
          <w:r w:rsidR="00856A0C" w:rsidRPr="00856A0C">
            <w:rPr>
              <w:noProof/>
              <w:color w:val="000000"/>
              <w:sz w:val="20"/>
              <w:szCs w:val="20"/>
            </w:rPr>
            <w:t>(Meese &amp; Wallace, 1994)</w:t>
          </w:r>
          <w:r w:rsidR="00D61361">
            <w:rPr>
              <w:color w:val="000000"/>
              <w:sz w:val="20"/>
              <w:szCs w:val="20"/>
            </w:rPr>
            <w:fldChar w:fldCharType="end"/>
          </w:r>
        </w:sdtContent>
      </w:sdt>
    </w:p>
    <w:p w14:paraId="307BC4A4" w14:textId="77777777" w:rsidR="00B803A4" w:rsidRDefault="00B803A4" w:rsidP="00B803A4">
      <w:pPr>
        <w:pStyle w:val="Heading2"/>
      </w:pPr>
      <w:r>
        <w:t xml:space="preserve">Data Collection </w:t>
      </w:r>
    </w:p>
    <w:p w14:paraId="304BF3FF" w14:textId="398BADFA" w:rsidR="00B803A4" w:rsidRPr="00C27548" w:rsidRDefault="005E0F49" w:rsidP="005E0F49">
      <w:pPr>
        <w:pStyle w:val="ListParagraph"/>
        <w:autoSpaceDE w:val="0"/>
        <w:autoSpaceDN w:val="0"/>
        <w:adjustRightInd w:val="0"/>
        <w:ind w:left="0"/>
        <w:jc w:val="both"/>
        <w:rPr>
          <w:bCs/>
          <w:sz w:val="20"/>
          <w:szCs w:val="20"/>
          <w:lang w:val="en-GB"/>
        </w:rPr>
      </w:pPr>
      <w:r>
        <w:rPr>
          <w:bCs/>
          <w:sz w:val="20"/>
          <w:szCs w:val="20"/>
          <w:lang w:val="en-GB"/>
        </w:rPr>
        <w:t xml:space="preserve">      </w:t>
      </w:r>
      <w:r w:rsidR="00B803A4" w:rsidRPr="00C27548">
        <w:rPr>
          <w:bCs/>
          <w:sz w:val="20"/>
          <w:szCs w:val="20"/>
          <w:lang w:val="en-GB"/>
        </w:rPr>
        <w:t xml:space="preserve">To examine various payment choices for purchasing a 1BHK property, data collection requires obtaining information such as property price, fees (registration, legal, maintenance), loan terms (down payment, interest rate, payback schedule), and salvage value </w:t>
      </w:r>
      <w:r w:rsidRPr="00C27548">
        <w:rPr>
          <w:bCs/>
          <w:sz w:val="20"/>
          <w:szCs w:val="20"/>
          <w:lang w:val="en-GB"/>
        </w:rPr>
        <w:t>estimations. In</w:t>
      </w:r>
      <w:r w:rsidR="00B803A4" w:rsidRPr="00C27548">
        <w:rPr>
          <w:bCs/>
          <w:sz w:val="20"/>
          <w:szCs w:val="20"/>
          <w:lang w:val="en-GB"/>
        </w:rPr>
        <w:t xml:space="preserve"> order to create an accurate financial model for assessing the overall cost and viability of each payment option, this method makes sure that all pertinent financial characteristics and assumptions are </w:t>
      </w:r>
      <w:r w:rsidR="00732840" w:rsidRPr="00C27548">
        <w:rPr>
          <w:bCs/>
          <w:sz w:val="20"/>
          <w:szCs w:val="20"/>
          <w:lang w:val="en-GB"/>
        </w:rPr>
        <w:t>considered</w:t>
      </w:r>
      <w:r w:rsidR="00B803A4" w:rsidRPr="00C27548">
        <w:rPr>
          <w:bCs/>
          <w:sz w:val="20"/>
          <w:szCs w:val="20"/>
          <w:lang w:val="en-GB"/>
        </w:rPr>
        <w:t>.</w:t>
      </w:r>
    </w:p>
    <w:p w14:paraId="6CDC48F0" w14:textId="77777777" w:rsidR="00B803A4" w:rsidRDefault="00B803A4" w:rsidP="00B803A4">
      <w:pPr>
        <w:pStyle w:val="Heading2"/>
      </w:pPr>
      <w:r w:rsidRPr="00912664">
        <w:rPr>
          <w:rFonts w:cs="Times New Roman"/>
          <w:szCs w:val="20"/>
          <w:lang w:val="en-GB"/>
        </w:rPr>
        <w:t xml:space="preserve">Net Present </w:t>
      </w:r>
      <w:r>
        <w:rPr>
          <w:rFonts w:cs="Times New Roman"/>
          <w:szCs w:val="20"/>
          <w:lang w:val="en-GB"/>
        </w:rPr>
        <w:t>V</w:t>
      </w:r>
      <w:r w:rsidRPr="00912664">
        <w:rPr>
          <w:rFonts w:cs="Times New Roman"/>
          <w:szCs w:val="20"/>
          <w:lang w:val="en-GB"/>
        </w:rPr>
        <w:t xml:space="preserve">alue </w:t>
      </w:r>
      <w:r>
        <w:rPr>
          <w:rFonts w:cs="Times New Roman"/>
          <w:szCs w:val="20"/>
          <w:lang w:val="en-GB"/>
        </w:rPr>
        <w:t>C</w:t>
      </w:r>
      <w:r w:rsidRPr="00912664">
        <w:rPr>
          <w:rFonts w:cs="Times New Roman"/>
          <w:szCs w:val="20"/>
          <w:lang w:val="en-GB"/>
        </w:rPr>
        <w:t>alculation</w:t>
      </w:r>
      <w:r>
        <w:t xml:space="preserve"> </w:t>
      </w:r>
    </w:p>
    <w:p w14:paraId="10140EE1" w14:textId="77893C15" w:rsidR="00B803A4" w:rsidRPr="00CD10C3" w:rsidRDefault="005E0F49" w:rsidP="005E0F49">
      <w:pPr>
        <w:pStyle w:val="ListParagraph"/>
        <w:autoSpaceDE w:val="0"/>
        <w:autoSpaceDN w:val="0"/>
        <w:adjustRightInd w:val="0"/>
        <w:ind w:left="0"/>
        <w:rPr>
          <w:sz w:val="20"/>
          <w:szCs w:val="20"/>
        </w:rPr>
      </w:pPr>
      <w:r>
        <w:rPr>
          <w:sz w:val="20"/>
          <w:szCs w:val="20"/>
        </w:rPr>
        <w:t xml:space="preserve">      </w:t>
      </w:r>
      <w:r w:rsidR="00504127" w:rsidRPr="00614F66">
        <w:rPr>
          <w:sz w:val="20"/>
          <w:szCs w:val="20"/>
        </w:rPr>
        <w:t>In order to find the current value of the investment, the net present value (NPV) was computed by taking into account future cash flows, which includes salvage value, and then deducting the initial and ongoing costs. The net present value technique determines the overall effect of cash coming in and going out throughout the duration of an investment, taking into consideration the importance of money's value over time. This makes it easier to evaluate the profitability and financial viability of various payment methods.</w:t>
      </w:r>
    </w:p>
    <w:p w14:paraId="6C8B79A5" w14:textId="77777777" w:rsidR="00B803A4" w:rsidRDefault="00B803A4" w:rsidP="00B803A4">
      <w:pPr>
        <w:pStyle w:val="Heading2"/>
      </w:pPr>
      <w:r w:rsidRPr="00912664">
        <w:rPr>
          <w:rFonts w:cs="Times New Roman"/>
          <w:szCs w:val="20"/>
        </w:rPr>
        <w:t xml:space="preserve">Depreciation </w:t>
      </w:r>
      <w:r>
        <w:rPr>
          <w:rFonts w:cs="Times New Roman"/>
          <w:szCs w:val="20"/>
        </w:rPr>
        <w:t>A</w:t>
      </w:r>
      <w:r w:rsidRPr="00912664">
        <w:rPr>
          <w:rFonts w:cs="Times New Roman"/>
          <w:szCs w:val="20"/>
        </w:rPr>
        <w:t>nd Salvage Value Calculation</w:t>
      </w:r>
    </w:p>
    <w:p w14:paraId="3DC699B7" w14:textId="18854753" w:rsidR="00B803A4" w:rsidRDefault="005E0F49" w:rsidP="005E0F49">
      <w:pPr>
        <w:pStyle w:val="ListParagraph"/>
        <w:autoSpaceDE w:val="0"/>
        <w:autoSpaceDN w:val="0"/>
        <w:adjustRightInd w:val="0"/>
        <w:ind w:left="0"/>
        <w:jc w:val="both"/>
        <w:rPr>
          <w:sz w:val="20"/>
          <w:szCs w:val="20"/>
        </w:rPr>
      </w:pPr>
      <w:r>
        <w:rPr>
          <w:sz w:val="20"/>
          <w:szCs w:val="20"/>
        </w:rPr>
        <w:t xml:space="preserve">      </w:t>
      </w:r>
      <w:r w:rsidR="00B803A4" w:rsidRPr="009C70DD">
        <w:rPr>
          <w:sz w:val="20"/>
          <w:szCs w:val="20"/>
        </w:rPr>
        <w:t>Salvage value was calculated using a residual rate of 103% applied to the original purchase price, and depreciation was calculated at a set rate of 4% year to approximate the property's value decrease over time.</w:t>
      </w:r>
      <w:r w:rsidR="00B803A4">
        <w:rPr>
          <w:sz w:val="20"/>
          <w:szCs w:val="20"/>
        </w:rPr>
        <w:t xml:space="preserve"> </w:t>
      </w:r>
      <w:r w:rsidR="00B803A4" w:rsidRPr="009C70DD">
        <w:rPr>
          <w:sz w:val="20"/>
          <w:szCs w:val="20"/>
        </w:rPr>
        <w:t>These computations help with long-term investment planning and exit strategy considerations by offering insights into the property's predicted value trajectory and prospective selling value.</w:t>
      </w:r>
    </w:p>
    <w:p w14:paraId="3915F511" w14:textId="77777777" w:rsidR="00B803A4" w:rsidRDefault="00B803A4" w:rsidP="00B803A4">
      <w:pPr>
        <w:pStyle w:val="Heading2"/>
      </w:pPr>
      <w:r w:rsidRPr="00912664">
        <w:rPr>
          <w:rFonts w:cs="Times New Roman"/>
          <w:szCs w:val="20"/>
        </w:rPr>
        <w:t>Loan Repayment Analysis</w:t>
      </w:r>
    </w:p>
    <w:p w14:paraId="1A675F3A" w14:textId="47A44678" w:rsidR="00B803A4" w:rsidRDefault="005E0F49" w:rsidP="005E0F49">
      <w:pPr>
        <w:pStyle w:val="ListParagraph"/>
        <w:autoSpaceDE w:val="0"/>
        <w:autoSpaceDN w:val="0"/>
        <w:adjustRightInd w:val="0"/>
        <w:ind w:left="0"/>
        <w:jc w:val="both"/>
        <w:rPr>
          <w:sz w:val="20"/>
          <w:szCs w:val="20"/>
        </w:rPr>
      </w:pPr>
      <w:r>
        <w:rPr>
          <w:sz w:val="20"/>
          <w:szCs w:val="20"/>
        </w:rPr>
        <w:t xml:space="preserve">      </w:t>
      </w:r>
      <w:r w:rsidR="00B803A4" w:rsidRPr="009C70DD">
        <w:rPr>
          <w:sz w:val="20"/>
          <w:szCs w:val="20"/>
        </w:rPr>
        <w:t>To evaluate the effect on cash flows and overall investment costs, the total loan amount, down payment, interest rate, and annual repayment amounts were examined for payment choices including bank loans.</w:t>
      </w:r>
      <w:r w:rsidR="00B803A4">
        <w:rPr>
          <w:sz w:val="20"/>
          <w:szCs w:val="20"/>
        </w:rPr>
        <w:t xml:space="preserve"> </w:t>
      </w:r>
      <w:r w:rsidR="00B803A4" w:rsidRPr="009C70DD">
        <w:rPr>
          <w:sz w:val="20"/>
          <w:szCs w:val="20"/>
        </w:rPr>
        <w:t>By</w:t>
      </w:r>
      <w:r w:rsidR="00B803A4">
        <w:rPr>
          <w:sz w:val="20"/>
          <w:szCs w:val="20"/>
        </w:rPr>
        <w:t xml:space="preserve"> </w:t>
      </w:r>
      <w:r w:rsidR="00B803A4" w:rsidRPr="009C70DD">
        <w:rPr>
          <w:sz w:val="20"/>
          <w:szCs w:val="20"/>
        </w:rPr>
        <w:t>analy</w:t>
      </w:r>
      <w:r w:rsidR="00B803A4">
        <w:rPr>
          <w:sz w:val="20"/>
          <w:szCs w:val="20"/>
        </w:rPr>
        <w:t>z</w:t>
      </w:r>
      <w:r w:rsidR="00B803A4" w:rsidRPr="009C70DD">
        <w:rPr>
          <w:sz w:val="20"/>
          <w:szCs w:val="20"/>
        </w:rPr>
        <w:t>ing loan repayment terms, one can determine which payment option is most financially favo</w:t>
      </w:r>
      <w:r w:rsidR="00B803A4">
        <w:rPr>
          <w:sz w:val="20"/>
          <w:szCs w:val="20"/>
        </w:rPr>
        <w:t>r</w:t>
      </w:r>
      <w:r w:rsidR="00B803A4" w:rsidRPr="009C70DD">
        <w:rPr>
          <w:sz w:val="20"/>
          <w:szCs w:val="20"/>
        </w:rPr>
        <w:t>able by gaining an idea of the affordability and overall financing cost of each choice.</w:t>
      </w:r>
    </w:p>
    <w:p w14:paraId="0B735E64" w14:textId="03021D0B" w:rsidR="00B803A4" w:rsidRDefault="00B803A4" w:rsidP="00B803A4">
      <w:pPr>
        <w:pStyle w:val="Heading2"/>
      </w:pPr>
      <w:r>
        <w:t xml:space="preserve">Comparison </w:t>
      </w:r>
      <w:r w:rsidR="00C03955">
        <w:t>of</w:t>
      </w:r>
      <w:r>
        <w:t xml:space="preserve"> </w:t>
      </w:r>
      <w:r w:rsidRPr="00912664">
        <w:rPr>
          <w:rFonts w:cs="Times New Roman"/>
          <w:szCs w:val="20"/>
        </w:rPr>
        <w:t xml:space="preserve">Cash Flows </w:t>
      </w:r>
      <w:r w:rsidR="00063349">
        <w:rPr>
          <w:rFonts w:cs="Times New Roman"/>
          <w:szCs w:val="20"/>
        </w:rPr>
        <w:t>and</w:t>
      </w:r>
      <w:r w:rsidRPr="00912664">
        <w:rPr>
          <w:rFonts w:cs="Times New Roman"/>
          <w:szCs w:val="20"/>
        </w:rPr>
        <w:t xml:space="preserve"> Costs:</w:t>
      </w:r>
    </w:p>
    <w:p w14:paraId="63F8C997" w14:textId="2C98095A" w:rsidR="00B803A4" w:rsidRPr="009C70DD" w:rsidRDefault="005E0F49" w:rsidP="005E0F49">
      <w:pPr>
        <w:pStyle w:val="ListParagraph"/>
        <w:autoSpaceDE w:val="0"/>
        <w:autoSpaceDN w:val="0"/>
        <w:adjustRightInd w:val="0"/>
        <w:ind w:left="0"/>
        <w:jc w:val="both"/>
        <w:rPr>
          <w:sz w:val="20"/>
          <w:szCs w:val="20"/>
        </w:rPr>
      </w:pPr>
      <w:r>
        <w:rPr>
          <w:sz w:val="20"/>
          <w:szCs w:val="20"/>
        </w:rPr>
        <w:t xml:space="preserve">      </w:t>
      </w:r>
      <w:r w:rsidR="00B803A4" w:rsidRPr="009C70DD">
        <w:rPr>
          <w:sz w:val="20"/>
          <w:szCs w:val="20"/>
        </w:rPr>
        <w:t>To determine the most economical and advantageous course of action, cash inflows (such as salvage value) and outflows (such as upfront expenses, maintenance fees, and loan repayments) were compared across a range of payment alternatives.</w:t>
      </w:r>
      <w:r w:rsidR="00B803A4">
        <w:rPr>
          <w:sz w:val="20"/>
          <w:szCs w:val="20"/>
        </w:rPr>
        <w:t xml:space="preserve"> </w:t>
      </w:r>
      <w:r w:rsidR="00B803A4" w:rsidRPr="009C70DD">
        <w:rPr>
          <w:sz w:val="20"/>
          <w:szCs w:val="20"/>
        </w:rPr>
        <w:t>Decision-makers can select payment choices that maximize returns or minimize total spending over the investment period with the help of this comparison study.</w:t>
      </w:r>
    </w:p>
    <w:p w14:paraId="5DEA1570" w14:textId="30A8A9BA" w:rsidR="00B803A4" w:rsidRDefault="00B803A4" w:rsidP="00B803A4">
      <w:pPr>
        <w:pStyle w:val="Heading2"/>
      </w:pPr>
      <w:r w:rsidRPr="00912664">
        <w:rPr>
          <w:rFonts w:cs="Times New Roman"/>
          <w:szCs w:val="20"/>
        </w:rPr>
        <w:t xml:space="preserve">Sensitivity </w:t>
      </w:r>
      <w:r>
        <w:rPr>
          <w:rFonts w:cs="Times New Roman"/>
          <w:szCs w:val="20"/>
        </w:rPr>
        <w:t>A</w:t>
      </w:r>
      <w:r w:rsidRPr="00912664">
        <w:rPr>
          <w:rFonts w:cs="Times New Roman"/>
          <w:szCs w:val="20"/>
        </w:rPr>
        <w:t xml:space="preserve">nalysis </w:t>
      </w:r>
      <w:r w:rsidR="00C03955">
        <w:rPr>
          <w:rFonts w:cs="Times New Roman"/>
          <w:szCs w:val="20"/>
        </w:rPr>
        <w:t>and</w:t>
      </w:r>
      <w:r w:rsidRPr="00912664">
        <w:rPr>
          <w:rFonts w:cs="Times New Roman"/>
          <w:szCs w:val="20"/>
        </w:rPr>
        <w:t xml:space="preserve"> </w:t>
      </w:r>
      <w:r>
        <w:rPr>
          <w:rFonts w:cs="Times New Roman"/>
          <w:szCs w:val="20"/>
        </w:rPr>
        <w:t>F</w:t>
      </w:r>
      <w:r w:rsidRPr="00912664">
        <w:rPr>
          <w:rFonts w:cs="Times New Roman"/>
          <w:szCs w:val="20"/>
        </w:rPr>
        <w:t xml:space="preserve">inancial </w:t>
      </w:r>
      <w:r>
        <w:rPr>
          <w:rFonts w:cs="Times New Roman"/>
          <w:szCs w:val="20"/>
        </w:rPr>
        <w:t>A</w:t>
      </w:r>
      <w:r w:rsidRPr="00912664">
        <w:rPr>
          <w:rFonts w:cs="Times New Roman"/>
          <w:szCs w:val="20"/>
        </w:rPr>
        <w:t>ssumptions</w:t>
      </w:r>
    </w:p>
    <w:p w14:paraId="78454792" w14:textId="53C75FCD" w:rsidR="00B803A4" w:rsidRDefault="005E0F49" w:rsidP="005E0F49">
      <w:pPr>
        <w:pBdr>
          <w:top w:val="nil"/>
          <w:left w:val="nil"/>
          <w:bottom w:val="nil"/>
          <w:right w:val="nil"/>
          <w:between w:val="nil"/>
        </w:pBdr>
        <w:rPr>
          <w:color w:val="000000"/>
          <w:sz w:val="20"/>
          <w:szCs w:val="20"/>
        </w:rPr>
      </w:pPr>
      <w:r>
        <w:rPr>
          <w:sz w:val="20"/>
          <w:szCs w:val="20"/>
        </w:rPr>
        <w:t xml:space="preserve">      </w:t>
      </w:r>
      <w:r w:rsidR="00B803A4" w:rsidRPr="009C70DD">
        <w:rPr>
          <w:sz w:val="20"/>
          <w:szCs w:val="20"/>
        </w:rPr>
        <w:t>The depreciation rate, residual rate, appraisal rate, and inflation rate were among the several financial assumptions used to model the property's worth and financial performance under various conditions.</w:t>
      </w:r>
      <w:r w:rsidR="00B803A4">
        <w:rPr>
          <w:sz w:val="20"/>
          <w:szCs w:val="20"/>
        </w:rPr>
        <w:t xml:space="preserve"> </w:t>
      </w:r>
      <w:r w:rsidR="00B803A4" w:rsidRPr="009C70DD">
        <w:rPr>
          <w:sz w:val="20"/>
          <w:szCs w:val="20"/>
        </w:rPr>
        <w:t xml:space="preserve">Sensitivity analysis, which involves </w:t>
      </w:r>
      <w:r w:rsidR="00CD10C3" w:rsidRPr="009C70DD">
        <w:rPr>
          <w:sz w:val="20"/>
          <w:szCs w:val="20"/>
        </w:rPr>
        <w:t>adjusting</w:t>
      </w:r>
      <w:r w:rsidR="00B803A4" w:rsidRPr="009C70DD">
        <w:rPr>
          <w:sz w:val="20"/>
          <w:szCs w:val="20"/>
        </w:rPr>
        <w:t xml:space="preserve"> important underlying assumptions, supports risk management and informed decision-making by illuminating the possible effects of market conditions that may be unpredictable or ambiguous on investment outcomes</w:t>
      </w:r>
      <w:r w:rsidR="00C75FAB">
        <w:rPr>
          <w:sz w:val="20"/>
          <w:szCs w:val="20"/>
        </w:rPr>
        <w:t>.</w:t>
      </w:r>
    </w:p>
    <w:p w14:paraId="14D79CBC" w14:textId="77777777" w:rsidR="00B803A4" w:rsidRDefault="00B803A4" w:rsidP="00DD2EAF">
      <w:pPr>
        <w:pBdr>
          <w:top w:val="nil"/>
          <w:left w:val="nil"/>
          <w:bottom w:val="nil"/>
          <w:right w:val="nil"/>
          <w:between w:val="nil"/>
        </w:pBdr>
        <w:ind w:left="360" w:firstLine="360"/>
        <w:jc w:val="both"/>
        <w:rPr>
          <w:color w:val="000000"/>
          <w:sz w:val="20"/>
          <w:szCs w:val="20"/>
        </w:rPr>
      </w:pPr>
    </w:p>
    <w:bookmarkEnd w:id="2"/>
    <w:p w14:paraId="1C72E391" w14:textId="5513209E" w:rsidR="00BD1D1B" w:rsidRPr="00B803A4" w:rsidRDefault="00BD1D1B" w:rsidP="00DD2EAF">
      <w:pPr>
        <w:pStyle w:val="BodyText"/>
        <w:ind w:left="360"/>
        <w:rPr>
          <w:szCs w:val="20"/>
        </w:rPr>
      </w:pPr>
    </w:p>
    <w:p w14:paraId="18C20EB0" w14:textId="3ADBAE0C" w:rsidR="00BD1D1B" w:rsidRPr="0085348B" w:rsidRDefault="00B803A4" w:rsidP="00B803A4">
      <w:pPr>
        <w:pStyle w:val="Heading1"/>
        <w:rPr>
          <w:rFonts w:cs="Times New Roman"/>
          <w:szCs w:val="20"/>
        </w:rPr>
      </w:pPr>
      <w:r>
        <w:rPr>
          <w:rFonts w:cs="Times New Roman"/>
          <w:sz w:val="24"/>
          <w:szCs w:val="20"/>
        </w:rPr>
        <w:t>RESULTS</w:t>
      </w:r>
    </w:p>
    <w:p w14:paraId="5195FB36" w14:textId="77777777" w:rsidR="00B803A4" w:rsidRDefault="00B803A4" w:rsidP="00732840">
      <w:pPr>
        <w:pStyle w:val="Heading2"/>
        <w:jc w:val="both"/>
      </w:pPr>
      <w:r>
        <w:t xml:space="preserve">  Higher Salvage value</w:t>
      </w:r>
    </w:p>
    <w:p w14:paraId="01D32482" w14:textId="0CD5077B" w:rsidR="00B803A4" w:rsidRPr="004772AA" w:rsidRDefault="005E0F49" w:rsidP="005E0F49">
      <w:pPr>
        <w:pStyle w:val="BodyText"/>
        <w:ind w:firstLine="0"/>
      </w:pPr>
      <w:r>
        <w:rPr>
          <w:bCs/>
          <w:szCs w:val="20"/>
          <w:lang w:val="en-GB"/>
        </w:rPr>
        <w:t xml:space="preserve">      </w:t>
      </w:r>
      <w:r w:rsidR="00B803A4" w:rsidRPr="00424093">
        <w:rPr>
          <w:bCs/>
          <w:szCs w:val="20"/>
          <w:lang w:val="en-GB"/>
        </w:rPr>
        <w:t>Sunnyvale offers a higher salvage value across the board compared to San Jose, which can be beneficial for long-term asset retention value.</w:t>
      </w:r>
      <w:sdt>
        <w:sdtPr>
          <w:rPr>
            <w:bCs/>
            <w:szCs w:val="20"/>
            <w:lang w:val="en-GB"/>
          </w:rPr>
          <w:id w:val="769898467"/>
          <w:citation/>
        </w:sdtPr>
        <w:sdtContent>
          <w:r w:rsidR="00D61361">
            <w:rPr>
              <w:bCs/>
              <w:szCs w:val="20"/>
              <w:lang w:val="en-GB"/>
            </w:rPr>
            <w:fldChar w:fldCharType="begin"/>
          </w:r>
          <w:r w:rsidR="00D61361">
            <w:rPr>
              <w:bCs/>
              <w:szCs w:val="20"/>
            </w:rPr>
            <w:instrText xml:space="preserve"> CITATION Sha06 \l 1033 </w:instrText>
          </w:r>
          <w:r w:rsidR="00D61361">
            <w:rPr>
              <w:bCs/>
              <w:szCs w:val="20"/>
              <w:lang w:val="en-GB"/>
            </w:rPr>
            <w:fldChar w:fldCharType="separate"/>
          </w:r>
          <w:r w:rsidR="00856A0C">
            <w:rPr>
              <w:bCs/>
              <w:noProof/>
              <w:szCs w:val="20"/>
            </w:rPr>
            <w:t xml:space="preserve"> </w:t>
          </w:r>
          <w:r w:rsidR="00856A0C" w:rsidRPr="00856A0C">
            <w:rPr>
              <w:noProof/>
              <w:szCs w:val="20"/>
            </w:rPr>
            <w:t>(Shami, 2006)</w:t>
          </w:r>
          <w:r w:rsidR="00D61361">
            <w:rPr>
              <w:bCs/>
              <w:szCs w:val="20"/>
              <w:lang w:val="en-GB"/>
            </w:rPr>
            <w:fldChar w:fldCharType="end"/>
          </w:r>
        </w:sdtContent>
      </w:sdt>
    </w:p>
    <w:p w14:paraId="1C2C3332" w14:textId="77777777" w:rsidR="00B803A4" w:rsidRDefault="00B803A4" w:rsidP="00732840">
      <w:pPr>
        <w:pStyle w:val="Heading2"/>
        <w:jc w:val="both"/>
      </w:pPr>
      <w:r>
        <w:t xml:space="preserve"> Better EUAW</w:t>
      </w:r>
    </w:p>
    <w:p w14:paraId="66B4BFD5" w14:textId="4388716B" w:rsidR="00B803A4" w:rsidRDefault="005E0F49" w:rsidP="005E0F49">
      <w:pPr>
        <w:pBdr>
          <w:top w:val="nil"/>
          <w:left w:val="nil"/>
          <w:bottom w:val="nil"/>
          <w:right w:val="nil"/>
          <w:between w:val="nil"/>
        </w:pBdr>
        <w:rPr>
          <w:color w:val="000000"/>
          <w:sz w:val="20"/>
          <w:szCs w:val="20"/>
        </w:rPr>
      </w:pPr>
      <w:r>
        <w:rPr>
          <w:bCs/>
          <w:sz w:val="20"/>
          <w:szCs w:val="20"/>
          <w:lang w:val="en-GB"/>
        </w:rPr>
        <w:t xml:space="preserve">      </w:t>
      </w:r>
      <w:r w:rsidR="00B803A4" w:rsidRPr="00AB3DB2">
        <w:rPr>
          <w:bCs/>
          <w:sz w:val="20"/>
          <w:szCs w:val="20"/>
          <w:lang w:val="en-GB"/>
        </w:rPr>
        <w:t>Most EUAW figures for Sunnyvale are significantly higher than those for San Jose, suggesting that the annual worth of investments in Sunnyvale might yield better returns over time.</w:t>
      </w:r>
    </w:p>
    <w:p w14:paraId="3F3047D7" w14:textId="77777777" w:rsidR="00B803A4" w:rsidRDefault="00B803A4" w:rsidP="00732840">
      <w:pPr>
        <w:pStyle w:val="Heading2"/>
        <w:jc w:val="both"/>
        <w:rPr>
          <w:rFonts w:cs="Times New Roman"/>
          <w:szCs w:val="20"/>
          <w:lang w:val="en-GB"/>
        </w:rPr>
      </w:pPr>
      <w:r w:rsidRPr="002A5E42">
        <w:rPr>
          <w:rFonts w:cs="Times New Roman"/>
          <w:szCs w:val="20"/>
          <w:lang w:val="en-GB"/>
        </w:rPr>
        <w:lastRenderedPageBreak/>
        <w:t>Favourable NPV in Specific Cases</w:t>
      </w:r>
    </w:p>
    <w:p w14:paraId="3A40C771" w14:textId="49C3FA9B" w:rsidR="00B803A4" w:rsidRDefault="005E0F49" w:rsidP="005E0F49">
      <w:pPr>
        <w:pStyle w:val="ListParagraph"/>
        <w:autoSpaceDE w:val="0"/>
        <w:autoSpaceDN w:val="0"/>
        <w:adjustRightInd w:val="0"/>
        <w:ind w:left="0"/>
        <w:rPr>
          <w:bCs/>
          <w:sz w:val="20"/>
          <w:szCs w:val="20"/>
          <w:lang w:val="en-GB"/>
        </w:rPr>
      </w:pPr>
      <w:r>
        <w:rPr>
          <w:bCs/>
          <w:sz w:val="20"/>
          <w:szCs w:val="20"/>
          <w:lang w:val="en-GB"/>
        </w:rPr>
        <w:t xml:space="preserve">      </w:t>
      </w:r>
      <w:r w:rsidR="00B803A4" w:rsidRPr="00AB3DB2">
        <w:rPr>
          <w:bCs/>
          <w:sz w:val="20"/>
          <w:szCs w:val="20"/>
          <w:lang w:val="en-GB"/>
        </w:rPr>
        <w:t>For Bank Loan Option 1 and Buyout through third-party dealer Option 1, Sunnyvale displays a much more favo</w:t>
      </w:r>
      <w:r w:rsidR="00B803A4">
        <w:rPr>
          <w:bCs/>
          <w:sz w:val="20"/>
          <w:szCs w:val="20"/>
          <w:lang w:val="en-GB"/>
        </w:rPr>
        <w:t>u</w:t>
      </w:r>
      <w:r w:rsidR="00B803A4" w:rsidRPr="00AB3DB2">
        <w:rPr>
          <w:bCs/>
          <w:sz w:val="20"/>
          <w:szCs w:val="20"/>
          <w:lang w:val="en-GB"/>
        </w:rPr>
        <w:t>rable NPV, indicating a higher net benefit over time when compared to San Jose.</w:t>
      </w:r>
    </w:p>
    <w:p w14:paraId="623006B3" w14:textId="77777777" w:rsidR="00B803A4" w:rsidRDefault="00B803A4" w:rsidP="00732840">
      <w:pPr>
        <w:pStyle w:val="ListParagraph"/>
        <w:autoSpaceDE w:val="0"/>
        <w:autoSpaceDN w:val="0"/>
        <w:adjustRightInd w:val="0"/>
        <w:ind w:left="360"/>
        <w:jc w:val="both"/>
        <w:rPr>
          <w:bCs/>
          <w:sz w:val="20"/>
          <w:szCs w:val="20"/>
          <w:lang w:val="en-GB"/>
        </w:rPr>
      </w:pPr>
      <w:r>
        <w:rPr>
          <w:bCs/>
          <w:sz w:val="20"/>
          <w:szCs w:val="20"/>
          <w:lang w:val="en-GB"/>
        </w:rPr>
        <w:t xml:space="preserve">  </w:t>
      </w:r>
    </w:p>
    <w:p w14:paraId="677DFA42" w14:textId="60EBE159" w:rsidR="00B803A4" w:rsidRDefault="00B803A4" w:rsidP="00732840">
      <w:pPr>
        <w:autoSpaceDE w:val="0"/>
        <w:autoSpaceDN w:val="0"/>
        <w:adjustRightInd w:val="0"/>
        <w:jc w:val="both"/>
        <w:rPr>
          <w:b/>
          <w:bCs/>
          <w:sz w:val="20"/>
          <w:szCs w:val="20"/>
          <w:lang w:val="en-GB"/>
        </w:rPr>
      </w:pPr>
      <w:r w:rsidRPr="002A5E42">
        <w:rPr>
          <w:b/>
          <w:bCs/>
          <w:sz w:val="20"/>
          <w:szCs w:val="20"/>
          <w:lang w:val="en-GB"/>
        </w:rPr>
        <w:t>More Expensive Monthly Payments</w:t>
      </w:r>
    </w:p>
    <w:p w14:paraId="54310273" w14:textId="77777777" w:rsidR="00992E3A" w:rsidRDefault="00992E3A" w:rsidP="005E0F49">
      <w:pPr>
        <w:autoSpaceDE w:val="0"/>
        <w:autoSpaceDN w:val="0"/>
        <w:adjustRightInd w:val="0"/>
        <w:jc w:val="both"/>
        <w:rPr>
          <w:b/>
          <w:bCs/>
          <w:sz w:val="20"/>
          <w:szCs w:val="20"/>
          <w:lang w:val="en-GB"/>
        </w:rPr>
      </w:pPr>
    </w:p>
    <w:p w14:paraId="618136E5" w14:textId="68631F62" w:rsidR="00B803A4" w:rsidRDefault="005E0F49" w:rsidP="005E0F49">
      <w:pPr>
        <w:pStyle w:val="ListParagraph"/>
        <w:autoSpaceDE w:val="0"/>
        <w:autoSpaceDN w:val="0"/>
        <w:adjustRightInd w:val="0"/>
        <w:ind w:left="0"/>
        <w:rPr>
          <w:bCs/>
          <w:sz w:val="20"/>
          <w:szCs w:val="20"/>
          <w:lang w:val="en-GB"/>
        </w:rPr>
      </w:pPr>
      <w:r>
        <w:rPr>
          <w:bCs/>
          <w:sz w:val="20"/>
          <w:szCs w:val="20"/>
          <w:lang w:val="en-GB"/>
        </w:rPr>
        <w:t xml:space="preserve">      </w:t>
      </w:r>
      <w:r w:rsidR="00B803A4" w:rsidRPr="00AB3DB2">
        <w:rPr>
          <w:bCs/>
          <w:sz w:val="20"/>
          <w:szCs w:val="20"/>
          <w:lang w:val="en-GB"/>
        </w:rPr>
        <w:t>Monthly payments in Sunnyvale are consistently higher, which could impact short-term cash flow but might be justified by the higher salvage values and EUAW figures.</w:t>
      </w:r>
    </w:p>
    <w:p w14:paraId="5BCD887B" w14:textId="77777777" w:rsidR="00B803A4" w:rsidRPr="00B803A4" w:rsidRDefault="00B803A4" w:rsidP="00732840">
      <w:pPr>
        <w:pStyle w:val="ListParagraph"/>
        <w:autoSpaceDE w:val="0"/>
        <w:autoSpaceDN w:val="0"/>
        <w:adjustRightInd w:val="0"/>
        <w:ind w:left="360"/>
        <w:jc w:val="both"/>
        <w:rPr>
          <w:bCs/>
          <w:sz w:val="20"/>
          <w:szCs w:val="20"/>
          <w:lang w:val="en-GB"/>
        </w:rPr>
      </w:pPr>
    </w:p>
    <w:p w14:paraId="2EA7D271" w14:textId="0AF1379B" w:rsidR="00B803A4" w:rsidRDefault="00B803A4" w:rsidP="00732840">
      <w:pPr>
        <w:autoSpaceDE w:val="0"/>
        <w:autoSpaceDN w:val="0"/>
        <w:adjustRightInd w:val="0"/>
        <w:jc w:val="both"/>
        <w:rPr>
          <w:b/>
          <w:bCs/>
          <w:sz w:val="20"/>
          <w:szCs w:val="20"/>
          <w:lang w:val="en-GB"/>
        </w:rPr>
      </w:pPr>
      <w:r w:rsidRPr="002A5E42">
        <w:rPr>
          <w:b/>
          <w:bCs/>
          <w:sz w:val="20"/>
          <w:szCs w:val="20"/>
          <w:lang w:val="en-GB"/>
        </w:rPr>
        <w:t>Consistent Negative NPV for Leases</w:t>
      </w:r>
    </w:p>
    <w:p w14:paraId="3E6143FF" w14:textId="77777777" w:rsidR="00B803A4" w:rsidRDefault="00B803A4" w:rsidP="005E0F49">
      <w:pPr>
        <w:autoSpaceDE w:val="0"/>
        <w:autoSpaceDN w:val="0"/>
        <w:adjustRightInd w:val="0"/>
        <w:jc w:val="both"/>
        <w:rPr>
          <w:b/>
          <w:bCs/>
          <w:sz w:val="20"/>
          <w:szCs w:val="20"/>
          <w:lang w:val="en-GB"/>
        </w:rPr>
      </w:pPr>
    </w:p>
    <w:p w14:paraId="7740FC09" w14:textId="5CD1DDF9" w:rsidR="00B803A4" w:rsidRPr="00AB3DB2" w:rsidRDefault="005E0F49" w:rsidP="005E0F49">
      <w:pPr>
        <w:pStyle w:val="ListParagraph"/>
        <w:autoSpaceDE w:val="0"/>
        <w:autoSpaceDN w:val="0"/>
        <w:adjustRightInd w:val="0"/>
        <w:ind w:left="0"/>
        <w:rPr>
          <w:bCs/>
          <w:sz w:val="20"/>
          <w:szCs w:val="20"/>
          <w:lang w:val="en-GB"/>
        </w:rPr>
      </w:pPr>
      <w:r>
        <w:rPr>
          <w:bCs/>
          <w:sz w:val="20"/>
          <w:szCs w:val="20"/>
          <w:lang w:val="en-GB"/>
        </w:rPr>
        <w:t xml:space="preserve">      </w:t>
      </w:r>
      <w:r w:rsidR="00B803A4" w:rsidRPr="00AB3DB2">
        <w:rPr>
          <w:bCs/>
          <w:sz w:val="20"/>
          <w:szCs w:val="20"/>
          <w:lang w:val="en-GB"/>
        </w:rPr>
        <w:t>Both locations show a negative NPV for leasing options without buyout, indicating that these options might be less favo</w:t>
      </w:r>
      <w:r w:rsidR="00B803A4">
        <w:rPr>
          <w:bCs/>
          <w:sz w:val="20"/>
          <w:szCs w:val="20"/>
          <w:lang w:val="en-GB"/>
        </w:rPr>
        <w:t>u</w:t>
      </w:r>
      <w:r w:rsidR="00B803A4" w:rsidRPr="00AB3DB2">
        <w:rPr>
          <w:bCs/>
          <w:sz w:val="20"/>
          <w:szCs w:val="20"/>
          <w:lang w:val="en-GB"/>
        </w:rPr>
        <w:t>rable compared to purchasing or financing options.</w:t>
      </w:r>
      <w:r w:rsidR="00B803A4" w:rsidRPr="00AB3DB2">
        <w:rPr>
          <w:bCs/>
          <w:sz w:val="20"/>
          <w:szCs w:val="20"/>
          <w:lang w:val="en-GB"/>
        </w:rPr>
        <w:tab/>
      </w:r>
    </w:p>
    <w:p w14:paraId="68F18B78" w14:textId="0D2A666B" w:rsidR="00B803A4" w:rsidRDefault="00B803A4" w:rsidP="00B803A4">
      <w:pPr>
        <w:pStyle w:val="Heading2"/>
        <w:rPr>
          <w:rFonts w:cs="Times New Roman"/>
          <w:szCs w:val="20"/>
          <w:lang w:val="en-GB"/>
        </w:rPr>
      </w:pPr>
    </w:p>
    <w:p w14:paraId="64310B8E" w14:textId="13637E0E" w:rsidR="00B803A4" w:rsidRDefault="001C043A" w:rsidP="00B803A4">
      <w:pPr>
        <w:pStyle w:val="BodyText"/>
        <w:jc w:val="center"/>
        <w:rPr>
          <w:lang w:val="en-GB"/>
        </w:rPr>
      </w:pPr>
      <w:r>
        <w:rPr>
          <w:noProof/>
        </w:rPr>
        <w:drawing>
          <wp:inline distT="0" distB="0" distL="0" distR="0" wp14:anchorId="6AE792DC" wp14:editId="50F9EF77">
            <wp:extent cx="5860597" cy="3248781"/>
            <wp:effectExtent l="0" t="0" r="6985" b="15240"/>
            <wp:docPr id="174766464" name="Chart 1">
              <a:extLst xmlns:a="http://schemas.openxmlformats.org/drawingml/2006/main">
                <a:ext uri="{FF2B5EF4-FFF2-40B4-BE49-F238E27FC236}">
                  <a16:creationId xmlns:a16="http://schemas.microsoft.com/office/drawing/2014/main" id="{9EA41E78-61FE-7FF4-6A67-E55F3647B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2E03D" w14:textId="77777777" w:rsidR="001916CA" w:rsidRPr="00607147" w:rsidRDefault="001916CA" w:rsidP="001916CA">
      <w:pPr>
        <w:autoSpaceDE w:val="0"/>
        <w:autoSpaceDN w:val="0"/>
        <w:adjustRightInd w:val="0"/>
        <w:spacing w:before="240"/>
        <w:ind w:left="363"/>
        <w:jc w:val="center"/>
        <w:rPr>
          <w:b/>
          <w:bCs/>
          <w:sz w:val="20"/>
          <w:szCs w:val="20"/>
          <w:lang w:val="en-GB"/>
        </w:rPr>
      </w:pPr>
      <w:r w:rsidRPr="00607147">
        <w:rPr>
          <w:b/>
          <w:bCs/>
          <w:sz w:val="20"/>
          <w:szCs w:val="20"/>
          <w:lang w:val="en-GB"/>
        </w:rPr>
        <w:t>Figure 1.1: Salvage value diagram</w:t>
      </w:r>
    </w:p>
    <w:p w14:paraId="1D5C6F4B" w14:textId="77777777" w:rsidR="00B803A4" w:rsidRPr="00B803A4" w:rsidRDefault="00B803A4" w:rsidP="00B803A4">
      <w:pPr>
        <w:pStyle w:val="BodyText"/>
        <w:jc w:val="center"/>
        <w:rPr>
          <w:lang w:val="en-GB"/>
        </w:rPr>
      </w:pPr>
    </w:p>
    <w:p w14:paraId="36F86086" w14:textId="77777777" w:rsidR="008D41F6" w:rsidRDefault="008D41F6" w:rsidP="008D41F6">
      <w:pPr>
        <w:pStyle w:val="BodyText"/>
        <w:rPr>
          <w:szCs w:val="20"/>
        </w:rPr>
      </w:pPr>
    </w:p>
    <w:p w14:paraId="3951646C" w14:textId="14EE87AC" w:rsidR="008D41F6" w:rsidRDefault="001C043A" w:rsidP="00B803A4">
      <w:pPr>
        <w:pStyle w:val="BodyText"/>
        <w:jc w:val="center"/>
        <w:rPr>
          <w:rStyle w:val="Heading3Char"/>
          <w:rFonts w:cs="Times New Roman"/>
          <w:bCs w:val="0"/>
          <w:i w:val="0"/>
          <w:sz w:val="20"/>
          <w:szCs w:val="20"/>
          <w:lang w:val="en-US"/>
        </w:rPr>
      </w:pPr>
      <w:r>
        <w:rPr>
          <w:noProof/>
        </w:rPr>
        <w:lastRenderedPageBreak/>
        <w:drawing>
          <wp:inline distT="0" distB="0" distL="0" distR="0" wp14:anchorId="1DD78F61" wp14:editId="59B8F4F9">
            <wp:extent cx="6858000" cy="3512185"/>
            <wp:effectExtent l="0" t="0" r="0" b="5715"/>
            <wp:docPr id="1006866389" name="Chart 1">
              <a:extLst xmlns:a="http://schemas.openxmlformats.org/drawingml/2006/main">
                <a:ext uri="{FF2B5EF4-FFF2-40B4-BE49-F238E27FC236}">
                  <a16:creationId xmlns:a16="http://schemas.microsoft.com/office/drawing/2014/main" id="{B9ED90E5-AD31-0F34-1588-28935E33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03C334" w14:textId="5A6DF616" w:rsidR="001916CA" w:rsidRPr="00607147" w:rsidRDefault="001916CA" w:rsidP="001916CA">
      <w:pPr>
        <w:autoSpaceDE w:val="0"/>
        <w:autoSpaceDN w:val="0"/>
        <w:adjustRightInd w:val="0"/>
        <w:spacing w:before="240"/>
        <w:ind w:left="363"/>
        <w:jc w:val="center"/>
        <w:rPr>
          <w:b/>
          <w:bCs/>
          <w:sz w:val="20"/>
          <w:szCs w:val="20"/>
          <w:lang w:val="en-GB"/>
        </w:rPr>
      </w:pPr>
      <w:r w:rsidRPr="00607147">
        <w:rPr>
          <w:b/>
          <w:bCs/>
          <w:sz w:val="20"/>
          <w:szCs w:val="20"/>
          <w:lang w:val="en-GB"/>
        </w:rPr>
        <w:t>Figure 1.2: Sa</w:t>
      </w:r>
      <w:r w:rsidR="00D20799" w:rsidRPr="00607147">
        <w:rPr>
          <w:b/>
          <w:bCs/>
          <w:sz w:val="20"/>
          <w:szCs w:val="20"/>
          <w:lang w:val="en-GB"/>
        </w:rPr>
        <w:t>n Jose Investment Strategy diagram</w:t>
      </w:r>
    </w:p>
    <w:p w14:paraId="259F9AD6" w14:textId="77777777" w:rsidR="001916CA" w:rsidRDefault="001916CA" w:rsidP="00B803A4">
      <w:pPr>
        <w:pStyle w:val="BodyText"/>
        <w:jc w:val="center"/>
        <w:rPr>
          <w:rStyle w:val="Heading3Char"/>
          <w:rFonts w:cs="Times New Roman"/>
          <w:bCs w:val="0"/>
          <w:i w:val="0"/>
          <w:sz w:val="20"/>
          <w:szCs w:val="20"/>
          <w:lang w:val="en-US"/>
        </w:rPr>
      </w:pPr>
    </w:p>
    <w:p w14:paraId="1B5A7C51" w14:textId="795FEDC3" w:rsidR="00B803A4" w:rsidRDefault="00B803A4" w:rsidP="00B803A4">
      <w:pPr>
        <w:pStyle w:val="BodyText"/>
        <w:jc w:val="center"/>
        <w:rPr>
          <w:rStyle w:val="Heading3Char"/>
          <w:rFonts w:cs="Times New Roman"/>
          <w:bCs w:val="0"/>
          <w:i w:val="0"/>
          <w:sz w:val="20"/>
          <w:szCs w:val="20"/>
          <w:lang w:val="en-US"/>
        </w:rPr>
      </w:pPr>
    </w:p>
    <w:p w14:paraId="703156D6" w14:textId="1AA1F0E3" w:rsidR="00B803A4" w:rsidRDefault="001C043A" w:rsidP="00B803A4">
      <w:pPr>
        <w:pStyle w:val="BodyText"/>
        <w:jc w:val="center"/>
        <w:rPr>
          <w:rStyle w:val="Heading3Char"/>
          <w:rFonts w:cs="Times New Roman"/>
          <w:bCs w:val="0"/>
          <w:i w:val="0"/>
          <w:sz w:val="20"/>
          <w:szCs w:val="20"/>
          <w:lang w:val="en-US"/>
        </w:rPr>
      </w:pPr>
      <w:r>
        <w:rPr>
          <w:noProof/>
        </w:rPr>
        <w:drawing>
          <wp:inline distT="0" distB="0" distL="0" distR="0" wp14:anchorId="51A2EC96" wp14:editId="279ADF9B">
            <wp:extent cx="6858000" cy="3575050"/>
            <wp:effectExtent l="0" t="0" r="0" b="0"/>
            <wp:docPr id="866142124" name="Chart 1">
              <a:extLst xmlns:a="http://schemas.openxmlformats.org/drawingml/2006/main">
                <a:ext uri="{FF2B5EF4-FFF2-40B4-BE49-F238E27FC236}">
                  <a16:creationId xmlns:a16="http://schemas.microsoft.com/office/drawing/2014/main" id="{4E56FE71-231C-69B8-426B-AB5391DE4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27DA3E" w14:textId="68515906" w:rsidR="001916CA" w:rsidRPr="00607147" w:rsidRDefault="001916CA" w:rsidP="001916CA">
      <w:pPr>
        <w:autoSpaceDE w:val="0"/>
        <w:autoSpaceDN w:val="0"/>
        <w:adjustRightInd w:val="0"/>
        <w:spacing w:before="240"/>
        <w:ind w:left="363"/>
        <w:jc w:val="center"/>
        <w:rPr>
          <w:b/>
          <w:bCs/>
          <w:sz w:val="20"/>
          <w:szCs w:val="20"/>
          <w:lang w:val="en-GB"/>
        </w:rPr>
      </w:pPr>
      <w:r w:rsidRPr="00607147">
        <w:rPr>
          <w:b/>
          <w:bCs/>
          <w:sz w:val="20"/>
          <w:szCs w:val="20"/>
          <w:lang w:val="en-GB"/>
        </w:rPr>
        <w:t>Figure 1.3: S</w:t>
      </w:r>
      <w:r w:rsidR="00D20799" w:rsidRPr="00607147">
        <w:rPr>
          <w:b/>
          <w:bCs/>
          <w:sz w:val="20"/>
          <w:szCs w:val="20"/>
          <w:lang w:val="en-GB"/>
        </w:rPr>
        <w:t>unnyvale</w:t>
      </w:r>
      <w:r w:rsidRPr="00607147">
        <w:rPr>
          <w:b/>
          <w:bCs/>
          <w:sz w:val="20"/>
          <w:szCs w:val="20"/>
          <w:lang w:val="en-GB"/>
        </w:rPr>
        <w:t xml:space="preserve"> </w:t>
      </w:r>
      <w:r w:rsidR="00D20799" w:rsidRPr="00607147">
        <w:rPr>
          <w:b/>
          <w:bCs/>
          <w:sz w:val="20"/>
          <w:szCs w:val="20"/>
          <w:lang w:val="en-GB"/>
        </w:rPr>
        <w:t>Investment Strategy diagram</w:t>
      </w:r>
    </w:p>
    <w:p w14:paraId="43436FE1" w14:textId="77777777" w:rsidR="001916CA" w:rsidRDefault="001916CA" w:rsidP="00B803A4">
      <w:pPr>
        <w:pStyle w:val="BodyText"/>
        <w:jc w:val="center"/>
        <w:rPr>
          <w:rStyle w:val="Heading3Char"/>
          <w:rFonts w:cs="Times New Roman"/>
          <w:bCs w:val="0"/>
          <w:i w:val="0"/>
          <w:sz w:val="20"/>
          <w:szCs w:val="20"/>
          <w:lang w:val="en-US"/>
        </w:rPr>
      </w:pPr>
    </w:p>
    <w:p w14:paraId="2CD6974B" w14:textId="77777777" w:rsidR="00B803A4" w:rsidRPr="008D41F6" w:rsidRDefault="00B803A4" w:rsidP="00B803A4">
      <w:pPr>
        <w:pStyle w:val="BodyText"/>
        <w:jc w:val="center"/>
        <w:rPr>
          <w:rStyle w:val="Heading3Char"/>
          <w:rFonts w:cs="Times New Roman"/>
          <w:bCs w:val="0"/>
          <w:i w:val="0"/>
          <w:sz w:val="20"/>
          <w:szCs w:val="20"/>
          <w:lang w:val="en-US"/>
        </w:rPr>
      </w:pPr>
    </w:p>
    <w:p w14:paraId="747FF82C" w14:textId="77777777" w:rsidR="0085348B" w:rsidRDefault="0085348B" w:rsidP="0085348B">
      <w:pPr>
        <w:pStyle w:val="BodyText"/>
      </w:pPr>
    </w:p>
    <w:p w14:paraId="20FE9ADC" w14:textId="3CD1365D" w:rsidR="00867AF6" w:rsidRDefault="00012E58" w:rsidP="00867AF6">
      <w:pPr>
        <w:pStyle w:val="Heading1"/>
        <w:rPr>
          <w:szCs w:val="20"/>
        </w:rPr>
      </w:pPr>
      <w:r w:rsidRPr="004D77A5">
        <w:rPr>
          <w:sz w:val="24"/>
          <w:szCs w:val="20"/>
        </w:rPr>
        <w:lastRenderedPageBreak/>
        <w:t>D</w:t>
      </w:r>
      <w:r w:rsidR="00867AF6" w:rsidRPr="004D77A5">
        <w:rPr>
          <w:sz w:val="24"/>
          <w:szCs w:val="20"/>
        </w:rPr>
        <w:t>iscussion</w:t>
      </w:r>
    </w:p>
    <w:p w14:paraId="6C13BF97" w14:textId="21A7AD72" w:rsidR="00B803A4" w:rsidRDefault="005E0F49" w:rsidP="005E0F49">
      <w:pPr>
        <w:autoSpaceDE w:val="0"/>
        <w:autoSpaceDN w:val="0"/>
        <w:adjustRightInd w:val="0"/>
        <w:jc w:val="both"/>
        <w:rPr>
          <w:sz w:val="20"/>
          <w:szCs w:val="20"/>
        </w:rPr>
      </w:pPr>
      <w:r>
        <w:rPr>
          <w:sz w:val="20"/>
          <w:szCs w:val="20"/>
        </w:rPr>
        <w:t xml:space="preserve">      </w:t>
      </w:r>
      <w:r w:rsidR="00B803A4" w:rsidRPr="00D86F7C">
        <w:rPr>
          <w:sz w:val="20"/>
          <w:szCs w:val="20"/>
        </w:rPr>
        <w:t>The examination of various payment methods for buying a one-bedroom apartment provides crucial information for making decisions. We can comprehend the financial effects of one-time expenses, recurring maintenance costs, loan repayments, and possible salvage value over a seven-year period by computing Net Present Value (NPV) for each option. We can evaluate the viability and profitability of lease alternatives, bank loans with different down payments, and full payment using the net present value (NPV) technique. Furthermore, taking salvage value and depreciation into account sheds light on how the property's worth varies over time and influences possible resale tactics. Analysis of loan payback provides insight into the affordability and overall financing costs of various loan arrangements. Finding the most economical course of action is aided by comparing the costs and cash flows of various options, and sensitivity analysis on financial assumptions draw attention to possible dangers and uncertainties. The best payment option that fits your investment objectives and financial situation can be chosen with the help of this thorough financial analysis.</w:t>
      </w:r>
      <w:sdt>
        <w:sdtPr>
          <w:rPr>
            <w:sz w:val="20"/>
            <w:szCs w:val="20"/>
          </w:rPr>
          <w:id w:val="222871858"/>
          <w:citation/>
        </w:sdtPr>
        <w:sdtContent>
          <w:r w:rsidR="00D61361">
            <w:rPr>
              <w:sz w:val="20"/>
              <w:szCs w:val="20"/>
            </w:rPr>
            <w:fldChar w:fldCharType="begin"/>
          </w:r>
          <w:r w:rsidR="00D61361">
            <w:rPr>
              <w:sz w:val="20"/>
              <w:szCs w:val="20"/>
            </w:rPr>
            <w:instrText xml:space="preserve"> CITATION Mat041 \l 1033 </w:instrText>
          </w:r>
          <w:r w:rsidR="00D61361">
            <w:rPr>
              <w:sz w:val="20"/>
              <w:szCs w:val="20"/>
            </w:rPr>
            <w:fldChar w:fldCharType="separate"/>
          </w:r>
          <w:r w:rsidR="00856A0C">
            <w:rPr>
              <w:noProof/>
              <w:sz w:val="20"/>
              <w:szCs w:val="20"/>
            </w:rPr>
            <w:t xml:space="preserve"> </w:t>
          </w:r>
          <w:r w:rsidR="00856A0C" w:rsidRPr="00856A0C">
            <w:rPr>
              <w:noProof/>
              <w:sz w:val="20"/>
              <w:szCs w:val="20"/>
            </w:rPr>
            <w:t>(Matthew, 2004)</w:t>
          </w:r>
          <w:r w:rsidR="00D61361">
            <w:rPr>
              <w:sz w:val="20"/>
              <w:szCs w:val="20"/>
            </w:rPr>
            <w:fldChar w:fldCharType="end"/>
          </w:r>
        </w:sdtContent>
      </w:sdt>
    </w:p>
    <w:p w14:paraId="3F5C6FA1" w14:textId="77777777" w:rsidR="00C75FAB" w:rsidRDefault="00C75FAB" w:rsidP="00B803A4">
      <w:pPr>
        <w:autoSpaceDE w:val="0"/>
        <w:autoSpaceDN w:val="0"/>
        <w:adjustRightInd w:val="0"/>
        <w:ind w:left="360"/>
        <w:jc w:val="both"/>
        <w:rPr>
          <w:sz w:val="20"/>
          <w:szCs w:val="20"/>
        </w:rPr>
      </w:pPr>
    </w:p>
    <w:p w14:paraId="4CA9E8EF" w14:textId="77777777" w:rsidR="00B803A4" w:rsidRDefault="00B803A4" w:rsidP="00C75FAB">
      <w:pPr>
        <w:pStyle w:val="Heading2"/>
        <w:spacing w:before="0" w:after="0"/>
      </w:pPr>
      <w:r>
        <w:t>Interpretation of Results</w:t>
      </w:r>
    </w:p>
    <w:p w14:paraId="605A74E7" w14:textId="77777777" w:rsidR="005E0F49" w:rsidRDefault="005E0F49" w:rsidP="005E0F49">
      <w:pPr>
        <w:pBdr>
          <w:top w:val="nil"/>
          <w:left w:val="nil"/>
          <w:bottom w:val="nil"/>
          <w:right w:val="nil"/>
          <w:between w:val="nil"/>
        </w:pBdr>
        <w:jc w:val="both"/>
        <w:rPr>
          <w:sz w:val="20"/>
        </w:rPr>
      </w:pPr>
      <w:bookmarkStart w:id="3" w:name="_Hlk165649567"/>
    </w:p>
    <w:p w14:paraId="6C41AACC" w14:textId="7FF8540B" w:rsidR="005E0F49" w:rsidRDefault="005E0F49" w:rsidP="005E0F49">
      <w:pPr>
        <w:pBdr>
          <w:top w:val="nil"/>
          <w:left w:val="nil"/>
          <w:bottom w:val="nil"/>
          <w:right w:val="nil"/>
          <w:between w:val="nil"/>
        </w:pBdr>
        <w:jc w:val="both"/>
        <w:rPr>
          <w:sz w:val="20"/>
          <w:szCs w:val="20"/>
        </w:rPr>
      </w:pPr>
      <w:r>
        <w:rPr>
          <w:i/>
          <w:sz w:val="20"/>
          <w:szCs w:val="20"/>
        </w:rPr>
        <w:t xml:space="preserve">      </w:t>
      </w:r>
      <w:r w:rsidR="00992E3A" w:rsidRPr="00F035E5">
        <w:rPr>
          <w:i/>
          <w:sz w:val="20"/>
          <w:szCs w:val="20"/>
        </w:rPr>
        <w:t>Net Present Value (NPV) Analysis</w:t>
      </w:r>
      <w:bookmarkEnd w:id="3"/>
      <w:r>
        <w:rPr>
          <w:sz w:val="20"/>
          <w:szCs w:val="20"/>
        </w:rPr>
        <w:t xml:space="preserve">. </w:t>
      </w:r>
      <w:r w:rsidRPr="005E0F49">
        <w:rPr>
          <w:sz w:val="20"/>
          <w:szCs w:val="20"/>
        </w:rPr>
        <w:t>NPV tells how the future cash flows in today’s terms. This involves discounting cashflows to</w:t>
      </w:r>
    </w:p>
    <w:p w14:paraId="4E49B06B" w14:textId="515EB33C" w:rsidR="005E0F49" w:rsidRDefault="005E0F49" w:rsidP="005E0F49">
      <w:pPr>
        <w:pBdr>
          <w:top w:val="nil"/>
          <w:left w:val="nil"/>
          <w:bottom w:val="nil"/>
          <w:right w:val="nil"/>
          <w:between w:val="nil"/>
        </w:pBdr>
        <w:jc w:val="both"/>
        <w:rPr>
          <w:sz w:val="20"/>
          <w:szCs w:val="20"/>
        </w:rPr>
      </w:pPr>
      <w:r w:rsidRPr="005E0F49">
        <w:rPr>
          <w:sz w:val="20"/>
          <w:szCs w:val="20"/>
        </w:rPr>
        <w:t>present value using a discount rate this would reflect risk and opportunity cost</w:t>
      </w:r>
      <w:r>
        <w:rPr>
          <w:sz w:val="20"/>
          <w:szCs w:val="20"/>
        </w:rPr>
        <w:t>.</w:t>
      </w:r>
      <w:r w:rsidRPr="005E0F49">
        <w:rPr>
          <w:sz w:val="20"/>
          <w:szCs w:val="20"/>
        </w:rPr>
        <w:t xml:space="preserve"> A negative NPV signals financial disadvantages, while a positive NPV indicates potential financial benefits.</w:t>
      </w:r>
    </w:p>
    <w:p w14:paraId="365FA11B" w14:textId="68840586" w:rsidR="005E0F49" w:rsidRDefault="005E0F49" w:rsidP="005E0F49">
      <w:pPr>
        <w:pBdr>
          <w:top w:val="nil"/>
          <w:left w:val="nil"/>
          <w:bottom w:val="nil"/>
          <w:right w:val="nil"/>
          <w:between w:val="nil"/>
        </w:pBdr>
        <w:jc w:val="both"/>
        <w:rPr>
          <w:sz w:val="20"/>
          <w:szCs w:val="20"/>
        </w:rPr>
      </w:pPr>
      <w:r>
        <w:rPr>
          <w:i/>
          <w:sz w:val="20"/>
          <w:szCs w:val="20"/>
        </w:rPr>
        <w:t xml:space="preserve">     </w:t>
      </w:r>
      <w:r w:rsidR="00992E3A" w:rsidRPr="00F035E5">
        <w:rPr>
          <w:i/>
          <w:sz w:val="20"/>
          <w:szCs w:val="20"/>
        </w:rPr>
        <w:t>Depreciation and Salvage Value</w:t>
      </w:r>
      <w:r>
        <w:rPr>
          <w:sz w:val="20"/>
          <w:szCs w:val="20"/>
        </w:rPr>
        <w:t>. D</w:t>
      </w:r>
      <w:r w:rsidRPr="005E0F49">
        <w:rPr>
          <w:sz w:val="20"/>
          <w:szCs w:val="20"/>
        </w:rPr>
        <w:t xml:space="preserve">epreciation helps to understand how property value decreases over time and estimating salvage </w:t>
      </w:r>
    </w:p>
    <w:p w14:paraId="0AA823A5" w14:textId="77777777" w:rsidR="005E0F49" w:rsidRDefault="005E0F49" w:rsidP="005E0F49">
      <w:pPr>
        <w:pBdr>
          <w:top w:val="nil"/>
          <w:left w:val="nil"/>
          <w:bottom w:val="nil"/>
          <w:right w:val="nil"/>
          <w:between w:val="nil"/>
        </w:pBdr>
        <w:jc w:val="both"/>
        <w:rPr>
          <w:sz w:val="20"/>
          <w:szCs w:val="20"/>
        </w:rPr>
      </w:pPr>
      <w:r w:rsidRPr="005E0F49">
        <w:rPr>
          <w:sz w:val="20"/>
          <w:szCs w:val="20"/>
        </w:rPr>
        <w:t>value at the end of the analysis period.</w:t>
      </w:r>
    </w:p>
    <w:p w14:paraId="418A3BEC" w14:textId="2013F154" w:rsidR="005E0F49" w:rsidRDefault="005E0F49" w:rsidP="00CD10C3">
      <w:pPr>
        <w:pBdr>
          <w:top w:val="nil"/>
          <w:left w:val="nil"/>
          <w:bottom w:val="nil"/>
          <w:right w:val="nil"/>
          <w:between w:val="nil"/>
        </w:pBdr>
        <w:jc w:val="both"/>
        <w:rPr>
          <w:sz w:val="20"/>
          <w:szCs w:val="20"/>
        </w:rPr>
      </w:pPr>
      <w:r>
        <w:rPr>
          <w:i/>
          <w:sz w:val="20"/>
          <w:szCs w:val="20"/>
        </w:rPr>
        <w:t xml:space="preserve">    </w:t>
      </w:r>
      <w:r w:rsidR="00992E3A" w:rsidRPr="00F035E5">
        <w:rPr>
          <w:i/>
          <w:sz w:val="20"/>
          <w:szCs w:val="20"/>
        </w:rPr>
        <w:t>Loan Repayment Assessment</w:t>
      </w:r>
      <w:r>
        <w:rPr>
          <w:sz w:val="20"/>
          <w:szCs w:val="20"/>
        </w:rPr>
        <w:t xml:space="preserve">. </w:t>
      </w:r>
      <w:r w:rsidR="00C03955" w:rsidRPr="00C03955">
        <w:rPr>
          <w:sz w:val="20"/>
          <w:szCs w:val="20"/>
        </w:rPr>
        <w:t>Evaluating loan repayment terms helps understand borrowing affordability and total costs.</w:t>
      </w:r>
    </w:p>
    <w:p w14:paraId="2CFFFCBC" w14:textId="700C2F0F" w:rsidR="00DD2EAF" w:rsidRDefault="005E0F49" w:rsidP="00CD10C3">
      <w:pPr>
        <w:pBdr>
          <w:top w:val="nil"/>
          <w:left w:val="nil"/>
          <w:bottom w:val="nil"/>
          <w:right w:val="nil"/>
          <w:between w:val="nil"/>
        </w:pBdr>
        <w:jc w:val="both"/>
        <w:rPr>
          <w:sz w:val="20"/>
          <w:szCs w:val="20"/>
        </w:rPr>
      </w:pPr>
      <w:r>
        <w:rPr>
          <w:i/>
          <w:sz w:val="20"/>
          <w:szCs w:val="20"/>
        </w:rPr>
        <w:t xml:space="preserve">   </w:t>
      </w:r>
      <w:r w:rsidR="00992E3A" w:rsidRPr="00F035E5">
        <w:rPr>
          <w:i/>
          <w:sz w:val="20"/>
          <w:szCs w:val="20"/>
        </w:rPr>
        <w:t>Comparison of Cash Flows and Costs</w:t>
      </w:r>
      <w:r>
        <w:rPr>
          <w:sz w:val="20"/>
          <w:szCs w:val="20"/>
        </w:rPr>
        <w:t xml:space="preserve">. </w:t>
      </w:r>
      <w:r w:rsidR="003D01E9" w:rsidRPr="003D01E9">
        <w:rPr>
          <w:sz w:val="20"/>
          <w:szCs w:val="20"/>
        </w:rPr>
        <w:t>comparison of cash flows helps in determining which method provides the best balance</w:t>
      </w:r>
      <w:r>
        <w:rPr>
          <w:sz w:val="20"/>
          <w:szCs w:val="20"/>
        </w:rPr>
        <w:t xml:space="preserve"> </w:t>
      </w:r>
      <w:r w:rsidR="003D01E9" w:rsidRPr="003D01E9">
        <w:rPr>
          <w:sz w:val="20"/>
          <w:szCs w:val="20"/>
        </w:rPr>
        <w:t>between cost and benefit over time.</w:t>
      </w:r>
    </w:p>
    <w:p w14:paraId="68F7D612" w14:textId="38C14B48" w:rsidR="00B803A4" w:rsidRPr="003922C9" w:rsidRDefault="005E0F49" w:rsidP="005E0F49">
      <w:pPr>
        <w:pBdr>
          <w:top w:val="nil"/>
          <w:left w:val="nil"/>
          <w:bottom w:val="nil"/>
          <w:right w:val="nil"/>
          <w:between w:val="nil"/>
        </w:pBdr>
        <w:jc w:val="both"/>
        <w:rPr>
          <w:sz w:val="20"/>
          <w:szCs w:val="20"/>
        </w:rPr>
      </w:pPr>
      <w:r>
        <w:rPr>
          <w:i/>
          <w:sz w:val="20"/>
          <w:szCs w:val="20"/>
        </w:rPr>
        <w:t xml:space="preserve">   </w:t>
      </w:r>
      <w:r w:rsidR="00992E3A" w:rsidRPr="00F035E5">
        <w:rPr>
          <w:i/>
          <w:sz w:val="20"/>
          <w:szCs w:val="20"/>
        </w:rPr>
        <w:t>Sensitivity Analysis on Financial Assumptions</w:t>
      </w:r>
      <w:r>
        <w:rPr>
          <w:sz w:val="20"/>
          <w:szCs w:val="20"/>
        </w:rPr>
        <w:t xml:space="preserve">. </w:t>
      </w:r>
      <w:r w:rsidR="00C03955" w:rsidRPr="00C03955">
        <w:rPr>
          <w:sz w:val="20"/>
          <w:szCs w:val="20"/>
        </w:rPr>
        <w:t>Sensitivity analysis examines how varying financial assumptions affect investment outcomes, revealing risks and uncertainties in different payment methods.</w:t>
      </w:r>
      <w:sdt>
        <w:sdtPr>
          <w:rPr>
            <w:sz w:val="20"/>
            <w:szCs w:val="20"/>
          </w:rPr>
          <w:id w:val="1813829404"/>
          <w:citation/>
        </w:sdtPr>
        <w:sdtContent>
          <w:r w:rsidR="00D61361">
            <w:rPr>
              <w:sz w:val="20"/>
              <w:szCs w:val="20"/>
            </w:rPr>
            <w:fldChar w:fldCharType="begin"/>
          </w:r>
          <w:r w:rsidR="00D61361">
            <w:rPr>
              <w:sz w:val="20"/>
              <w:szCs w:val="20"/>
            </w:rPr>
            <w:instrText xml:space="preserve"> CITATION Dan19 \l 1033 </w:instrText>
          </w:r>
          <w:r w:rsidR="00D61361">
            <w:rPr>
              <w:sz w:val="20"/>
              <w:szCs w:val="20"/>
            </w:rPr>
            <w:fldChar w:fldCharType="separate"/>
          </w:r>
          <w:r w:rsidR="00856A0C">
            <w:rPr>
              <w:noProof/>
              <w:sz w:val="20"/>
              <w:szCs w:val="20"/>
            </w:rPr>
            <w:t xml:space="preserve"> </w:t>
          </w:r>
          <w:r w:rsidR="00856A0C" w:rsidRPr="00856A0C">
            <w:rPr>
              <w:noProof/>
              <w:sz w:val="20"/>
              <w:szCs w:val="20"/>
            </w:rPr>
            <w:t>(Daniel, Patrick, &amp; Ken, 2019)</w:t>
          </w:r>
          <w:r w:rsidR="00D61361">
            <w:rPr>
              <w:sz w:val="20"/>
              <w:szCs w:val="20"/>
            </w:rPr>
            <w:fldChar w:fldCharType="end"/>
          </w:r>
        </w:sdtContent>
      </w:sdt>
    </w:p>
    <w:p w14:paraId="522017B8" w14:textId="77777777" w:rsidR="00B803A4" w:rsidRDefault="00B803A4" w:rsidP="00B803A4">
      <w:pPr>
        <w:pStyle w:val="Heading2"/>
      </w:pPr>
      <w:r>
        <w:t>Conclusion</w:t>
      </w:r>
    </w:p>
    <w:p w14:paraId="343ADB8A" w14:textId="07CC8461" w:rsidR="00B803A4" w:rsidRPr="00102734" w:rsidRDefault="005E0F49" w:rsidP="005E0F49">
      <w:pPr>
        <w:pBdr>
          <w:top w:val="nil"/>
          <w:left w:val="nil"/>
          <w:bottom w:val="nil"/>
          <w:right w:val="nil"/>
          <w:between w:val="nil"/>
        </w:pBdr>
        <w:jc w:val="both"/>
        <w:rPr>
          <w:color w:val="000000"/>
          <w:sz w:val="20"/>
          <w:szCs w:val="20"/>
        </w:rPr>
      </w:pPr>
      <w:r>
        <w:rPr>
          <w:sz w:val="20"/>
          <w:szCs w:val="20"/>
        </w:rPr>
        <w:t xml:space="preserve">      </w:t>
      </w:r>
      <w:r w:rsidR="00B803A4" w:rsidRPr="00102734">
        <w:rPr>
          <w:sz w:val="20"/>
          <w:szCs w:val="20"/>
        </w:rPr>
        <w:t>Sunnyvale often requires larger monthly payments, but for long-term investments in particular, its higher salvage values and overall better NPV and EUAUW numbers indicate that Sunnyvale would be the most financially advantageous choice. San Jose or Sunnyvale would be chosen based on one's ability to pay for greater upfront expenses weighed against Sunnyvale's potential for higher long-term returns.</w:t>
      </w:r>
    </w:p>
    <w:p w14:paraId="411F6288" w14:textId="77777777" w:rsidR="00B803A4" w:rsidRPr="00B803A4" w:rsidRDefault="00B803A4" w:rsidP="00B803A4">
      <w:pPr>
        <w:pStyle w:val="BodyText"/>
      </w:pPr>
    </w:p>
    <w:p w14:paraId="09A52D19" w14:textId="027A8213" w:rsidR="00E178EF" w:rsidRDefault="00E178EF" w:rsidP="00E178EF">
      <w:pPr>
        <w:pStyle w:val="Heading1"/>
        <w:rPr>
          <w:sz w:val="24"/>
          <w:szCs w:val="20"/>
        </w:rPr>
      </w:pPr>
      <w:r>
        <w:rPr>
          <w:sz w:val="24"/>
          <w:szCs w:val="20"/>
        </w:rPr>
        <w:t>Acknowledgements</w:t>
      </w:r>
    </w:p>
    <w:p w14:paraId="0CCC46E3" w14:textId="66AE0A65" w:rsidR="005E0F49" w:rsidRPr="00AB3DB2" w:rsidRDefault="005E0F49" w:rsidP="005E0F49">
      <w:pPr>
        <w:autoSpaceDE w:val="0"/>
        <w:autoSpaceDN w:val="0"/>
        <w:adjustRightInd w:val="0"/>
        <w:jc w:val="both"/>
        <w:rPr>
          <w:bCs/>
          <w:sz w:val="20"/>
          <w:szCs w:val="20"/>
          <w:lang w:val="en-GB"/>
        </w:rPr>
      </w:pPr>
      <w:r>
        <w:rPr>
          <w:sz w:val="20"/>
          <w:szCs w:val="20"/>
        </w:rPr>
        <w:t xml:space="preserve">      </w:t>
      </w:r>
      <w:r w:rsidRPr="00D86F7C">
        <w:rPr>
          <w:sz w:val="20"/>
          <w:szCs w:val="20"/>
        </w:rPr>
        <w:t>We express our gratitude to our professor for providing direction during the research, as well as to others in the group for their insightful comments and constructive feedback that significantly improved the caliber of this analysis</w:t>
      </w:r>
      <w:r>
        <w:rPr>
          <w:sz w:val="20"/>
          <w:szCs w:val="20"/>
        </w:rPr>
        <w:t>.</w:t>
      </w:r>
    </w:p>
    <w:p w14:paraId="75589E2F" w14:textId="45BA07DB" w:rsidR="005E0F49" w:rsidRDefault="005E0F49" w:rsidP="005E0F49">
      <w:pPr>
        <w:pStyle w:val="BodyText"/>
      </w:pPr>
    </w:p>
    <w:p w14:paraId="34D89F00" w14:textId="77777777" w:rsidR="005E0F49" w:rsidRPr="005E0F49" w:rsidRDefault="005E0F49" w:rsidP="005E0F49">
      <w:pPr>
        <w:pStyle w:val="BodyText"/>
      </w:pPr>
    </w:p>
    <w:p w14:paraId="7C389838" w14:textId="77777777" w:rsidR="00B803A4" w:rsidRDefault="00B803A4" w:rsidP="00B803A4">
      <w:pPr>
        <w:pBdr>
          <w:top w:val="nil"/>
          <w:left w:val="nil"/>
          <w:bottom w:val="nil"/>
          <w:right w:val="nil"/>
          <w:between w:val="nil"/>
        </w:pBdr>
        <w:ind w:firstLine="360"/>
        <w:jc w:val="both"/>
        <w:rPr>
          <w:color w:val="000000"/>
          <w:sz w:val="20"/>
          <w:szCs w:val="20"/>
        </w:rPr>
      </w:pPr>
    </w:p>
    <w:p w14:paraId="20BFD2D4" w14:textId="7A8FDFBF" w:rsidR="00E178EF" w:rsidRDefault="00E178EF" w:rsidP="00075DC6">
      <w:pPr>
        <w:pStyle w:val="BodyText"/>
      </w:pPr>
    </w:p>
    <w:bookmarkStart w:id="4" w:name="_Hlk165638898" w:displacedByCustomXml="next"/>
    <w:sdt>
      <w:sdtPr>
        <w:rPr>
          <w:rFonts w:cs="Times New Roman"/>
          <w:b w:val="0"/>
          <w:bCs w:val="0"/>
          <w:caps w:val="0"/>
          <w:kern w:val="0"/>
          <w:sz w:val="24"/>
          <w:szCs w:val="24"/>
        </w:rPr>
        <w:id w:val="-384795245"/>
        <w:docPartObj>
          <w:docPartGallery w:val="Bibliographies"/>
          <w:docPartUnique/>
        </w:docPartObj>
      </w:sdtPr>
      <w:sdtContent>
        <w:p w14:paraId="065AAF35" w14:textId="54278724" w:rsidR="00856A0C" w:rsidRDefault="00856A0C">
          <w:pPr>
            <w:pStyle w:val="Heading1"/>
          </w:pPr>
          <w:r>
            <w:t>REFERENCES</w:t>
          </w:r>
        </w:p>
        <w:p w14:paraId="43A32811" w14:textId="2D100938" w:rsidR="00856A0C" w:rsidRDefault="00856A0C" w:rsidP="00856A0C">
          <w:pPr>
            <w:pStyle w:val="Bibliography"/>
            <w:ind w:left="720" w:hanging="720"/>
            <w:rPr>
              <w:sz w:val="24"/>
            </w:rPr>
          </w:pPr>
          <w:r>
            <w:fldChar w:fldCharType="begin"/>
          </w:r>
          <w:r>
            <w:instrText xml:space="preserve"> BIBLIOGRAPHY </w:instrText>
          </w:r>
          <w:r>
            <w:fldChar w:fldCharType="separate"/>
          </w:r>
          <w:r>
            <w:t xml:space="preserve">Daniel, F., Patrick, B., &amp; Ken, B. (2019, MAY 16). </w:t>
          </w:r>
          <w:r>
            <w:rPr>
              <w:i/>
              <w:iCs/>
            </w:rPr>
            <w:t>San José ARO Study: A Study of the Apartment Rent Ordinance of the City of San José</w:t>
          </w:r>
          <w:r>
            <w:t>. Retrieved from SSRN:</w:t>
          </w:r>
          <w:r w:rsidRPr="00856A0C">
            <w:rPr>
              <w:color w:val="4472C4" w:themeColor="accent5"/>
              <w:u w:val="single"/>
            </w:rPr>
            <w:t xml:space="preserve"> https://papers.ssrn.com/sol3/papers.cfm?abstract_id=3380034</w:t>
          </w:r>
        </w:p>
        <w:p w14:paraId="6544FBBA" w14:textId="77777777" w:rsidR="00856A0C" w:rsidRDefault="00856A0C" w:rsidP="00856A0C">
          <w:pPr>
            <w:pStyle w:val="Bibliography"/>
            <w:ind w:left="720" w:hanging="720"/>
          </w:pPr>
          <w:r>
            <w:t xml:space="preserve">HFES. (2014). </w:t>
          </w:r>
          <w:r>
            <w:rPr>
              <w:i/>
              <w:iCs/>
            </w:rPr>
            <w:t>HFES 2014 Formatting Guidelines</w:t>
          </w:r>
          <w:r>
            <w:t xml:space="preserve">. Retrieved from HFES.org: </w:t>
          </w:r>
          <w:r w:rsidRPr="00856A0C">
            <w:rPr>
              <w:color w:val="4472C4" w:themeColor="accent5"/>
              <w:u w:val="single"/>
            </w:rPr>
            <w:t>https://www.hfes.org/web/HFESMeetings/2014FormattingGuidelines.pdf</w:t>
          </w:r>
        </w:p>
        <w:p w14:paraId="2279E976" w14:textId="77777777" w:rsidR="00856A0C" w:rsidRDefault="00856A0C" w:rsidP="00856A0C">
          <w:pPr>
            <w:pStyle w:val="Bibliography"/>
            <w:ind w:left="720" w:hanging="720"/>
          </w:pPr>
          <w:r>
            <w:t xml:space="preserve">Ignoffo, M. J. (1991). </w:t>
          </w:r>
          <w:r>
            <w:rPr>
              <w:i/>
              <w:iCs/>
            </w:rPr>
            <w:t>Sunnyvale: From the "city of destiny" to the "heart of the Silicon Valley"</w:t>
          </w:r>
          <w:r>
            <w:t xml:space="preserve">. Retrieved from proquest: </w:t>
          </w:r>
          <w:r w:rsidRPr="00856A0C">
            <w:rPr>
              <w:color w:val="4472C4" w:themeColor="accent5"/>
              <w:u w:val="single"/>
            </w:rPr>
            <w:t>https://www.proquest.com/openview/79fdaa980cda61054ffdd9ea407561f9/1?pq-origsite=gscholar&amp;cbl=18750&amp;diss=y</w:t>
          </w:r>
        </w:p>
        <w:p w14:paraId="39FE1402" w14:textId="77777777" w:rsidR="00856A0C" w:rsidRDefault="00856A0C" w:rsidP="00856A0C">
          <w:pPr>
            <w:pStyle w:val="Bibliography"/>
            <w:ind w:left="720" w:hanging="720"/>
          </w:pPr>
          <w:r>
            <w:t xml:space="preserve">Lincoln, A. (1865). Address of improbable quotes. </w:t>
          </w:r>
          <w:r>
            <w:rPr>
              <w:i/>
              <w:iCs/>
            </w:rPr>
            <w:t>Proceedings of 1st Annual Gettysburg Meeting.</w:t>
          </w:r>
          <w:r>
            <w:t xml:space="preserve"> </w:t>
          </w:r>
        </w:p>
        <w:p w14:paraId="635256C8" w14:textId="77777777" w:rsidR="00856A0C" w:rsidRDefault="00856A0C" w:rsidP="00856A0C">
          <w:pPr>
            <w:pStyle w:val="Bibliography"/>
            <w:ind w:left="720" w:hanging="720"/>
          </w:pPr>
          <w:r>
            <w:t xml:space="preserve">Lloyd, L. (2010, April). Survival of the Smartest. </w:t>
          </w:r>
          <w:r>
            <w:rPr>
              <w:i/>
              <w:iCs/>
            </w:rPr>
            <w:t>MD+DI; Medical Device and Diagnostic Industry, 32</w:t>
          </w:r>
          <w:r>
            <w:t>(4).</w:t>
          </w:r>
        </w:p>
        <w:p w14:paraId="68D8307D" w14:textId="77777777" w:rsidR="00856A0C" w:rsidRDefault="00856A0C" w:rsidP="00856A0C">
          <w:pPr>
            <w:pStyle w:val="Bibliography"/>
            <w:ind w:left="720" w:hanging="720"/>
          </w:pPr>
          <w:r>
            <w:t xml:space="preserve">Matthew, F. (2004). </w:t>
          </w:r>
          <w:r>
            <w:rPr>
              <w:i/>
              <w:iCs/>
            </w:rPr>
            <w:t>Inclusionary housing requirements in California: examining the economic impact on three cases</w:t>
          </w:r>
          <w:r>
            <w:t xml:space="preserve">. Retrieved from </w:t>
          </w:r>
          <w:r w:rsidRPr="00856A0C">
            <w:rPr>
              <w:color w:val="4472C4" w:themeColor="accent5"/>
              <w:u w:val="single"/>
            </w:rPr>
            <w:t>https://dspace.mit.edu/bitstream/handle/1721.1/26730/59759605-MIT.pdf?sequence=2</w:t>
          </w:r>
        </w:p>
        <w:p w14:paraId="48C91296" w14:textId="77777777" w:rsidR="00856A0C" w:rsidRDefault="00856A0C" w:rsidP="00856A0C">
          <w:pPr>
            <w:pStyle w:val="Bibliography"/>
            <w:ind w:left="720" w:hanging="720"/>
          </w:pPr>
          <w:r>
            <w:t xml:space="preserve">Meese, R., &amp; Wallace, N. (1994). </w:t>
          </w:r>
          <w:r>
            <w:rPr>
              <w:i/>
              <w:iCs/>
            </w:rPr>
            <w:t>Testing the Present Value Relation for Housing Prices: Should I Leave My House in San Francisco?</w:t>
          </w:r>
          <w:r>
            <w:t xml:space="preserve"> Retrieved from ScienceDirect: </w:t>
          </w:r>
          <w:r w:rsidRPr="00856A0C">
            <w:rPr>
              <w:color w:val="4472C4" w:themeColor="accent5"/>
              <w:u w:val="single"/>
            </w:rPr>
            <w:t>https://www.sciencedirect.com/science/article/pii/S0094119084710151</w:t>
          </w:r>
        </w:p>
        <w:p w14:paraId="64DAE2E6" w14:textId="77777777" w:rsidR="00856A0C" w:rsidRDefault="00856A0C" w:rsidP="00856A0C">
          <w:pPr>
            <w:pStyle w:val="Bibliography"/>
            <w:ind w:left="720" w:hanging="720"/>
          </w:pPr>
          <w:r>
            <w:t xml:space="preserve">Shami, M. (2006, February 13). </w:t>
          </w:r>
          <w:r>
            <w:rPr>
              <w:i/>
              <w:iCs/>
            </w:rPr>
            <w:t>A comprehensive review of building deconstruction and salvage: deconstruction benefits and hurdles</w:t>
          </w:r>
          <w:r>
            <w:t xml:space="preserve">. Retrieved from InderScience: </w:t>
          </w:r>
          <w:r w:rsidRPr="00856A0C">
            <w:rPr>
              <w:color w:val="4472C4" w:themeColor="accent5"/>
              <w:u w:val="single"/>
            </w:rPr>
            <w:t>https://www.inderscienceonline.com/doi/abs/10.1504/IJETM.2006.008998</w:t>
          </w:r>
        </w:p>
        <w:p w14:paraId="3C3F8CAA" w14:textId="77777777" w:rsidR="00856A0C" w:rsidRDefault="00856A0C" w:rsidP="00856A0C">
          <w:pPr>
            <w:pStyle w:val="Bibliography"/>
            <w:ind w:left="720" w:hanging="720"/>
          </w:pPr>
          <w:r>
            <w:lastRenderedPageBreak/>
            <w:t xml:space="preserve">Shishir, M., &amp; Alicia, P. (2007 , January). </w:t>
          </w:r>
          <w:r>
            <w:rPr>
              <w:i/>
              <w:iCs/>
            </w:rPr>
            <w:t>Housing Silicon V Housing Silicon Valley: A 20 Y y: A 20 Year Plan t ear Plan to End the Affor o End the Affordable Housing Crisis</w:t>
          </w:r>
          <w:r>
            <w:t xml:space="preserve">. Retrieved from </w:t>
          </w:r>
          <w:r w:rsidRPr="00856A0C">
            <w:rPr>
              <w:color w:val="4472C4" w:themeColor="accent5"/>
              <w:u w:val="single"/>
            </w:rPr>
            <w:t>https://scholarworks.sjsu.edu/cgi/viewcontent.cgi?article=1016&amp;context=urban_plan_pub</w:t>
          </w:r>
        </w:p>
        <w:p w14:paraId="60003E66" w14:textId="4BA8B148" w:rsidR="00856A0C" w:rsidRDefault="00856A0C" w:rsidP="00856A0C">
          <w:r>
            <w:rPr>
              <w:b/>
              <w:bCs/>
            </w:rPr>
            <w:fldChar w:fldCharType="end"/>
          </w:r>
        </w:p>
      </w:sdtContent>
    </w:sdt>
    <w:p w14:paraId="1744C44B" w14:textId="41B09BFE" w:rsidR="00D61361" w:rsidRDefault="00D61361" w:rsidP="00D61361"/>
    <w:p w14:paraId="0BB1F919" w14:textId="758C074C" w:rsidR="00DD3628" w:rsidRDefault="00DD3628" w:rsidP="00DD3628">
      <w:pPr>
        <w:pStyle w:val="Heading1"/>
        <w:rPr>
          <w:szCs w:val="20"/>
        </w:rPr>
      </w:pPr>
      <w:r>
        <w:rPr>
          <w:szCs w:val="20"/>
        </w:rPr>
        <w:t>Appendix 1: salvage value table</w:t>
      </w:r>
    </w:p>
    <w:p w14:paraId="5C393481" w14:textId="77391C50" w:rsidR="00607147" w:rsidRDefault="00607147" w:rsidP="00607147">
      <w:pPr>
        <w:pStyle w:val="NormalWeb"/>
      </w:pPr>
      <w:r w:rsidRPr="00607147">
        <w:rPr>
          <w:noProof/>
          <w:sz w:val="20"/>
          <w:szCs w:val="20"/>
        </w:rPr>
        <w:drawing>
          <wp:inline distT="0" distB="0" distL="0" distR="0" wp14:anchorId="5C386825" wp14:editId="24EF6138">
            <wp:extent cx="2705100" cy="419100"/>
            <wp:effectExtent l="0" t="0" r="0" b="7620"/>
            <wp:docPr id="1" name="Picture 1" descr="C:\Users\Student\Downloads\WhatsApp Image 2024-05-03 at 9.16.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WhatsApp Image 2024-05-03 at 9.16.19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419100"/>
                    </a:xfrm>
                    <a:prstGeom prst="rect">
                      <a:avLst/>
                    </a:prstGeom>
                    <a:noFill/>
                    <a:ln>
                      <a:noFill/>
                    </a:ln>
                  </pic:spPr>
                </pic:pic>
              </a:graphicData>
            </a:graphic>
          </wp:inline>
        </w:drawing>
      </w:r>
    </w:p>
    <w:p w14:paraId="6500187B" w14:textId="09F56D95" w:rsidR="00607147" w:rsidRPr="00607147" w:rsidRDefault="00607147" w:rsidP="00607147">
      <w:pPr>
        <w:pStyle w:val="NormalWeb"/>
        <w:rPr>
          <w:b/>
          <w:bCs/>
          <w:sz w:val="20"/>
          <w:szCs w:val="20"/>
          <w:lang w:val="en-GB"/>
        </w:rPr>
      </w:pPr>
      <w:r w:rsidRPr="00607147">
        <w:rPr>
          <w:b/>
          <w:bCs/>
          <w:sz w:val="20"/>
          <w:szCs w:val="20"/>
          <w:lang w:val="en-GB"/>
        </w:rPr>
        <w:t>Figure 2.1: Salvage value comparison</w:t>
      </w:r>
    </w:p>
    <w:p w14:paraId="0254F1FD" w14:textId="514FC971" w:rsidR="00607147" w:rsidRDefault="00607147" w:rsidP="00607147">
      <w:pPr>
        <w:pStyle w:val="Heading1"/>
        <w:rPr>
          <w:szCs w:val="20"/>
        </w:rPr>
      </w:pPr>
      <w:r>
        <w:rPr>
          <w:szCs w:val="20"/>
        </w:rPr>
        <w:t xml:space="preserve">Appendix 2: san Jose </w:t>
      </w:r>
    </w:p>
    <w:p w14:paraId="1AFE78FF" w14:textId="77777777" w:rsidR="00607147" w:rsidRPr="00607147" w:rsidRDefault="00607147" w:rsidP="00607147">
      <w:pPr>
        <w:pStyle w:val="BodyText"/>
      </w:pPr>
    </w:p>
    <w:tbl>
      <w:tblPr>
        <w:tblStyle w:val="TableGrid"/>
        <w:tblW w:w="0" w:type="auto"/>
        <w:tblLook w:val="04A0" w:firstRow="1" w:lastRow="0" w:firstColumn="1" w:lastColumn="0" w:noHBand="0" w:noVBand="1"/>
      </w:tblPr>
      <w:tblGrid>
        <w:gridCol w:w="4600"/>
        <w:gridCol w:w="2440"/>
      </w:tblGrid>
      <w:tr w:rsidR="00607147" w:rsidRPr="00607147" w14:paraId="15750E38" w14:textId="77777777" w:rsidTr="00607147">
        <w:trPr>
          <w:trHeight w:val="285"/>
        </w:trPr>
        <w:tc>
          <w:tcPr>
            <w:tcW w:w="4600" w:type="dxa"/>
            <w:noWrap/>
            <w:hideMark/>
          </w:tcPr>
          <w:p w14:paraId="6243E747" w14:textId="77777777" w:rsidR="00607147" w:rsidRPr="00607147" w:rsidRDefault="00607147" w:rsidP="00607147">
            <w:pPr>
              <w:pStyle w:val="NormalWeb"/>
              <w:rPr>
                <w:b/>
                <w:bCs/>
                <w:sz w:val="20"/>
                <w:szCs w:val="20"/>
              </w:rPr>
            </w:pPr>
            <w:r w:rsidRPr="00607147">
              <w:rPr>
                <w:b/>
                <w:bCs/>
                <w:sz w:val="20"/>
                <w:szCs w:val="20"/>
              </w:rPr>
              <w:t>Assumptions:</w:t>
            </w:r>
          </w:p>
        </w:tc>
        <w:tc>
          <w:tcPr>
            <w:tcW w:w="2440" w:type="dxa"/>
            <w:noWrap/>
            <w:hideMark/>
          </w:tcPr>
          <w:p w14:paraId="620C85C7" w14:textId="77777777" w:rsidR="00607147" w:rsidRPr="00607147" w:rsidRDefault="00607147" w:rsidP="00607147">
            <w:pPr>
              <w:pStyle w:val="NormalWeb"/>
              <w:rPr>
                <w:b/>
                <w:bCs/>
                <w:sz w:val="20"/>
                <w:szCs w:val="20"/>
              </w:rPr>
            </w:pPr>
            <w:r w:rsidRPr="00607147">
              <w:rPr>
                <w:b/>
                <w:bCs/>
                <w:sz w:val="20"/>
                <w:szCs w:val="20"/>
              </w:rPr>
              <w:t> </w:t>
            </w:r>
          </w:p>
        </w:tc>
      </w:tr>
      <w:tr w:rsidR="00607147" w:rsidRPr="00607147" w14:paraId="52362B7F" w14:textId="77777777" w:rsidTr="00607147">
        <w:trPr>
          <w:trHeight w:val="285"/>
        </w:trPr>
        <w:tc>
          <w:tcPr>
            <w:tcW w:w="4600" w:type="dxa"/>
            <w:noWrap/>
            <w:hideMark/>
          </w:tcPr>
          <w:p w14:paraId="46AF3589" w14:textId="1AA59893" w:rsidR="00607147" w:rsidRPr="00607147" w:rsidRDefault="00607147" w:rsidP="00607147">
            <w:pPr>
              <w:pStyle w:val="NormalWeb"/>
              <w:rPr>
                <w:b/>
                <w:bCs/>
                <w:sz w:val="20"/>
                <w:szCs w:val="20"/>
              </w:rPr>
            </w:pPr>
            <w:r w:rsidRPr="00607147">
              <w:rPr>
                <w:b/>
                <w:bCs/>
                <w:sz w:val="20"/>
                <w:szCs w:val="20"/>
              </w:rPr>
              <w:t>Depreciation</w:t>
            </w:r>
          </w:p>
        </w:tc>
        <w:tc>
          <w:tcPr>
            <w:tcW w:w="2440" w:type="dxa"/>
            <w:noWrap/>
            <w:hideMark/>
          </w:tcPr>
          <w:p w14:paraId="4AA5B5A4" w14:textId="77777777" w:rsidR="00607147" w:rsidRPr="00607147" w:rsidRDefault="00607147" w:rsidP="00607147">
            <w:pPr>
              <w:pStyle w:val="NormalWeb"/>
              <w:rPr>
                <w:b/>
                <w:bCs/>
                <w:sz w:val="20"/>
                <w:szCs w:val="20"/>
              </w:rPr>
            </w:pPr>
            <w:r w:rsidRPr="00607147">
              <w:rPr>
                <w:b/>
                <w:bCs/>
                <w:sz w:val="20"/>
                <w:szCs w:val="20"/>
              </w:rPr>
              <w:t>4.00%</w:t>
            </w:r>
          </w:p>
        </w:tc>
      </w:tr>
      <w:tr w:rsidR="00607147" w:rsidRPr="00607147" w14:paraId="0B1083CA" w14:textId="77777777" w:rsidTr="00607147">
        <w:trPr>
          <w:trHeight w:val="285"/>
        </w:trPr>
        <w:tc>
          <w:tcPr>
            <w:tcW w:w="4600" w:type="dxa"/>
            <w:noWrap/>
            <w:hideMark/>
          </w:tcPr>
          <w:p w14:paraId="032F7597" w14:textId="77777777" w:rsidR="00607147" w:rsidRPr="00607147" w:rsidRDefault="00607147" w:rsidP="00607147">
            <w:pPr>
              <w:pStyle w:val="NormalWeb"/>
              <w:rPr>
                <w:b/>
                <w:bCs/>
                <w:sz w:val="20"/>
                <w:szCs w:val="20"/>
              </w:rPr>
            </w:pPr>
            <w:r w:rsidRPr="00607147">
              <w:rPr>
                <w:b/>
                <w:bCs/>
                <w:sz w:val="20"/>
                <w:szCs w:val="20"/>
              </w:rPr>
              <w:t>Residual Rate</w:t>
            </w:r>
          </w:p>
        </w:tc>
        <w:tc>
          <w:tcPr>
            <w:tcW w:w="2440" w:type="dxa"/>
            <w:noWrap/>
            <w:hideMark/>
          </w:tcPr>
          <w:p w14:paraId="4EBEDC26" w14:textId="77777777" w:rsidR="00607147" w:rsidRPr="00607147" w:rsidRDefault="00607147" w:rsidP="00607147">
            <w:pPr>
              <w:pStyle w:val="NormalWeb"/>
              <w:rPr>
                <w:b/>
                <w:bCs/>
                <w:sz w:val="20"/>
                <w:szCs w:val="20"/>
              </w:rPr>
            </w:pPr>
            <w:r w:rsidRPr="00607147">
              <w:rPr>
                <w:b/>
                <w:bCs/>
                <w:sz w:val="20"/>
                <w:szCs w:val="20"/>
              </w:rPr>
              <w:t>103.00%</w:t>
            </w:r>
          </w:p>
        </w:tc>
      </w:tr>
      <w:tr w:rsidR="00607147" w:rsidRPr="00607147" w14:paraId="18B3371B" w14:textId="77777777" w:rsidTr="00607147">
        <w:trPr>
          <w:trHeight w:val="285"/>
        </w:trPr>
        <w:tc>
          <w:tcPr>
            <w:tcW w:w="4600" w:type="dxa"/>
            <w:noWrap/>
            <w:hideMark/>
          </w:tcPr>
          <w:p w14:paraId="139C88AB" w14:textId="77777777" w:rsidR="00607147" w:rsidRPr="00607147" w:rsidRDefault="00607147" w:rsidP="00607147">
            <w:pPr>
              <w:pStyle w:val="NormalWeb"/>
              <w:rPr>
                <w:b/>
                <w:bCs/>
                <w:sz w:val="20"/>
                <w:szCs w:val="20"/>
              </w:rPr>
            </w:pPr>
            <w:r w:rsidRPr="00607147">
              <w:rPr>
                <w:b/>
                <w:bCs/>
                <w:sz w:val="20"/>
                <w:szCs w:val="20"/>
              </w:rPr>
              <w:t>Appraisal</w:t>
            </w:r>
          </w:p>
        </w:tc>
        <w:tc>
          <w:tcPr>
            <w:tcW w:w="2440" w:type="dxa"/>
            <w:noWrap/>
            <w:hideMark/>
          </w:tcPr>
          <w:p w14:paraId="7733C902" w14:textId="77777777" w:rsidR="00607147" w:rsidRPr="00607147" w:rsidRDefault="00607147" w:rsidP="00607147">
            <w:pPr>
              <w:pStyle w:val="NormalWeb"/>
              <w:rPr>
                <w:b/>
                <w:bCs/>
                <w:sz w:val="20"/>
                <w:szCs w:val="20"/>
              </w:rPr>
            </w:pPr>
            <w:r w:rsidRPr="00607147">
              <w:rPr>
                <w:b/>
                <w:bCs/>
                <w:sz w:val="20"/>
                <w:szCs w:val="20"/>
              </w:rPr>
              <w:t>7.00%</w:t>
            </w:r>
          </w:p>
        </w:tc>
      </w:tr>
      <w:tr w:rsidR="00607147" w:rsidRPr="00607147" w14:paraId="6A68068C" w14:textId="77777777" w:rsidTr="00607147">
        <w:trPr>
          <w:trHeight w:val="285"/>
        </w:trPr>
        <w:tc>
          <w:tcPr>
            <w:tcW w:w="4600" w:type="dxa"/>
            <w:noWrap/>
            <w:hideMark/>
          </w:tcPr>
          <w:p w14:paraId="2E55D782" w14:textId="77777777" w:rsidR="00607147" w:rsidRPr="00607147" w:rsidRDefault="00607147" w:rsidP="00607147">
            <w:pPr>
              <w:pStyle w:val="NormalWeb"/>
              <w:rPr>
                <w:b/>
                <w:bCs/>
                <w:sz w:val="20"/>
                <w:szCs w:val="20"/>
              </w:rPr>
            </w:pPr>
            <w:r w:rsidRPr="00607147">
              <w:rPr>
                <w:b/>
                <w:bCs/>
                <w:sz w:val="20"/>
                <w:szCs w:val="20"/>
              </w:rPr>
              <w:t>inflation</w:t>
            </w:r>
          </w:p>
        </w:tc>
        <w:tc>
          <w:tcPr>
            <w:tcW w:w="2440" w:type="dxa"/>
            <w:noWrap/>
            <w:hideMark/>
          </w:tcPr>
          <w:p w14:paraId="2E3961C1" w14:textId="77777777" w:rsidR="00607147" w:rsidRPr="00607147" w:rsidRDefault="00607147" w:rsidP="00607147">
            <w:pPr>
              <w:pStyle w:val="NormalWeb"/>
              <w:rPr>
                <w:b/>
                <w:bCs/>
                <w:sz w:val="20"/>
                <w:szCs w:val="20"/>
              </w:rPr>
            </w:pPr>
            <w:r w:rsidRPr="00607147">
              <w:rPr>
                <w:b/>
                <w:bCs/>
                <w:sz w:val="20"/>
                <w:szCs w:val="20"/>
              </w:rPr>
              <w:t>9.00%</w:t>
            </w:r>
          </w:p>
        </w:tc>
      </w:tr>
    </w:tbl>
    <w:p w14:paraId="1DA56705" w14:textId="170AF1E2" w:rsidR="00607147" w:rsidRDefault="00607147" w:rsidP="00607147">
      <w:pPr>
        <w:pStyle w:val="NormalWeb"/>
        <w:rPr>
          <w:b/>
          <w:bCs/>
          <w:sz w:val="20"/>
          <w:szCs w:val="20"/>
          <w:lang w:val="en-GB"/>
        </w:rPr>
      </w:pPr>
      <w:r w:rsidRPr="00607147">
        <w:rPr>
          <w:b/>
          <w:bCs/>
          <w:sz w:val="20"/>
          <w:szCs w:val="20"/>
          <w:lang w:val="en-GB"/>
        </w:rPr>
        <w:t>Figure 2.</w:t>
      </w:r>
      <w:r>
        <w:rPr>
          <w:b/>
          <w:bCs/>
          <w:sz w:val="20"/>
          <w:szCs w:val="20"/>
          <w:lang w:val="en-GB"/>
        </w:rPr>
        <w:t>2</w:t>
      </w:r>
      <w:r w:rsidRPr="00607147">
        <w:rPr>
          <w:b/>
          <w:bCs/>
          <w:sz w:val="20"/>
          <w:szCs w:val="20"/>
          <w:lang w:val="en-GB"/>
        </w:rPr>
        <w:t xml:space="preserve">: </w:t>
      </w:r>
      <w:r>
        <w:rPr>
          <w:b/>
          <w:bCs/>
          <w:sz w:val="20"/>
          <w:szCs w:val="20"/>
          <w:lang w:val="en-GB"/>
        </w:rPr>
        <w:t>Assumptions of San Jose</w:t>
      </w:r>
    </w:p>
    <w:p w14:paraId="5F00E678" w14:textId="1671897E" w:rsidR="00607147" w:rsidRDefault="00607147" w:rsidP="00607147">
      <w:pPr>
        <w:pStyle w:val="Heading1"/>
        <w:rPr>
          <w:szCs w:val="20"/>
        </w:rPr>
      </w:pPr>
      <w:r>
        <w:rPr>
          <w:szCs w:val="20"/>
        </w:rPr>
        <w:t>Appendix 2: sunnyvale</w:t>
      </w:r>
    </w:p>
    <w:p w14:paraId="19EE1DFB" w14:textId="77777777" w:rsidR="00607147" w:rsidRDefault="00607147" w:rsidP="00607147">
      <w:pPr>
        <w:pStyle w:val="NormalWeb"/>
        <w:rPr>
          <w:b/>
          <w:bCs/>
          <w:sz w:val="20"/>
          <w:szCs w:val="20"/>
          <w:lang w:val="en-GB"/>
        </w:rPr>
      </w:pPr>
    </w:p>
    <w:tbl>
      <w:tblPr>
        <w:tblStyle w:val="TableGrid"/>
        <w:tblW w:w="0" w:type="auto"/>
        <w:tblLook w:val="04A0" w:firstRow="1" w:lastRow="0" w:firstColumn="1" w:lastColumn="0" w:noHBand="0" w:noVBand="1"/>
      </w:tblPr>
      <w:tblGrid>
        <w:gridCol w:w="4600"/>
        <w:gridCol w:w="2440"/>
      </w:tblGrid>
      <w:tr w:rsidR="00607147" w:rsidRPr="00607147" w14:paraId="6A464B58" w14:textId="77777777" w:rsidTr="00607147">
        <w:trPr>
          <w:trHeight w:val="285"/>
        </w:trPr>
        <w:tc>
          <w:tcPr>
            <w:tcW w:w="4600" w:type="dxa"/>
            <w:noWrap/>
            <w:hideMark/>
          </w:tcPr>
          <w:p w14:paraId="48248C59" w14:textId="77777777" w:rsidR="00607147" w:rsidRPr="00607147" w:rsidRDefault="00607147" w:rsidP="00607147">
            <w:pPr>
              <w:pStyle w:val="NormalWeb"/>
              <w:rPr>
                <w:b/>
                <w:bCs/>
                <w:sz w:val="20"/>
                <w:szCs w:val="20"/>
              </w:rPr>
            </w:pPr>
            <w:r w:rsidRPr="00607147">
              <w:rPr>
                <w:b/>
                <w:bCs/>
                <w:sz w:val="20"/>
                <w:szCs w:val="20"/>
              </w:rPr>
              <w:t>Assumptions:</w:t>
            </w:r>
          </w:p>
        </w:tc>
        <w:tc>
          <w:tcPr>
            <w:tcW w:w="2440" w:type="dxa"/>
            <w:noWrap/>
            <w:hideMark/>
          </w:tcPr>
          <w:p w14:paraId="3D2908E0" w14:textId="77777777" w:rsidR="00607147" w:rsidRPr="00607147" w:rsidRDefault="00607147" w:rsidP="00607147">
            <w:pPr>
              <w:pStyle w:val="NormalWeb"/>
              <w:rPr>
                <w:b/>
                <w:bCs/>
                <w:sz w:val="20"/>
                <w:szCs w:val="20"/>
              </w:rPr>
            </w:pPr>
            <w:r w:rsidRPr="00607147">
              <w:rPr>
                <w:b/>
                <w:bCs/>
                <w:sz w:val="20"/>
                <w:szCs w:val="20"/>
              </w:rPr>
              <w:t> </w:t>
            </w:r>
          </w:p>
        </w:tc>
      </w:tr>
      <w:tr w:rsidR="00607147" w:rsidRPr="00607147" w14:paraId="2A97EE63" w14:textId="77777777" w:rsidTr="00607147">
        <w:trPr>
          <w:trHeight w:val="285"/>
        </w:trPr>
        <w:tc>
          <w:tcPr>
            <w:tcW w:w="4600" w:type="dxa"/>
            <w:noWrap/>
            <w:hideMark/>
          </w:tcPr>
          <w:p w14:paraId="25C5643C" w14:textId="70CA10AD" w:rsidR="00607147" w:rsidRPr="00607147" w:rsidRDefault="00607147" w:rsidP="00607147">
            <w:pPr>
              <w:pStyle w:val="NormalWeb"/>
              <w:rPr>
                <w:b/>
                <w:bCs/>
                <w:sz w:val="20"/>
                <w:szCs w:val="20"/>
              </w:rPr>
            </w:pPr>
            <w:r w:rsidRPr="00607147">
              <w:rPr>
                <w:b/>
                <w:bCs/>
                <w:sz w:val="20"/>
                <w:szCs w:val="20"/>
              </w:rPr>
              <w:t>Depreciation</w:t>
            </w:r>
          </w:p>
        </w:tc>
        <w:tc>
          <w:tcPr>
            <w:tcW w:w="2440" w:type="dxa"/>
            <w:noWrap/>
            <w:hideMark/>
          </w:tcPr>
          <w:p w14:paraId="20A30F8A" w14:textId="77777777" w:rsidR="00607147" w:rsidRPr="00607147" w:rsidRDefault="00607147" w:rsidP="00607147">
            <w:pPr>
              <w:pStyle w:val="NormalWeb"/>
              <w:rPr>
                <w:b/>
                <w:bCs/>
                <w:sz w:val="20"/>
                <w:szCs w:val="20"/>
              </w:rPr>
            </w:pPr>
            <w:r w:rsidRPr="00607147">
              <w:rPr>
                <w:b/>
                <w:bCs/>
                <w:sz w:val="20"/>
                <w:szCs w:val="20"/>
              </w:rPr>
              <w:t>4.00%</w:t>
            </w:r>
          </w:p>
        </w:tc>
      </w:tr>
      <w:tr w:rsidR="00607147" w:rsidRPr="00607147" w14:paraId="445E0866" w14:textId="77777777" w:rsidTr="00607147">
        <w:trPr>
          <w:trHeight w:val="285"/>
        </w:trPr>
        <w:tc>
          <w:tcPr>
            <w:tcW w:w="4600" w:type="dxa"/>
            <w:noWrap/>
            <w:hideMark/>
          </w:tcPr>
          <w:p w14:paraId="21A109DC" w14:textId="77777777" w:rsidR="00607147" w:rsidRPr="00607147" w:rsidRDefault="00607147" w:rsidP="00607147">
            <w:pPr>
              <w:pStyle w:val="NormalWeb"/>
              <w:rPr>
                <w:b/>
                <w:bCs/>
                <w:sz w:val="20"/>
                <w:szCs w:val="20"/>
              </w:rPr>
            </w:pPr>
            <w:r w:rsidRPr="00607147">
              <w:rPr>
                <w:b/>
                <w:bCs/>
                <w:sz w:val="20"/>
                <w:szCs w:val="20"/>
              </w:rPr>
              <w:t>Residual Rate</w:t>
            </w:r>
          </w:p>
        </w:tc>
        <w:tc>
          <w:tcPr>
            <w:tcW w:w="2440" w:type="dxa"/>
            <w:noWrap/>
            <w:hideMark/>
          </w:tcPr>
          <w:p w14:paraId="3A03F1BF" w14:textId="77777777" w:rsidR="00607147" w:rsidRPr="00607147" w:rsidRDefault="00607147" w:rsidP="00607147">
            <w:pPr>
              <w:pStyle w:val="NormalWeb"/>
              <w:rPr>
                <w:b/>
                <w:bCs/>
                <w:sz w:val="20"/>
                <w:szCs w:val="20"/>
              </w:rPr>
            </w:pPr>
            <w:r w:rsidRPr="00607147">
              <w:rPr>
                <w:b/>
                <w:bCs/>
                <w:sz w:val="20"/>
                <w:szCs w:val="20"/>
              </w:rPr>
              <w:t>106.00%</w:t>
            </w:r>
          </w:p>
        </w:tc>
      </w:tr>
      <w:tr w:rsidR="00607147" w:rsidRPr="00607147" w14:paraId="5A53C09D" w14:textId="77777777" w:rsidTr="00607147">
        <w:trPr>
          <w:trHeight w:val="285"/>
        </w:trPr>
        <w:tc>
          <w:tcPr>
            <w:tcW w:w="4600" w:type="dxa"/>
            <w:noWrap/>
            <w:hideMark/>
          </w:tcPr>
          <w:p w14:paraId="66750CFD" w14:textId="77777777" w:rsidR="00607147" w:rsidRPr="00607147" w:rsidRDefault="00607147" w:rsidP="00607147">
            <w:pPr>
              <w:pStyle w:val="NormalWeb"/>
              <w:rPr>
                <w:b/>
                <w:bCs/>
                <w:sz w:val="20"/>
                <w:szCs w:val="20"/>
              </w:rPr>
            </w:pPr>
            <w:r w:rsidRPr="00607147">
              <w:rPr>
                <w:b/>
                <w:bCs/>
                <w:sz w:val="20"/>
                <w:szCs w:val="20"/>
              </w:rPr>
              <w:t>Appraisal</w:t>
            </w:r>
          </w:p>
        </w:tc>
        <w:tc>
          <w:tcPr>
            <w:tcW w:w="2440" w:type="dxa"/>
            <w:noWrap/>
            <w:hideMark/>
          </w:tcPr>
          <w:p w14:paraId="3380413E" w14:textId="77777777" w:rsidR="00607147" w:rsidRPr="00607147" w:rsidRDefault="00607147" w:rsidP="00607147">
            <w:pPr>
              <w:pStyle w:val="NormalWeb"/>
              <w:rPr>
                <w:b/>
                <w:bCs/>
                <w:sz w:val="20"/>
                <w:szCs w:val="20"/>
              </w:rPr>
            </w:pPr>
            <w:r w:rsidRPr="00607147">
              <w:rPr>
                <w:b/>
                <w:bCs/>
                <w:sz w:val="20"/>
                <w:szCs w:val="20"/>
              </w:rPr>
              <w:t>10.00%</w:t>
            </w:r>
          </w:p>
        </w:tc>
      </w:tr>
      <w:tr w:rsidR="00607147" w:rsidRPr="00607147" w14:paraId="238C8864" w14:textId="77777777" w:rsidTr="00607147">
        <w:trPr>
          <w:trHeight w:val="285"/>
        </w:trPr>
        <w:tc>
          <w:tcPr>
            <w:tcW w:w="4600" w:type="dxa"/>
            <w:noWrap/>
            <w:hideMark/>
          </w:tcPr>
          <w:p w14:paraId="5A111FC0" w14:textId="77777777" w:rsidR="00607147" w:rsidRPr="00607147" w:rsidRDefault="00607147" w:rsidP="00607147">
            <w:pPr>
              <w:pStyle w:val="NormalWeb"/>
              <w:rPr>
                <w:b/>
                <w:bCs/>
                <w:sz w:val="20"/>
                <w:szCs w:val="20"/>
              </w:rPr>
            </w:pPr>
            <w:r w:rsidRPr="00607147">
              <w:rPr>
                <w:b/>
                <w:bCs/>
                <w:sz w:val="20"/>
                <w:szCs w:val="20"/>
              </w:rPr>
              <w:t>inflation</w:t>
            </w:r>
          </w:p>
        </w:tc>
        <w:tc>
          <w:tcPr>
            <w:tcW w:w="2440" w:type="dxa"/>
            <w:noWrap/>
            <w:hideMark/>
          </w:tcPr>
          <w:p w14:paraId="5DFBE4FC" w14:textId="77777777" w:rsidR="00607147" w:rsidRPr="00607147" w:rsidRDefault="00607147" w:rsidP="00607147">
            <w:pPr>
              <w:pStyle w:val="NormalWeb"/>
              <w:rPr>
                <w:b/>
                <w:bCs/>
                <w:sz w:val="20"/>
                <w:szCs w:val="20"/>
              </w:rPr>
            </w:pPr>
            <w:r w:rsidRPr="00607147">
              <w:rPr>
                <w:b/>
                <w:bCs/>
                <w:sz w:val="20"/>
                <w:szCs w:val="20"/>
              </w:rPr>
              <w:t>9.00%</w:t>
            </w:r>
          </w:p>
        </w:tc>
      </w:tr>
    </w:tbl>
    <w:p w14:paraId="4FF020E1" w14:textId="37DA4EF9" w:rsidR="00607147" w:rsidRDefault="00607147" w:rsidP="00607147">
      <w:pPr>
        <w:pStyle w:val="NormalWeb"/>
        <w:rPr>
          <w:b/>
          <w:bCs/>
          <w:sz w:val="20"/>
          <w:szCs w:val="20"/>
          <w:lang w:val="en-GB"/>
        </w:rPr>
      </w:pPr>
      <w:r w:rsidRPr="00607147">
        <w:rPr>
          <w:b/>
          <w:bCs/>
          <w:sz w:val="20"/>
          <w:szCs w:val="20"/>
          <w:lang w:val="en-GB"/>
        </w:rPr>
        <w:t>Figure 2.</w:t>
      </w:r>
      <w:r>
        <w:rPr>
          <w:b/>
          <w:bCs/>
          <w:sz w:val="20"/>
          <w:szCs w:val="20"/>
          <w:lang w:val="en-GB"/>
        </w:rPr>
        <w:t>3</w:t>
      </w:r>
      <w:r w:rsidRPr="00607147">
        <w:rPr>
          <w:b/>
          <w:bCs/>
          <w:sz w:val="20"/>
          <w:szCs w:val="20"/>
          <w:lang w:val="en-GB"/>
        </w:rPr>
        <w:t xml:space="preserve">: </w:t>
      </w:r>
      <w:r>
        <w:rPr>
          <w:b/>
          <w:bCs/>
          <w:sz w:val="20"/>
          <w:szCs w:val="20"/>
          <w:lang w:val="en-GB"/>
        </w:rPr>
        <w:t>Assumptions of Sunnyvale</w:t>
      </w:r>
    </w:p>
    <w:p w14:paraId="6A90CC07" w14:textId="77777777" w:rsidR="00607147" w:rsidRPr="00607147" w:rsidRDefault="00607147" w:rsidP="00607147">
      <w:pPr>
        <w:pStyle w:val="NormalWeb"/>
        <w:rPr>
          <w:b/>
          <w:bCs/>
          <w:sz w:val="20"/>
          <w:szCs w:val="20"/>
          <w:lang w:val="en-GB"/>
        </w:rPr>
      </w:pPr>
    </w:p>
    <w:p w14:paraId="2779AFAB" w14:textId="46607891" w:rsidR="00607147" w:rsidRDefault="00607147" w:rsidP="00607147">
      <w:pPr>
        <w:pStyle w:val="NormalWeb"/>
        <w:rPr>
          <w:b/>
          <w:bCs/>
          <w:sz w:val="16"/>
          <w:szCs w:val="16"/>
          <w:lang w:val="en-GB"/>
        </w:rPr>
      </w:pPr>
    </w:p>
    <w:p w14:paraId="7DFE1F8C" w14:textId="77777777" w:rsidR="00607147" w:rsidRDefault="00607147" w:rsidP="00607147">
      <w:pPr>
        <w:pStyle w:val="NormalWeb"/>
        <w:rPr>
          <w:b/>
          <w:bCs/>
          <w:sz w:val="16"/>
          <w:szCs w:val="16"/>
          <w:lang w:val="en-GB"/>
        </w:rPr>
      </w:pPr>
    </w:p>
    <w:p w14:paraId="20E56538" w14:textId="77777777" w:rsidR="00607147" w:rsidRDefault="00607147" w:rsidP="00607147">
      <w:pPr>
        <w:pStyle w:val="NormalWeb"/>
      </w:pPr>
    </w:p>
    <w:p w14:paraId="1800D68A" w14:textId="77777777" w:rsidR="00607147" w:rsidRPr="00607147" w:rsidRDefault="00607147" w:rsidP="00607147">
      <w:pPr>
        <w:pStyle w:val="BodyText"/>
        <w:jc w:val="center"/>
      </w:pPr>
    </w:p>
    <w:p w14:paraId="2F5D41F5" w14:textId="77777777" w:rsidR="00DD3628" w:rsidRDefault="00DD3628" w:rsidP="00D61361"/>
    <w:bookmarkEnd w:id="4"/>
    <w:p w14:paraId="3C210990" w14:textId="1F41BB0F" w:rsidR="00547865" w:rsidRPr="008F105D" w:rsidRDefault="00547865" w:rsidP="008F105D">
      <w:pPr>
        <w:pStyle w:val="Heading1"/>
        <w:jc w:val="left"/>
        <w:rPr>
          <w:szCs w:val="20"/>
        </w:rPr>
      </w:pPr>
    </w:p>
    <w:sectPr w:rsidR="00547865" w:rsidRPr="008F105D" w:rsidSect="00F65F05">
      <w:type w:val="continuous"/>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EA35" w14:textId="77777777" w:rsidR="00F65F05" w:rsidRDefault="00F65F05" w:rsidP="00F072B4">
      <w:r>
        <w:separator/>
      </w:r>
    </w:p>
  </w:endnote>
  <w:endnote w:type="continuationSeparator" w:id="0">
    <w:p w14:paraId="7C33CB7A" w14:textId="77777777" w:rsidR="00F65F05" w:rsidRDefault="00F65F05" w:rsidP="00F0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36E7" w14:textId="77777777" w:rsidR="003513B7" w:rsidRPr="00E06DCC" w:rsidRDefault="003513B7" w:rsidP="00E06DCC">
    <w:pPr>
      <w:pStyle w:val="Header"/>
      <w:tabs>
        <w:tab w:val="left" w:pos="8178"/>
        <w:tab w:val="right" w:pos="10800"/>
      </w:tabs>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7F3C" w14:textId="77777777" w:rsidR="00F65F05" w:rsidRDefault="00F65F05" w:rsidP="00F072B4">
      <w:r>
        <w:separator/>
      </w:r>
    </w:p>
  </w:footnote>
  <w:footnote w:type="continuationSeparator" w:id="0">
    <w:p w14:paraId="2DC2D297" w14:textId="77777777" w:rsidR="00F65F05" w:rsidRDefault="00F65F05" w:rsidP="00F07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E5B9" w14:textId="35E23A6A" w:rsidR="003513B7" w:rsidRPr="005327CF" w:rsidRDefault="003513B7" w:rsidP="004B439E">
    <w:pPr>
      <w:tabs>
        <w:tab w:val="left" w:pos="2616"/>
        <w:tab w:val="right" w:pos="10800"/>
      </w:tabs>
      <w:rPr>
        <w:sz w:val="16"/>
        <w:szCs w:val="16"/>
      </w:rPr>
    </w:pPr>
    <w:r w:rsidRPr="005327CF">
      <w:rPr>
        <w:sz w:val="16"/>
        <w:szCs w:val="16"/>
      </w:rPr>
      <w:t xml:space="preserve">ISE </w:t>
    </w:r>
    <w:r>
      <w:rPr>
        <w:sz w:val="16"/>
        <w:szCs w:val="16"/>
      </w:rPr>
      <w:t>2</w:t>
    </w:r>
    <w:r w:rsidR="00547865">
      <w:rPr>
        <w:sz w:val="16"/>
        <w:szCs w:val="16"/>
      </w:rPr>
      <w:t>0</w:t>
    </w:r>
    <w:r>
      <w:rPr>
        <w:sz w:val="16"/>
        <w:szCs w:val="16"/>
      </w:rPr>
      <w:t>0 SPRING</w:t>
    </w:r>
    <w:r w:rsidRPr="005327CF">
      <w:rPr>
        <w:sz w:val="16"/>
        <w:szCs w:val="16"/>
      </w:rPr>
      <w:t xml:space="preserve"> </w:t>
    </w:r>
    <w:r w:rsidR="00FA0D2B">
      <w:rPr>
        <w:sz w:val="16"/>
        <w:szCs w:val="16"/>
      </w:rPr>
      <w:t>2024</w:t>
    </w:r>
    <w:r w:rsidR="00BA4C19">
      <w:rPr>
        <w:sz w:val="16"/>
        <w:szCs w:val="16"/>
      </w:rPr>
      <w:t xml:space="preserve"> </w:t>
    </w:r>
    <w:r w:rsidRPr="005327CF">
      <w:rPr>
        <w:sz w:val="16"/>
        <w:szCs w:val="16"/>
      </w:rPr>
      <w:t xml:space="preserve">COURSE </w:t>
    </w:r>
    <w:r w:rsidRPr="005327CF">
      <w:rPr>
        <w:i/>
        <w:sz w:val="16"/>
        <w:szCs w:val="16"/>
      </w:rPr>
      <w:tab/>
    </w:r>
    <w:r w:rsidR="004B439E">
      <w:rPr>
        <w:i/>
        <w:sz w:val="16"/>
        <w:szCs w:val="16"/>
      </w:rPr>
      <w:tab/>
    </w:r>
    <w:r w:rsidRPr="005327CF">
      <w:rPr>
        <w:i/>
        <w:sz w:val="16"/>
        <w:szCs w:val="16"/>
      </w:rPr>
      <w:t xml:space="preserve">Page </w:t>
    </w:r>
    <w:r w:rsidRPr="005327CF">
      <w:rPr>
        <w:i/>
        <w:sz w:val="16"/>
        <w:szCs w:val="16"/>
      </w:rPr>
      <w:fldChar w:fldCharType="begin"/>
    </w:r>
    <w:r w:rsidRPr="005327CF">
      <w:rPr>
        <w:i/>
        <w:sz w:val="16"/>
        <w:szCs w:val="16"/>
      </w:rPr>
      <w:instrText xml:space="preserve"> PAGE </w:instrText>
    </w:r>
    <w:r w:rsidRPr="005327CF">
      <w:rPr>
        <w:i/>
        <w:sz w:val="16"/>
        <w:szCs w:val="16"/>
      </w:rPr>
      <w:fldChar w:fldCharType="separate"/>
    </w:r>
    <w:r w:rsidR="00B554DC">
      <w:rPr>
        <w:i/>
        <w:noProof/>
        <w:sz w:val="16"/>
        <w:szCs w:val="16"/>
      </w:rPr>
      <w:t>4</w:t>
    </w:r>
    <w:r w:rsidRPr="005327CF">
      <w:rPr>
        <w:i/>
        <w:sz w:val="16"/>
        <w:szCs w:val="16"/>
      </w:rPr>
      <w:fldChar w:fldCharType="end"/>
    </w:r>
    <w:r w:rsidRPr="005327CF">
      <w:rPr>
        <w:i/>
        <w:sz w:val="16"/>
        <w:szCs w:val="16"/>
      </w:rPr>
      <w:t xml:space="preserve"> of </w:t>
    </w:r>
    <w:r w:rsidRPr="005327CF">
      <w:rPr>
        <w:i/>
        <w:sz w:val="16"/>
        <w:szCs w:val="16"/>
      </w:rPr>
      <w:fldChar w:fldCharType="begin"/>
    </w:r>
    <w:r w:rsidRPr="005327CF">
      <w:rPr>
        <w:i/>
        <w:sz w:val="16"/>
        <w:szCs w:val="16"/>
      </w:rPr>
      <w:instrText xml:space="preserve"> NUMPAGES  </w:instrText>
    </w:r>
    <w:r w:rsidRPr="005327CF">
      <w:rPr>
        <w:i/>
        <w:sz w:val="16"/>
        <w:szCs w:val="16"/>
      </w:rPr>
      <w:fldChar w:fldCharType="separate"/>
    </w:r>
    <w:r w:rsidR="00B554DC">
      <w:rPr>
        <w:i/>
        <w:noProof/>
        <w:sz w:val="16"/>
        <w:szCs w:val="16"/>
      </w:rPr>
      <w:t>6</w:t>
    </w:r>
    <w:r w:rsidRPr="005327CF">
      <w:rPr>
        <w:i/>
        <w:sz w:val="16"/>
        <w:szCs w:val="16"/>
      </w:rPr>
      <w:fldChar w:fldCharType="end"/>
    </w:r>
  </w:p>
  <w:p w14:paraId="4422BCC7" w14:textId="77777777" w:rsidR="003513B7" w:rsidRPr="00AF042B" w:rsidRDefault="003513B7" w:rsidP="00AF0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87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56C8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82E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367B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7CED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1038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A90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521B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80C9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70F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4242F"/>
    <w:multiLevelType w:val="hybridMultilevel"/>
    <w:tmpl w:val="F7A29EEE"/>
    <w:lvl w:ilvl="0" w:tplc="9F1434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A441A"/>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A5AFE"/>
    <w:multiLevelType w:val="multilevel"/>
    <w:tmpl w:val="4DE02450"/>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19281B"/>
    <w:multiLevelType w:val="hybridMultilevel"/>
    <w:tmpl w:val="E0C21570"/>
    <w:lvl w:ilvl="0" w:tplc="CC6827C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0412FA"/>
    <w:multiLevelType w:val="hybridMultilevel"/>
    <w:tmpl w:val="4724A5E4"/>
    <w:lvl w:ilvl="0" w:tplc="78FA89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5E64D4"/>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77933"/>
    <w:multiLevelType w:val="hybridMultilevel"/>
    <w:tmpl w:val="012AFCB4"/>
    <w:lvl w:ilvl="0" w:tplc="93583570">
      <w:start w:val="1"/>
      <w:numFmt w:val="bullet"/>
      <w:lvlText w:val=""/>
      <w:lvlJc w:val="left"/>
      <w:pPr>
        <w:ind w:left="630" w:hanging="360"/>
      </w:pPr>
      <w:rPr>
        <w:rFonts w:ascii="Symbol" w:hAnsi="Symbol" w:hint="default"/>
      </w:rPr>
    </w:lvl>
    <w:lvl w:ilvl="1" w:tplc="2C6C8C08">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C1687D"/>
    <w:multiLevelType w:val="hybridMultilevel"/>
    <w:tmpl w:val="53566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D51AC5"/>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C5394"/>
    <w:multiLevelType w:val="hybridMultilevel"/>
    <w:tmpl w:val="A70C1598"/>
    <w:lvl w:ilvl="0" w:tplc="63EA9E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60DBE"/>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D0D1D"/>
    <w:multiLevelType w:val="hybridMultilevel"/>
    <w:tmpl w:val="F992DE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D0C07"/>
    <w:multiLevelType w:val="hybridMultilevel"/>
    <w:tmpl w:val="1B88B870"/>
    <w:lvl w:ilvl="0" w:tplc="C63A4442">
      <w:start w:val="1"/>
      <w:numFmt w:val="decimal"/>
      <w:pStyle w:val="Numberedlist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4D1DA9"/>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D74B00"/>
    <w:multiLevelType w:val="hybridMultilevel"/>
    <w:tmpl w:val="04E8A92A"/>
    <w:lvl w:ilvl="0" w:tplc="91EA3F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A44B24"/>
    <w:multiLevelType w:val="hybridMultilevel"/>
    <w:tmpl w:val="CDACB5A2"/>
    <w:lvl w:ilvl="0" w:tplc="64B85694">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F56EA"/>
    <w:multiLevelType w:val="hybridMultilevel"/>
    <w:tmpl w:val="C4908264"/>
    <w:lvl w:ilvl="0" w:tplc="75A49050">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47A19"/>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A15B04"/>
    <w:multiLevelType w:val="multilevel"/>
    <w:tmpl w:val="024A26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BD96BF8"/>
    <w:multiLevelType w:val="hybridMultilevel"/>
    <w:tmpl w:val="B7CA4C02"/>
    <w:lvl w:ilvl="0" w:tplc="F5D45DE6">
      <w:start w:val="1"/>
      <w:numFmt w:val="bullet"/>
      <w:pStyle w:val="Bulletedlis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F95583"/>
    <w:multiLevelType w:val="hybridMultilevel"/>
    <w:tmpl w:val="25D81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FF1818"/>
    <w:multiLevelType w:val="hybridMultilevel"/>
    <w:tmpl w:val="CA06FD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6067E3"/>
    <w:multiLevelType w:val="multilevel"/>
    <w:tmpl w:val="866C4DC6"/>
    <w:lvl w:ilvl="0">
      <w:start w:val="1"/>
      <w:numFmt w:val="decimal"/>
      <w:lvlText w:val="%1."/>
      <w:lvlJc w:val="left"/>
      <w:pPr>
        <w:ind w:left="3600" w:hanging="360"/>
      </w:pPr>
      <w:rPr>
        <w:rFonts w:ascii="Times New Roman" w:hAnsi="Times New Roman" w:hint="default"/>
        <w:sz w:val="24"/>
      </w:rPr>
    </w:lvl>
    <w:lvl w:ilvl="1">
      <w:start w:val="1"/>
      <w:numFmt w:val="decimal"/>
      <w:lvlText w:val="%2."/>
      <w:lvlJc w:val="left"/>
      <w:pPr>
        <w:ind w:left="4320" w:hanging="360"/>
      </w:pPr>
      <w:rPr>
        <w:rFonts w:ascii="Times New Roman" w:hAnsi="Times New Roman" w:hint="default"/>
        <w:sz w:val="24"/>
      </w:rPr>
    </w:lvl>
    <w:lvl w:ilvl="2">
      <w:start w:val="1"/>
      <w:numFmt w:val="decimal"/>
      <w:lvlText w:val="%3."/>
      <w:lvlJc w:val="right"/>
      <w:pPr>
        <w:ind w:left="5040" w:hanging="180"/>
      </w:pPr>
      <w:rPr>
        <w:rFonts w:ascii="Times New Roman" w:hAnsi="Times New Roman" w:hint="default"/>
        <w:sz w:val="24"/>
      </w:rPr>
    </w:lvl>
    <w:lvl w:ilvl="3">
      <w:start w:val="1"/>
      <w:numFmt w:val="decimal"/>
      <w:lvlText w:val="%4."/>
      <w:lvlJc w:val="left"/>
      <w:pPr>
        <w:ind w:left="5760" w:hanging="360"/>
      </w:pPr>
      <w:rPr>
        <w:rFonts w:ascii="Times New Roman" w:hAnsi="Times New Roman" w:hint="default"/>
        <w:sz w:val="24"/>
      </w:rPr>
    </w:lvl>
    <w:lvl w:ilvl="4">
      <w:start w:val="1"/>
      <w:numFmt w:val="decimal"/>
      <w:lvlText w:val="%5."/>
      <w:lvlJc w:val="left"/>
      <w:pPr>
        <w:ind w:left="6480" w:hanging="360"/>
      </w:pPr>
      <w:rPr>
        <w:rFonts w:hint="default"/>
      </w:rPr>
    </w:lvl>
    <w:lvl w:ilvl="5">
      <w:start w:val="1"/>
      <w:numFmt w:val="decimal"/>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decimal"/>
      <w:lvlText w:val="%8."/>
      <w:lvlJc w:val="left"/>
      <w:pPr>
        <w:ind w:left="8640" w:hanging="360"/>
      </w:pPr>
      <w:rPr>
        <w:rFonts w:hint="default"/>
      </w:rPr>
    </w:lvl>
    <w:lvl w:ilvl="8">
      <w:start w:val="1"/>
      <w:numFmt w:val="decimal"/>
      <w:lvlText w:val="%9."/>
      <w:lvlJc w:val="right"/>
      <w:pPr>
        <w:ind w:left="9360" w:hanging="180"/>
      </w:pPr>
      <w:rPr>
        <w:rFonts w:hint="default"/>
      </w:rPr>
    </w:lvl>
  </w:abstractNum>
  <w:num w:numId="1" w16cid:durableId="1936212071">
    <w:abstractNumId w:val="16"/>
  </w:num>
  <w:num w:numId="2" w16cid:durableId="1321227259">
    <w:abstractNumId w:val="28"/>
  </w:num>
  <w:num w:numId="3" w16cid:durableId="1421755138">
    <w:abstractNumId w:val="19"/>
  </w:num>
  <w:num w:numId="4" w16cid:durableId="754864285">
    <w:abstractNumId w:val="32"/>
  </w:num>
  <w:num w:numId="5" w16cid:durableId="2052147479">
    <w:abstractNumId w:val="12"/>
  </w:num>
  <w:num w:numId="6" w16cid:durableId="801730003">
    <w:abstractNumId w:val="12"/>
  </w:num>
  <w:num w:numId="7" w16cid:durableId="46686107">
    <w:abstractNumId w:val="19"/>
    <w:lvlOverride w:ilvl="0">
      <w:startOverride w:val="1"/>
    </w:lvlOverride>
  </w:num>
  <w:num w:numId="8" w16cid:durableId="1731583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025861">
    <w:abstractNumId w:val="10"/>
  </w:num>
  <w:num w:numId="10" w16cid:durableId="499464773">
    <w:abstractNumId w:val="19"/>
    <w:lvlOverride w:ilvl="0">
      <w:startOverride w:val="1"/>
    </w:lvlOverride>
  </w:num>
  <w:num w:numId="11" w16cid:durableId="2059936009">
    <w:abstractNumId w:val="26"/>
  </w:num>
  <w:num w:numId="12" w16cid:durableId="1917474414">
    <w:abstractNumId w:val="29"/>
  </w:num>
  <w:num w:numId="13" w16cid:durableId="760414274">
    <w:abstractNumId w:val="22"/>
  </w:num>
  <w:num w:numId="14" w16cid:durableId="1833107949">
    <w:abstractNumId w:val="29"/>
  </w:num>
  <w:num w:numId="15" w16cid:durableId="6451040">
    <w:abstractNumId w:val="22"/>
  </w:num>
  <w:num w:numId="16" w16cid:durableId="1501503717">
    <w:abstractNumId w:val="25"/>
  </w:num>
  <w:num w:numId="17" w16cid:durableId="1849130125">
    <w:abstractNumId w:val="13"/>
  </w:num>
  <w:num w:numId="18" w16cid:durableId="1301688542">
    <w:abstractNumId w:val="14"/>
  </w:num>
  <w:num w:numId="19" w16cid:durableId="1442455896">
    <w:abstractNumId w:val="24"/>
  </w:num>
  <w:num w:numId="20" w16cid:durableId="811218372">
    <w:abstractNumId w:val="18"/>
  </w:num>
  <w:num w:numId="21" w16cid:durableId="183832199">
    <w:abstractNumId w:val="11"/>
  </w:num>
  <w:num w:numId="22" w16cid:durableId="1347051374">
    <w:abstractNumId w:val="20"/>
  </w:num>
  <w:num w:numId="23" w16cid:durableId="1911307075">
    <w:abstractNumId w:val="27"/>
  </w:num>
  <w:num w:numId="24" w16cid:durableId="451823901">
    <w:abstractNumId w:val="30"/>
  </w:num>
  <w:num w:numId="25" w16cid:durableId="1434128521">
    <w:abstractNumId w:val="23"/>
  </w:num>
  <w:num w:numId="26" w16cid:durableId="224804240">
    <w:abstractNumId w:val="15"/>
  </w:num>
  <w:num w:numId="27" w16cid:durableId="790831071">
    <w:abstractNumId w:val="31"/>
  </w:num>
  <w:num w:numId="28" w16cid:durableId="2108847764">
    <w:abstractNumId w:val="17"/>
  </w:num>
  <w:num w:numId="29" w16cid:durableId="1169759981">
    <w:abstractNumId w:val="3"/>
  </w:num>
  <w:num w:numId="30" w16cid:durableId="484123150">
    <w:abstractNumId w:val="2"/>
  </w:num>
  <w:num w:numId="31" w16cid:durableId="4216360">
    <w:abstractNumId w:val="1"/>
  </w:num>
  <w:num w:numId="32" w16cid:durableId="859590003">
    <w:abstractNumId w:val="0"/>
  </w:num>
  <w:num w:numId="33" w16cid:durableId="1664353981">
    <w:abstractNumId w:val="8"/>
  </w:num>
  <w:num w:numId="34" w16cid:durableId="1239747015">
    <w:abstractNumId w:val="4"/>
  </w:num>
  <w:num w:numId="35" w16cid:durableId="1223448561">
    <w:abstractNumId w:val="5"/>
  </w:num>
  <w:num w:numId="36" w16cid:durableId="56899493">
    <w:abstractNumId w:val="6"/>
  </w:num>
  <w:num w:numId="37" w16cid:durableId="2055230667">
    <w:abstractNumId w:val="9"/>
  </w:num>
  <w:num w:numId="38" w16cid:durableId="1836338805">
    <w:abstractNumId w:val="7"/>
  </w:num>
  <w:num w:numId="39" w16cid:durableId="198261552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zMLE0MLUwNDEyNzJT0lEKTi0uzszPAykwrAUANOSa2CwAAAA="/>
  </w:docVars>
  <w:rsids>
    <w:rsidRoot w:val="00FA0D2B"/>
    <w:rsid w:val="000006ED"/>
    <w:rsid w:val="00001D7D"/>
    <w:rsid w:val="000050B2"/>
    <w:rsid w:val="000060EE"/>
    <w:rsid w:val="00010D14"/>
    <w:rsid w:val="00012E58"/>
    <w:rsid w:val="000163C7"/>
    <w:rsid w:val="00016B5F"/>
    <w:rsid w:val="00017DF8"/>
    <w:rsid w:val="000205E9"/>
    <w:rsid w:val="000206BD"/>
    <w:rsid w:val="00021952"/>
    <w:rsid w:val="0002310D"/>
    <w:rsid w:val="0002345D"/>
    <w:rsid w:val="00025550"/>
    <w:rsid w:val="00025876"/>
    <w:rsid w:val="000258D9"/>
    <w:rsid w:val="00027215"/>
    <w:rsid w:val="00031E56"/>
    <w:rsid w:val="0003286C"/>
    <w:rsid w:val="000404D2"/>
    <w:rsid w:val="00040800"/>
    <w:rsid w:val="00041078"/>
    <w:rsid w:val="00041E7C"/>
    <w:rsid w:val="00053591"/>
    <w:rsid w:val="00054E4B"/>
    <w:rsid w:val="00056B42"/>
    <w:rsid w:val="00057611"/>
    <w:rsid w:val="00057D2B"/>
    <w:rsid w:val="00063349"/>
    <w:rsid w:val="00063BDA"/>
    <w:rsid w:val="0006431D"/>
    <w:rsid w:val="00065F4A"/>
    <w:rsid w:val="0006776F"/>
    <w:rsid w:val="00070F32"/>
    <w:rsid w:val="000711BC"/>
    <w:rsid w:val="00075CCA"/>
    <w:rsid w:val="00075DC6"/>
    <w:rsid w:val="00080937"/>
    <w:rsid w:val="00081C75"/>
    <w:rsid w:val="00082B47"/>
    <w:rsid w:val="00083AEB"/>
    <w:rsid w:val="00086DB4"/>
    <w:rsid w:val="0008782E"/>
    <w:rsid w:val="0009022D"/>
    <w:rsid w:val="00090571"/>
    <w:rsid w:val="00094D23"/>
    <w:rsid w:val="00096C5A"/>
    <w:rsid w:val="00097A1F"/>
    <w:rsid w:val="000A0536"/>
    <w:rsid w:val="000A3CFA"/>
    <w:rsid w:val="000A540F"/>
    <w:rsid w:val="000A602B"/>
    <w:rsid w:val="000A650A"/>
    <w:rsid w:val="000B0349"/>
    <w:rsid w:val="000B0BC7"/>
    <w:rsid w:val="000B187F"/>
    <w:rsid w:val="000B5974"/>
    <w:rsid w:val="000D1A22"/>
    <w:rsid w:val="000D2C32"/>
    <w:rsid w:val="000E0A7C"/>
    <w:rsid w:val="000E1C1C"/>
    <w:rsid w:val="000E2F83"/>
    <w:rsid w:val="000E4ACA"/>
    <w:rsid w:val="000F0C39"/>
    <w:rsid w:val="000F0D85"/>
    <w:rsid w:val="000F1E50"/>
    <w:rsid w:val="000F3828"/>
    <w:rsid w:val="000F3C1D"/>
    <w:rsid w:val="000F4B1F"/>
    <w:rsid w:val="000F62EC"/>
    <w:rsid w:val="00104145"/>
    <w:rsid w:val="0010449A"/>
    <w:rsid w:val="00106F70"/>
    <w:rsid w:val="00112451"/>
    <w:rsid w:val="00114912"/>
    <w:rsid w:val="001152B9"/>
    <w:rsid w:val="00116EBF"/>
    <w:rsid w:val="00117110"/>
    <w:rsid w:val="00117C72"/>
    <w:rsid w:val="001231D8"/>
    <w:rsid w:val="0012662D"/>
    <w:rsid w:val="00130915"/>
    <w:rsid w:val="00133597"/>
    <w:rsid w:val="00136C3F"/>
    <w:rsid w:val="00142227"/>
    <w:rsid w:val="00146EEB"/>
    <w:rsid w:val="0014731C"/>
    <w:rsid w:val="00153E44"/>
    <w:rsid w:val="00156168"/>
    <w:rsid w:val="00156956"/>
    <w:rsid w:val="00156A58"/>
    <w:rsid w:val="00156BE6"/>
    <w:rsid w:val="001577C4"/>
    <w:rsid w:val="00160B31"/>
    <w:rsid w:val="001617E8"/>
    <w:rsid w:val="001635C7"/>
    <w:rsid w:val="00164256"/>
    <w:rsid w:val="00167091"/>
    <w:rsid w:val="001678DC"/>
    <w:rsid w:val="00176986"/>
    <w:rsid w:val="0018317C"/>
    <w:rsid w:val="00187057"/>
    <w:rsid w:val="001916CA"/>
    <w:rsid w:val="00191B72"/>
    <w:rsid w:val="00193301"/>
    <w:rsid w:val="001937CE"/>
    <w:rsid w:val="00194282"/>
    <w:rsid w:val="00195FBF"/>
    <w:rsid w:val="00196166"/>
    <w:rsid w:val="00197794"/>
    <w:rsid w:val="00197E3B"/>
    <w:rsid w:val="001A0D7A"/>
    <w:rsid w:val="001A1B33"/>
    <w:rsid w:val="001A280C"/>
    <w:rsid w:val="001A42C7"/>
    <w:rsid w:val="001A5010"/>
    <w:rsid w:val="001B03E7"/>
    <w:rsid w:val="001B21DB"/>
    <w:rsid w:val="001C043A"/>
    <w:rsid w:val="001C19A0"/>
    <w:rsid w:val="001C4480"/>
    <w:rsid w:val="001C585D"/>
    <w:rsid w:val="001C59EE"/>
    <w:rsid w:val="001D321E"/>
    <w:rsid w:val="001D4C47"/>
    <w:rsid w:val="001D69F9"/>
    <w:rsid w:val="001D6E74"/>
    <w:rsid w:val="001D7712"/>
    <w:rsid w:val="001E6AD0"/>
    <w:rsid w:val="001F39DB"/>
    <w:rsid w:val="001F4808"/>
    <w:rsid w:val="0020074D"/>
    <w:rsid w:val="002027BB"/>
    <w:rsid w:val="002111B8"/>
    <w:rsid w:val="002132F9"/>
    <w:rsid w:val="002137DD"/>
    <w:rsid w:val="00217882"/>
    <w:rsid w:val="00223FE5"/>
    <w:rsid w:val="00225018"/>
    <w:rsid w:val="00226169"/>
    <w:rsid w:val="00232BBE"/>
    <w:rsid w:val="00234892"/>
    <w:rsid w:val="00235B84"/>
    <w:rsid w:val="00237CD1"/>
    <w:rsid w:val="0024170B"/>
    <w:rsid w:val="0024306D"/>
    <w:rsid w:val="00243326"/>
    <w:rsid w:val="0024652F"/>
    <w:rsid w:val="00246B53"/>
    <w:rsid w:val="00246C67"/>
    <w:rsid w:val="002479B2"/>
    <w:rsid w:val="002514C2"/>
    <w:rsid w:val="00251775"/>
    <w:rsid w:val="00254A30"/>
    <w:rsid w:val="00256EAD"/>
    <w:rsid w:val="00265BF6"/>
    <w:rsid w:val="00271510"/>
    <w:rsid w:val="00272964"/>
    <w:rsid w:val="00276C8F"/>
    <w:rsid w:val="00280FDD"/>
    <w:rsid w:val="00285B2E"/>
    <w:rsid w:val="0029581A"/>
    <w:rsid w:val="00297F65"/>
    <w:rsid w:val="002A2785"/>
    <w:rsid w:val="002A2D71"/>
    <w:rsid w:val="002A3E89"/>
    <w:rsid w:val="002A44AE"/>
    <w:rsid w:val="002A5621"/>
    <w:rsid w:val="002B05F8"/>
    <w:rsid w:val="002B19F5"/>
    <w:rsid w:val="002B1F77"/>
    <w:rsid w:val="002B4999"/>
    <w:rsid w:val="002B499B"/>
    <w:rsid w:val="002C330B"/>
    <w:rsid w:val="002C71FD"/>
    <w:rsid w:val="002D2628"/>
    <w:rsid w:val="002D44C7"/>
    <w:rsid w:val="002D4913"/>
    <w:rsid w:val="002D6400"/>
    <w:rsid w:val="002E187B"/>
    <w:rsid w:val="002E50A8"/>
    <w:rsid w:val="002E5747"/>
    <w:rsid w:val="002F184C"/>
    <w:rsid w:val="002F3A89"/>
    <w:rsid w:val="002F44B0"/>
    <w:rsid w:val="002F5A7E"/>
    <w:rsid w:val="002F662D"/>
    <w:rsid w:val="002F68BE"/>
    <w:rsid w:val="002F6E37"/>
    <w:rsid w:val="002F76AB"/>
    <w:rsid w:val="003031A5"/>
    <w:rsid w:val="00303279"/>
    <w:rsid w:val="0030401F"/>
    <w:rsid w:val="003074C8"/>
    <w:rsid w:val="00307858"/>
    <w:rsid w:val="003118F2"/>
    <w:rsid w:val="00311E47"/>
    <w:rsid w:val="003143E4"/>
    <w:rsid w:val="00316775"/>
    <w:rsid w:val="00317000"/>
    <w:rsid w:val="00325343"/>
    <w:rsid w:val="00326A39"/>
    <w:rsid w:val="00330E91"/>
    <w:rsid w:val="00334D81"/>
    <w:rsid w:val="00334EDC"/>
    <w:rsid w:val="00340F77"/>
    <w:rsid w:val="0034411F"/>
    <w:rsid w:val="00345D16"/>
    <w:rsid w:val="003463A5"/>
    <w:rsid w:val="003469BB"/>
    <w:rsid w:val="00347C33"/>
    <w:rsid w:val="003513B7"/>
    <w:rsid w:val="00357846"/>
    <w:rsid w:val="00360B94"/>
    <w:rsid w:val="003624F8"/>
    <w:rsid w:val="00362C30"/>
    <w:rsid w:val="00362C3D"/>
    <w:rsid w:val="00363F2A"/>
    <w:rsid w:val="0037110A"/>
    <w:rsid w:val="00371D2D"/>
    <w:rsid w:val="00371E8B"/>
    <w:rsid w:val="00375114"/>
    <w:rsid w:val="003753DE"/>
    <w:rsid w:val="003824DA"/>
    <w:rsid w:val="00382ED3"/>
    <w:rsid w:val="0038454E"/>
    <w:rsid w:val="003857FD"/>
    <w:rsid w:val="003869EB"/>
    <w:rsid w:val="00387FFC"/>
    <w:rsid w:val="00391B53"/>
    <w:rsid w:val="0039345B"/>
    <w:rsid w:val="003938DB"/>
    <w:rsid w:val="003948B2"/>
    <w:rsid w:val="00396624"/>
    <w:rsid w:val="003973E8"/>
    <w:rsid w:val="003A0086"/>
    <w:rsid w:val="003A0174"/>
    <w:rsid w:val="003A0398"/>
    <w:rsid w:val="003A0578"/>
    <w:rsid w:val="003A07DE"/>
    <w:rsid w:val="003A5093"/>
    <w:rsid w:val="003B3CF1"/>
    <w:rsid w:val="003C018F"/>
    <w:rsid w:val="003C1230"/>
    <w:rsid w:val="003C46A5"/>
    <w:rsid w:val="003C5492"/>
    <w:rsid w:val="003D01E9"/>
    <w:rsid w:val="003D244E"/>
    <w:rsid w:val="003D7CD4"/>
    <w:rsid w:val="003E010D"/>
    <w:rsid w:val="003E2C2E"/>
    <w:rsid w:val="003E3551"/>
    <w:rsid w:val="003E69B3"/>
    <w:rsid w:val="003E6A0F"/>
    <w:rsid w:val="003E734B"/>
    <w:rsid w:val="003E7451"/>
    <w:rsid w:val="003E7D06"/>
    <w:rsid w:val="003F3564"/>
    <w:rsid w:val="003F6374"/>
    <w:rsid w:val="003F667C"/>
    <w:rsid w:val="00402D7E"/>
    <w:rsid w:val="004049BA"/>
    <w:rsid w:val="00405B75"/>
    <w:rsid w:val="0040640F"/>
    <w:rsid w:val="00412233"/>
    <w:rsid w:val="00412CF2"/>
    <w:rsid w:val="00414960"/>
    <w:rsid w:val="00415502"/>
    <w:rsid w:val="004163E0"/>
    <w:rsid w:val="004173D5"/>
    <w:rsid w:val="00420533"/>
    <w:rsid w:val="00423E88"/>
    <w:rsid w:val="0042423E"/>
    <w:rsid w:val="00425CED"/>
    <w:rsid w:val="00427174"/>
    <w:rsid w:val="004277B5"/>
    <w:rsid w:val="0043066E"/>
    <w:rsid w:val="004306A7"/>
    <w:rsid w:val="004331C2"/>
    <w:rsid w:val="00436D11"/>
    <w:rsid w:val="0044337E"/>
    <w:rsid w:val="004443A2"/>
    <w:rsid w:val="00445289"/>
    <w:rsid w:val="00446A0E"/>
    <w:rsid w:val="00447A79"/>
    <w:rsid w:val="00450AF5"/>
    <w:rsid w:val="00451896"/>
    <w:rsid w:val="00457325"/>
    <w:rsid w:val="00457E2B"/>
    <w:rsid w:val="00460463"/>
    <w:rsid w:val="00461A4B"/>
    <w:rsid w:val="00461ECC"/>
    <w:rsid w:val="004624E4"/>
    <w:rsid w:val="004733ED"/>
    <w:rsid w:val="00475E28"/>
    <w:rsid w:val="0048191B"/>
    <w:rsid w:val="004869E7"/>
    <w:rsid w:val="00487AD0"/>
    <w:rsid w:val="004901FD"/>
    <w:rsid w:val="00492215"/>
    <w:rsid w:val="00493A08"/>
    <w:rsid w:val="00493E41"/>
    <w:rsid w:val="004940BF"/>
    <w:rsid w:val="004965B0"/>
    <w:rsid w:val="0049779C"/>
    <w:rsid w:val="004A0100"/>
    <w:rsid w:val="004A0B0D"/>
    <w:rsid w:val="004A5171"/>
    <w:rsid w:val="004B3C24"/>
    <w:rsid w:val="004B439E"/>
    <w:rsid w:val="004B5436"/>
    <w:rsid w:val="004B7E5B"/>
    <w:rsid w:val="004C7384"/>
    <w:rsid w:val="004D0669"/>
    <w:rsid w:val="004D0844"/>
    <w:rsid w:val="004D0C76"/>
    <w:rsid w:val="004D45BC"/>
    <w:rsid w:val="004D77A5"/>
    <w:rsid w:val="004E198F"/>
    <w:rsid w:val="004E20E6"/>
    <w:rsid w:val="004E4AD2"/>
    <w:rsid w:val="004F0588"/>
    <w:rsid w:val="004F0FF6"/>
    <w:rsid w:val="004F5BE9"/>
    <w:rsid w:val="004F68F2"/>
    <w:rsid w:val="004F7644"/>
    <w:rsid w:val="004F7897"/>
    <w:rsid w:val="0050254D"/>
    <w:rsid w:val="005031D0"/>
    <w:rsid w:val="005033B8"/>
    <w:rsid w:val="00504127"/>
    <w:rsid w:val="005047EC"/>
    <w:rsid w:val="00504A35"/>
    <w:rsid w:val="00511801"/>
    <w:rsid w:val="0051740F"/>
    <w:rsid w:val="005206CC"/>
    <w:rsid w:val="00523FF5"/>
    <w:rsid w:val="005253E8"/>
    <w:rsid w:val="00526B09"/>
    <w:rsid w:val="0052735B"/>
    <w:rsid w:val="005317EA"/>
    <w:rsid w:val="0053203E"/>
    <w:rsid w:val="005327CF"/>
    <w:rsid w:val="00533936"/>
    <w:rsid w:val="00533AE9"/>
    <w:rsid w:val="00537E8F"/>
    <w:rsid w:val="00547865"/>
    <w:rsid w:val="005505B6"/>
    <w:rsid w:val="00550AB6"/>
    <w:rsid w:val="005515E9"/>
    <w:rsid w:val="005522A1"/>
    <w:rsid w:val="00553FF8"/>
    <w:rsid w:val="00560678"/>
    <w:rsid w:val="005628AB"/>
    <w:rsid w:val="00562CCD"/>
    <w:rsid w:val="00562D43"/>
    <w:rsid w:val="005639D2"/>
    <w:rsid w:val="00564788"/>
    <w:rsid w:val="00566B63"/>
    <w:rsid w:val="0057236D"/>
    <w:rsid w:val="00572617"/>
    <w:rsid w:val="00573804"/>
    <w:rsid w:val="0057427B"/>
    <w:rsid w:val="00575CF3"/>
    <w:rsid w:val="0057615A"/>
    <w:rsid w:val="00576458"/>
    <w:rsid w:val="0058232A"/>
    <w:rsid w:val="00585A67"/>
    <w:rsid w:val="00585DCE"/>
    <w:rsid w:val="00587F40"/>
    <w:rsid w:val="00593A98"/>
    <w:rsid w:val="00595AD6"/>
    <w:rsid w:val="00596D37"/>
    <w:rsid w:val="00597D85"/>
    <w:rsid w:val="005A3C21"/>
    <w:rsid w:val="005B7EFD"/>
    <w:rsid w:val="005C3258"/>
    <w:rsid w:val="005C499F"/>
    <w:rsid w:val="005C601D"/>
    <w:rsid w:val="005D3A35"/>
    <w:rsid w:val="005D6BB7"/>
    <w:rsid w:val="005D7396"/>
    <w:rsid w:val="005E0F49"/>
    <w:rsid w:val="005F053C"/>
    <w:rsid w:val="005F183D"/>
    <w:rsid w:val="005F2E59"/>
    <w:rsid w:val="005F50A3"/>
    <w:rsid w:val="005F543D"/>
    <w:rsid w:val="005F5F01"/>
    <w:rsid w:val="006007BA"/>
    <w:rsid w:val="006008FA"/>
    <w:rsid w:val="00601020"/>
    <w:rsid w:val="0060444F"/>
    <w:rsid w:val="0060484B"/>
    <w:rsid w:val="00607147"/>
    <w:rsid w:val="00612EBE"/>
    <w:rsid w:val="006143E0"/>
    <w:rsid w:val="00614607"/>
    <w:rsid w:val="00614B6E"/>
    <w:rsid w:val="00621056"/>
    <w:rsid w:val="00621631"/>
    <w:rsid w:val="00621DF6"/>
    <w:rsid w:val="006230D1"/>
    <w:rsid w:val="0062538D"/>
    <w:rsid w:val="006254EB"/>
    <w:rsid w:val="00625FB9"/>
    <w:rsid w:val="00626675"/>
    <w:rsid w:val="006266C5"/>
    <w:rsid w:val="00630346"/>
    <w:rsid w:val="0063118D"/>
    <w:rsid w:val="00632D1D"/>
    <w:rsid w:val="00633017"/>
    <w:rsid w:val="00640C0F"/>
    <w:rsid w:val="00643495"/>
    <w:rsid w:val="00645B12"/>
    <w:rsid w:val="00646466"/>
    <w:rsid w:val="00646986"/>
    <w:rsid w:val="00646CAD"/>
    <w:rsid w:val="0065580E"/>
    <w:rsid w:val="00655B03"/>
    <w:rsid w:val="00657D4F"/>
    <w:rsid w:val="006672BA"/>
    <w:rsid w:val="00667ECD"/>
    <w:rsid w:val="00670AAC"/>
    <w:rsid w:val="00671A70"/>
    <w:rsid w:val="0067453E"/>
    <w:rsid w:val="00676A00"/>
    <w:rsid w:val="00677756"/>
    <w:rsid w:val="00680DB1"/>
    <w:rsid w:val="006815CB"/>
    <w:rsid w:val="006853BA"/>
    <w:rsid w:val="00686FCF"/>
    <w:rsid w:val="00687C8F"/>
    <w:rsid w:val="00693348"/>
    <w:rsid w:val="00693528"/>
    <w:rsid w:val="0069381E"/>
    <w:rsid w:val="00694E38"/>
    <w:rsid w:val="006956C9"/>
    <w:rsid w:val="00695771"/>
    <w:rsid w:val="006A0B5C"/>
    <w:rsid w:val="006A0BE7"/>
    <w:rsid w:val="006A1748"/>
    <w:rsid w:val="006A5389"/>
    <w:rsid w:val="006B30C1"/>
    <w:rsid w:val="006C1438"/>
    <w:rsid w:val="006C274F"/>
    <w:rsid w:val="006C285A"/>
    <w:rsid w:val="006C4273"/>
    <w:rsid w:val="006C4CD6"/>
    <w:rsid w:val="006C6B1F"/>
    <w:rsid w:val="006C7D5A"/>
    <w:rsid w:val="006D546F"/>
    <w:rsid w:val="006D5712"/>
    <w:rsid w:val="006D5AE8"/>
    <w:rsid w:val="006D5B5F"/>
    <w:rsid w:val="006D5DD1"/>
    <w:rsid w:val="006D61E0"/>
    <w:rsid w:val="006D6EB3"/>
    <w:rsid w:val="006E123D"/>
    <w:rsid w:val="006E1A1E"/>
    <w:rsid w:val="006E459F"/>
    <w:rsid w:val="006E642E"/>
    <w:rsid w:val="006F17A6"/>
    <w:rsid w:val="006F2C6E"/>
    <w:rsid w:val="00700539"/>
    <w:rsid w:val="00703619"/>
    <w:rsid w:val="007041C4"/>
    <w:rsid w:val="00707874"/>
    <w:rsid w:val="0071099F"/>
    <w:rsid w:val="00710DE2"/>
    <w:rsid w:val="007125BC"/>
    <w:rsid w:val="00721F0A"/>
    <w:rsid w:val="007230FA"/>
    <w:rsid w:val="0072393C"/>
    <w:rsid w:val="00731407"/>
    <w:rsid w:val="00731A14"/>
    <w:rsid w:val="00732503"/>
    <w:rsid w:val="00732840"/>
    <w:rsid w:val="00733191"/>
    <w:rsid w:val="00733D3E"/>
    <w:rsid w:val="00736386"/>
    <w:rsid w:val="0073676D"/>
    <w:rsid w:val="007424B5"/>
    <w:rsid w:val="00751A8D"/>
    <w:rsid w:val="00753E9C"/>
    <w:rsid w:val="0075546A"/>
    <w:rsid w:val="007627B0"/>
    <w:rsid w:val="00764300"/>
    <w:rsid w:val="0077240B"/>
    <w:rsid w:val="00772C6A"/>
    <w:rsid w:val="00773C31"/>
    <w:rsid w:val="00774D02"/>
    <w:rsid w:val="007760D7"/>
    <w:rsid w:val="007803FC"/>
    <w:rsid w:val="007809B3"/>
    <w:rsid w:val="00781F83"/>
    <w:rsid w:val="007860F9"/>
    <w:rsid w:val="0078684F"/>
    <w:rsid w:val="00791CA7"/>
    <w:rsid w:val="0079262B"/>
    <w:rsid w:val="00792D94"/>
    <w:rsid w:val="007951DB"/>
    <w:rsid w:val="00796FEF"/>
    <w:rsid w:val="00797D2A"/>
    <w:rsid w:val="007A04BF"/>
    <w:rsid w:val="007A48E7"/>
    <w:rsid w:val="007A591D"/>
    <w:rsid w:val="007A7DFA"/>
    <w:rsid w:val="007B1F3F"/>
    <w:rsid w:val="007B3638"/>
    <w:rsid w:val="007B4644"/>
    <w:rsid w:val="007B643B"/>
    <w:rsid w:val="007C181E"/>
    <w:rsid w:val="007C1E38"/>
    <w:rsid w:val="007C6647"/>
    <w:rsid w:val="007D0584"/>
    <w:rsid w:val="007D0AE4"/>
    <w:rsid w:val="007D23C2"/>
    <w:rsid w:val="007D5C51"/>
    <w:rsid w:val="007D5FE6"/>
    <w:rsid w:val="007D6DA4"/>
    <w:rsid w:val="007E5265"/>
    <w:rsid w:val="007F7347"/>
    <w:rsid w:val="00805327"/>
    <w:rsid w:val="00806A41"/>
    <w:rsid w:val="00814636"/>
    <w:rsid w:val="00816C62"/>
    <w:rsid w:val="00817458"/>
    <w:rsid w:val="00821743"/>
    <w:rsid w:val="00825719"/>
    <w:rsid w:val="0082681B"/>
    <w:rsid w:val="008272F6"/>
    <w:rsid w:val="00830DCF"/>
    <w:rsid w:val="00832FBB"/>
    <w:rsid w:val="00835844"/>
    <w:rsid w:val="00835C27"/>
    <w:rsid w:val="008419B7"/>
    <w:rsid w:val="008420DB"/>
    <w:rsid w:val="008424FD"/>
    <w:rsid w:val="00842716"/>
    <w:rsid w:val="00842DF8"/>
    <w:rsid w:val="00842F94"/>
    <w:rsid w:val="00844BA2"/>
    <w:rsid w:val="008451C5"/>
    <w:rsid w:val="00846C0E"/>
    <w:rsid w:val="00846E53"/>
    <w:rsid w:val="0085348B"/>
    <w:rsid w:val="00856A0C"/>
    <w:rsid w:val="00856E23"/>
    <w:rsid w:val="0086374F"/>
    <w:rsid w:val="0086451C"/>
    <w:rsid w:val="008661BF"/>
    <w:rsid w:val="00867AF6"/>
    <w:rsid w:val="00872BE3"/>
    <w:rsid w:val="00872E71"/>
    <w:rsid w:val="008733BF"/>
    <w:rsid w:val="00877B32"/>
    <w:rsid w:val="0088417E"/>
    <w:rsid w:val="00884FC0"/>
    <w:rsid w:val="008861F8"/>
    <w:rsid w:val="0088735D"/>
    <w:rsid w:val="00891506"/>
    <w:rsid w:val="008A0F9D"/>
    <w:rsid w:val="008A4693"/>
    <w:rsid w:val="008A49DB"/>
    <w:rsid w:val="008A5854"/>
    <w:rsid w:val="008A5E2D"/>
    <w:rsid w:val="008B33E4"/>
    <w:rsid w:val="008B7AED"/>
    <w:rsid w:val="008C68E9"/>
    <w:rsid w:val="008D01A4"/>
    <w:rsid w:val="008D41F6"/>
    <w:rsid w:val="008D760D"/>
    <w:rsid w:val="008E03BA"/>
    <w:rsid w:val="008E0C95"/>
    <w:rsid w:val="008E49C3"/>
    <w:rsid w:val="008E5377"/>
    <w:rsid w:val="008E568B"/>
    <w:rsid w:val="008E5931"/>
    <w:rsid w:val="008E60E5"/>
    <w:rsid w:val="008E6101"/>
    <w:rsid w:val="008E7D93"/>
    <w:rsid w:val="008F105D"/>
    <w:rsid w:val="008F48F4"/>
    <w:rsid w:val="008F5066"/>
    <w:rsid w:val="008F52E8"/>
    <w:rsid w:val="008F569F"/>
    <w:rsid w:val="008F7EBF"/>
    <w:rsid w:val="00901705"/>
    <w:rsid w:val="009028BB"/>
    <w:rsid w:val="0090396B"/>
    <w:rsid w:val="009047EA"/>
    <w:rsid w:val="00910AA4"/>
    <w:rsid w:val="00910D18"/>
    <w:rsid w:val="0091153C"/>
    <w:rsid w:val="0091713E"/>
    <w:rsid w:val="009212B7"/>
    <w:rsid w:val="00924C09"/>
    <w:rsid w:val="0092550D"/>
    <w:rsid w:val="009271F7"/>
    <w:rsid w:val="0093248E"/>
    <w:rsid w:val="00932C5D"/>
    <w:rsid w:val="00934360"/>
    <w:rsid w:val="00935466"/>
    <w:rsid w:val="00936E16"/>
    <w:rsid w:val="00937802"/>
    <w:rsid w:val="0094246F"/>
    <w:rsid w:val="00942C3B"/>
    <w:rsid w:val="00951052"/>
    <w:rsid w:val="00951916"/>
    <w:rsid w:val="00952139"/>
    <w:rsid w:val="009549A9"/>
    <w:rsid w:val="009549FA"/>
    <w:rsid w:val="00955F28"/>
    <w:rsid w:val="00956741"/>
    <w:rsid w:val="00962137"/>
    <w:rsid w:val="00963090"/>
    <w:rsid w:val="00966B8E"/>
    <w:rsid w:val="00966BB8"/>
    <w:rsid w:val="009702FD"/>
    <w:rsid w:val="00970F15"/>
    <w:rsid w:val="00975E63"/>
    <w:rsid w:val="00976B63"/>
    <w:rsid w:val="009804DB"/>
    <w:rsid w:val="0098172F"/>
    <w:rsid w:val="009859B1"/>
    <w:rsid w:val="00990238"/>
    <w:rsid w:val="00992E3A"/>
    <w:rsid w:val="00997B2D"/>
    <w:rsid w:val="00997DDA"/>
    <w:rsid w:val="009A6627"/>
    <w:rsid w:val="009A72A5"/>
    <w:rsid w:val="009B64FA"/>
    <w:rsid w:val="009C546B"/>
    <w:rsid w:val="009C65AA"/>
    <w:rsid w:val="009D4D2A"/>
    <w:rsid w:val="009D7475"/>
    <w:rsid w:val="009D76E1"/>
    <w:rsid w:val="009D7806"/>
    <w:rsid w:val="009E1571"/>
    <w:rsid w:val="009E20D5"/>
    <w:rsid w:val="009E31C5"/>
    <w:rsid w:val="009E4C70"/>
    <w:rsid w:val="009E6051"/>
    <w:rsid w:val="009E6695"/>
    <w:rsid w:val="009F3323"/>
    <w:rsid w:val="009F34E3"/>
    <w:rsid w:val="009F6E20"/>
    <w:rsid w:val="009F7E5A"/>
    <w:rsid w:val="00A00B62"/>
    <w:rsid w:val="00A02F92"/>
    <w:rsid w:val="00A03592"/>
    <w:rsid w:val="00A063C0"/>
    <w:rsid w:val="00A10143"/>
    <w:rsid w:val="00A14199"/>
    <w:rsid w:val="00A1443E"/>
    <w:rsid w:val="00A15B3A"/>
    <w:rsid w:val="00A16696"/>
    <w:rsid w:val="00A16F89"/>
    <w:rsid w:val="00A24882"/>
    <w:rsid w:val="00A27F7D"/>
    <w:rsid w:val="00A31530"/>
    <w:rsid w:val="00A3368A"/>
    <w:rsid w:val="00A35E44"/>
    <w:rsid w:val="00A360F7"/>
    <w:rsid w:val="00A363CE"/>
    <w:rsid w:val="00A42C60"/>
    <w:rsid w:val="00A53453"/>
    <w:rsid w:val="00A546D8"/>
    <w:rsid w:val="00A56600"/>
    <w:rsid w:val="00A60F8C"/>
    <w:rsid w:val="00A61129"/>
    <w:rsid w:val="00A61B1F"/>
    <w:rsid w:val="00A63E6D"/>
    <w:rsid w:val="00A65952"/>
    <w:rsid w:val="00A665D8"/>
    <w:rsid w:val="00A705F7"/>
    <w:rsid w:val="00A74521"/>
    <w:rsid w:val="00A760F3"/>
    <w:rsid w:val="00A8648D"/>
    <w:rsid w:val="00A87E04"/>
    <w:rsid w:val="00A90CE6"/>
    <w:rsid w:val="00A92C68"/>
    <w:rsid w:val="00A92CDB"/>
    <w:rsid w:val="00A93402"/>
    <w:rsid w:val="00A95E61"/>
    <w:rsid w:val="00A96582"/>
    <w:rsid w:val="00A97390"/>
    <w:rsid w:val="00AA0449"/>
    <w:rsid w:val="00AA103E"/>
    <w:rsid w:val="00AA2D74"/>
    <w:rsid w:val="00AA2EBA"/>
    <w:rsid w:val="00AA3932"/>
    <w:rsid w:val="00AA40F9"/>
    <w:rsid w:val="00AA54E7"/>
    <w:rsid w:val="00AB1392"/>
    <w:rsid w:val="00AB5153"/>
    <w:rsid w:val="00AB5445"/>
    <w:rsid w:val="00AB5FF5"/>
    <w:rsid w:val="00AB687F"/>
    <w:rsid w:val="00AC0223"/>
    <w:rsid w:val="00AC253E"/>
    <w:rsid w:val="00AC47CA"/>
    <w:rsid w:val="00AC617E"/>
    <w:rsid w:val="00AC6549"/>
    <w:rsid w:val="00AC715E"/>
    <w:rsid w:val="00AC76F7"/>
    <w:rsid w:val="00AC7815"/>
    <w:rsid w:val="00AD01C9"/>
    <w:rsid w:val="00AE3172"/>
    <w:rsid w:val="00AE3580"/>
    <w:rsid w:val="00AE7182"/>
    <w:rsid w:val="00AE7D7B"/>
    <w:rsid w:val="00AF042B"/>
    <w:rsid w:val="00AF1978"/>
    <w:rsid w:val="00AF32FC"/>
    <w:rsid w:val="00AF4EE3"/>
    <w:rsid w:val="00AF612B"/>
    <w:rsid w:val="00B00173"/>
    <w:rsid w:val="00B007FF"/>
    <w:rsid w:val="00B00975"/>
    <w:rsid w:val="00B02195"/>
    <w:rsid w:val="00B05711"/>
    <w:rsid w:val="00B07F54"/>
    <w:rsid w:val="00B07FE1"/>
    <w:rsid w:val="00B10A23"/>
    <w:rsid w:val="00B156BD"/>
    <w:rsid w:val="00B15DC0"/>
    <w:rsid w:val="00B16573"/>
    <w:rsid w:val="00B17CD2"/>
    <w:rsid w:val="00B20FEC"/>
    <w:rsid w:val="00B237F3"/>
    <w:rsid w:val="00B238A0"/>
    <w:rsid w:val="00B3169F"/>
    <w:rsid w:val="00B35BB9"/>
    <w:rsid w:val="00B40486"/>
    <w:rsid w:val="00B40489"/>
    <w:rsid w:val="00B43BEA"/>
    <w:rsid w:val="00B43FFC"/>
    <w:rsid w:val="00B4610E"/>
    <w:rsid w:val="00B4749F"/>
    <w:rsid w:val="00B50E99"/>
    <w:rsid w:val="00B522AA"/>
    <w:rsid w:val="00B554DC"/>
    <w:rsid w:val="00B55FA9"/>
    <w:rsid w:val="00B56A34"/>
    <w:rsid w:val="00B609F5"/>
    <w:rsid w:val="00B624AD"/>
    <w:rsid w:val="00B65267"/>
    <w:rsid w:val="00B662EF"/>
    <w:rsid w:val="00B66404"/>
    <w:rsid w:val="00B71386"/>
    <w:rsid w:val="00B71AF7"/>
    <w:rsid w:val="00B728BE"/>
    <w:rsid w:val="00B72C93"/>
    <w:rsid w:val="00B73B46"/>
    <w:rsid w:val="00B74067"/>
    <w:rsid w:val="00B765F7"/>
    <w:rsid w:val="00B77693"/>
    <w:rsid w:val="00B77E92"/>
    <w:rsid w:val="00B803A4"/>
    <w:rsid w:val="00B82DD3"/>
    <w:rsid w:val="00B82E50"/>
    <w:rsid w:val="00B863B3"/>
    <w:rsid w:val="00B87019"/>
    <w:rsid w:val="00B9053F"/>
    <w:rsid w:val="00B91A03"/>
    <w:rsid w:val="00B93204"/>
    <w:rsid w:val="00B937E0"/>
    <w:rsid w:val="00B948EA"/>
    <w:rsid w:val="00B962BD"/>
    <w:rsid w:val="00B9636D"/>
    <w:rsid w:val="00B9689D"/>
    <w:rsid w:val="00B96CA1"/>
    <w:rsid w:val="00BA0028"/>
    <w:rsid w:val="00BA048C"/>
    <w:rsid w:val="00BA18D2"/>
    <w:rsid w:val="00BA2DD8"/>
    <w:rsid w:val="00BA4522"/>
    <w:rsid w:val="00BA4C19"/>
    <w:rsid w:val="00BA64A7"/>
    <w:rsid w:val="00BA6B83"/>
    <w:rsid w:val="00BB05F2"/>
    <w:rsid w:val="00BB17E3"/>
    <w:rsid w:val="00BB29E8"/>
    <w:rsid w:val="00BB429F"/>
    <w:rsid w:val="00BB71D9"/>
    <w:rsid w:val="00BC367E"/>
    <w:rsid w:val="00BC417A"/>
    <w:rsid w:val="00BC536D"/>
    <w:rsid w:val="00BD1772"/>
    <w:rsid w:val="00BD1D1B"/>
    <w:rsid w:val="00BD4001"/>
    <w:rsid w:val="00BD7D35"/>
    <w:rsid w:val="00BE15D7"/>
    <w:rsid w:val="00BE22A6"/>
    <w:rsid w:val="00BE2773"/>
    <w:rsid w:val="00BE5CD5"/>
    <w:rsid w:val="00BE5FFF"/>
    <w:rsid w:val="00BE6D8A"/>
    <w:rsid w:val="00BE795A"/>
    <w:rsid w:val="00BF2504"/>
    <w:rsid w:val="00BF2ECE"/>
    <w:rsid w:val="00BF379D"/>
    <w:rsid w:val="00BF7E74"/>
    <w:rsid w:val="00C01C85"/>
    <w:rsid w:val="00C02273"/>
    <w:rsid w:val="00C03955"/>
    <w:rsid w:val="00C03C02"/>
    <w:rsid w:val="00C07194"/>
    <w:rsid w:val="00C10F49"/>
    <w:rsid w:val="00C121B9"/>
    <w:rsid w:val="00C13C19"/>
    <w:rsid w:val="00C14ED1"/>
    <w:rsid w:val="00C1678C"/>
    <w:rsid w:val="00C26A75"/>
    <w:rsid w:val="00C31B1B"/>
    <w:rsid w:val="00C3451D"/>
    <w:rsid w:val="00C36471"/>
    <w:rsid w:val="00C40958"/>
    <w:rsid w:val="00C426B4"/>
    <w:rsid w:val="00C47C40"/>
    <w:rsid w:val="00C50F85"/>
    <w:rsid w:val="00C513D8"/>
    <w:rsid w:val="00C6133C"/>
    <w:rsid w:val="00C633F8"/>
    <w:rsid w:val="00C65B8B"/>
    <w:rsid w:val="00C70607"/>
    <w:rsid w:val="00C720F5"/>
    <w:rsid w:val="00C75FAB"/>
    <w:rsid w:val="00C76696"/>
    <w:rsid w:val="00C8496E"/>
    <w:rsid w:val="00C85B8A"/>
    <w:rsid w:val="00C85F8B"/>
    <w:rsid w:val="00C869D5"/>
    <w:rsid w:val="00C86FCC"/>
    <w:rsid w:val="00C8781E"/>
    <w:rsid w:val="00C87DC3"/>
    <w:rsid w:val="00C87E89"/>
    <w:rsid w:val="00C949D2"/>
    <w:rsid w:val="00C96E5F"/>
    <w:rsid w:val="00CA4757"/>
    <w:rsid w:val="00CA7608"/>
    <w:rsid w:val="00CB5E04"/>
    <w:rsid w:val="00CC21E1"/>
    <w:rsid w:val="00CC6D1C"/>
    <w:rsid w:val="00CC714D"/>
    <w:rsid w:val="00CC7177"/>
    <w:rsid w:val="00CD10C3"/>
    <w:rsid w:val="00CD131D"/>
    <w:rsid w:val="00CD3458"/>
    <w:rsid w:val="00CD3C43"/>
    <w:rsid w:val="00CD3F5E"/>
    <w:rsid w:val="00CD435F"/>
    <w:rsid w:val="00CD58EC"/>
    <w:rsid w:val="00CD7CDF"/>
    <w:rsid w:val="00CE6692"/>
    <w:rsid w:val="00CF00A6"/>
    <w:rsid w:val="00CF7CD9"/>
    <w:rsid w:val="00D01214"/>
    <w:rsid w:val="00D032A7"/>
    <w:rsid w:val="00D03B91"/>
    <w:rsid w:val="00D11039"/>
    <w:rsid w:val="00D110A2"/>
    <w:rsid w:val="00D126D4"/>
    <w:rsid w:val="00D14536"/>
    <w:rsid w:val="00D15387"/>
    <w:rsid w:val="00D20799"/>
    <w:rsid w:val="00D22042"/>
    <w:rsid w:val="00D23F61"/>
    <w:rsid w:val="00D278C3"/>
    <w:rsid w:val="00D307D0"/>
    <w:rsid w:val="00D34B78"/>
    <w:rsid w:val="00D3757D"/>
    <w:rsid w:val="00D37F44"/>
    <w:rsid w:val="00D42373"/>
    <w:rsid w:val="00D435CC"/>
    <w:rsid w:val="00D43B1A"/>
    <w:rsid w:val="00D44B5E"/>
    <w:rsid w:val="00D45896"/>
    <w:rsid w:val="00D45FEC"/>
    <w:rsid w:val="00D478E3"/>
    <w:rsid w:val="00D52AA6"/>
    <w:rsid w:val="00D533D7"/>
    <w:rsid w:val="00D55BC2"/>
    <w:rsid w:val="00D56BC4"/>
    <w:rsid w:val="00D576E1"/>
    <w:rsid w:val="00D57BE5"/>
    <w:rsid w:val="00D60462"/>
    <w:rsid w:val="00D61361"/>
    <w:rsid w:val="00D61C40"/>
    <w:rsid w:val="00D62859"/>
    <w:rsid w:val="00D63BE2"/>
    <w:rsid w:val="00D66ADA"/>
    <w:rsid w:val="00D66E67"/>
    <w:rsid w:val="00D7003E"/>
    <w:rsid w:val="00D7140A"/>
    <w:rsid w:val="00D7423C"/>
    <w:rsid w:val="00D75C53"/>
    <w:rsid w:val="00D76CDB"/>
    <w:rsid w:val="00D80767"/>
    <w:rsid w:val="00D81695"/>
    <w:rsid w:val="00D833B7"/>
    <w:rsid w:val="00D837EF"/>
    <w:rsid w:val="00D84412"/>
    <w:rsid w:val="00D86316"/>
    <w:rsid w:val="00D872CF"/>
    <w:rsid w:val="00D9100B"/>
    <w:rsid w:val="00D91D14"/>
    <w:rsid w:val="00D92A34"/>
    <w:rsid w:val="00D93278"/>
    <w:rsid w:val="00D93EF1"/>
    <w:rsid w:val="00DA1460"/>
    <w:rsid w:val="00DA4B75"/>
    <w:rsid w:val="00DA4CDE"/>
    <w:rsid w:val="00DA5A9A"/>
    <w:rsid w:val="00DB37EC"/>
    <w:rsid w:val="00DB47CF"/>
    <w:rsid w:val="00DB72E8"/>
    <w:rsid w:val="00DC038F"/>
    <w:rsid w:val="00DC1D90"/>
    <w:rsid w:val="00DC25D0"/>
    <w:rsid w:val="00DC3BDA"/>
    <w:rsid w:val="00DC5A70"/>
    <w:rsid w:val="00DD1020"/>
    <w:rsid w:val="00DD2EAF"/>
    <w:rsid w:val="00DD3628"/>
    <w:rsid w:val="00DD65FA"/>
    <w:rsid w:val="00DE101C"/>
    <w:rsid w:val="00DE36DA"/>
    <w:rsid w:val="00DE7160"/>
    <w:rsid w:val="00DF3585"/>
    <w:rsid w:val="00DF421C"/>
    <w:rsid w:val="00DF6292"/>
    <w:rsid w:val="00DF79B2"/>
    <w:rsid w:val="00E0068C"/>
    <w:rsid w:val="00E01304"/>
    <w:rsid w:val="00E01BE6"/>
    <w:rsid w:val="00E06555"/>
    <w:rsid w:val="00E0683A"/>
    <w:rsid w:val="00E06DCC"/>
    <w:rsid w:val="00E070AD"/>
    <w:rsid w:val="00E12F7D"/>
    <w:rsid w:val="00E14D25"/>
    <w:rsid w:val="00E14E72"/>
    <w:rsid w:val="00E15DD2"/>
    <w:rsid w:val="00E16680"/>
    <w:rsid w:val="00E178EF"/>
    <w:rsid w:val="00E20122"/>
    <w:rsid w:val="00E20A67"/>
    <w:rsid w:val="00E217EF"/>
    <w:rsid w:val="00E23EE4"/>
    <w:rsid w:val="00E32DE7"/>
    <w:rsid w:val="00E356A4"/>
    <w:rsid w:val="00E416B9"/>
    <w:rsid w:val="00E43A28"/>
    <w:rsid w:val="00E47832"/>
    <w:rsid w:val="00E50C2B"/>
    <w:rsid w:val="00E5171E"/>
    <w:rsid w:val="00E5517C"/>
    <w:rsid w:val="00E60FF6"/>
    <w:rsid w:val="00E62443"/>
    <w:rsid w:val="00E645EF"/>
    <w:rsid w:val="00E73A8E"/>
    <w:rsid w:val="00E822A7"/>
    <w:rsid w:val="00E841B1"/>
    <w:rsid w:val="00E90EEB"/>
    <w:rsid w:val="00E97110"/>
    <w:rsid w:val="00E97E7E"/>
    <w:rsid w:val="00EA01C4"/>
    <w:rsid w:val="00EA0D54"/>
    <w:rsid w:val="00EA4C66"/>
    <w:rsid w:val="00EA4D89"/>
    <w:rsid w:val="00EA52A9"/>
    <w:rsid w:val="00EA74A9"/>
    <w:rsid w:val="00EA7870"/>
    <w:rsid w:val="00EB0004"/>
    <w:rsid w:val="00EB3F75"/>
    <w:rsid w:val="00EB7331"/>
    <w:rsid w:val="00EB7E1D"/>
    <w:rsid w:val="00EB7F4F"/>
    <w:rsid w:val="00EC0AB4"/>
    <w:rsid w:val="00EC1334"/>
    <w:rsid w:val="00EC1BF8"/>
    <w:rsid w:val="00EC57BA"/>
    <w:rsid w:val="00EC6840"/>
    <w:rsid w:val="00EC7E5D"/>
    <w:rsid w:val="00ED105C"/>
    <w:rsid w:val="00ED327E"/>
    <w:rsid w:val="00ED387C"/>
    <w:rsid w:val="00ED38F1"/>
    <w:rsid w:val="00ED4C2E"/>
    <w:rsid w:val="00EE5710"/>
    <w:rsid w:val="00EE666E"/>
    <w:rsid w:val="00EF0386"/>
    <w:rsid w:val="00EF2A01"/>
    <w:rsid w:val="00EF4D68"/>
    <w:rsid w:val="00EF648E"/>
    <w:rsid w:val="00EF7BDF"/>
    <w:rsid w:val="00F00485"/>
    <w:rsid w:val="00F01411"/>
    <w:rsid w:val="00F0279A"/>
    <w:rsid w:val="00F031C2"/>
    <w:rsid w:val="00F03396"/>
    <w:rsid w:val="00F072B4"/>
    <w:rsid w:val="00F10681"/>
    <w:rsid w:val="00F10EE4"/>
    <w:rsid w:val="00F12DAA"/>
    <w:rsid w:val="00F13D1F"/>
    <w:rsid w:val="00F15A8E"/>
    <w:rsid w:val="00F15DA5"/>
    <w:rsid w:val="00F2035D"/>
    <w:rsid w:val="00F20B18"/>
    <w:rsid w:val="00F2138B"/>
    <w:rsid w:val="00F2701C"/>
    <w:rsid w:val="00F27A8B"/>
    <w:rsid w:val="00F27D2B"/>
    <w:rsid w:val="00F322BE"/>
    <w:rsid w:val="00F326B2"/>
    <w:rsid w:val="00F33FB7"/>
    <w:rsid w:val="00F340D4"/>
    <w:rsid w:val="00F343E0"/>
    <w:rsid w:val="00F3464D"/>
    <w:rsid w:val="00F354D8"/>
    <w:rsid w:val="00F361A7"/>
    <w:rsid w:val="00F42032"/>
    <w:rsid w:val="00F43EB6"/>
    <w:rsid w:val="00F44194"/>
    <w:rsid w:val="00F54FEB"/>
    <w:rsid w:val="00F56422"/>
    <w:rsid w:val="00F60EEA"/>
    <w:rsid w:val="00F61A56"/>
    <w:rsid w:val="00F634DA"/>
    <w:rsid w:val="00F64DA8"/>
    <w:rsid w:val="00F65F05"/>
    <w:rsid w:val="00F71479"/>
    <w:rsid w:val="00F741E8"/>
    <w:rsid w:val="00F77AA6"/>
    <w:rsid w:val="00F842B1"/>
    <w:rsid w:val="00F849E8"/>
    <w:rsid w:val="00F909D0"/>
    <w:rsid w:val="00F910B5"/>
    <w:rsid w:val="00F92992"/>
    <w:rsid w:val="00F9494A"/>
    <w:rsid w:val="00F94E9C"/>
    <w:rsid w:val="00F9782E"/>
    <w:rsid w:val="00F97945"/>
    <w:rsid w:val="00FA0D2B"/>
    <w:rsid w:val="00FA241A"/>
    <w:rsid w:val="00FA3F02"/>
    <w:rsid w:val="00FA444F"/>
    <w:rsid w:val="00FA52A8"/>
    <w:rsid w:val="00FA74B3"/>
    <w:rsid w:val="00FB0F75"/>
    <w:rsid w:val="00FC2E7C"/>
    <w:rsid w:val="00FD0A74"/>
    <w:rsid w:val="00FD4272"/>
    <w:rsid w:val="00FD6341"/>
    <w:rsid w:val="00FD6DAB"/>
    <w:rsid w:val="00FE006A"/>
    <w:rsid w:val="00FE2AAA"/>
    <w:rsid w:val="00FE5B48"/>
    <w:rsid w:val="00FE617B"/>
    <w:rsid w:val="00FF0D1A"/>
    <w:rsid w:val="00FF1E79"/>
    <w:rsid w:val="00FF3636"/>
    <w:rsid w:val="00FF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A85E3C"/>
  <w15:docId w15:val="{A5D0DE63-87ED-47BC-9BD6-35ACBB9D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8DB"/>
    <w:rPr>
      <w:rFonts w:ascii="Times New Roman" w:eastAsia="Times New Roman" w:hAnsi="Times New Roman"/>
      <w:sz w:val="24"/>
      <w:szCs w:val="24"/>
      <w:lang w:eastAsia="en-GB"/>
    </w:rPr>
  </w:style>
  <w:style w:type="paragraph" w:styleId="Heading1">
    <w:name w:val="heading 1"/>
    <w:basedOn w:val="Normal"/>
    <w:next w:val="BodyText"/>
    <w:link w:val="Heading1Char"/>
    <w:uiPriority w:val="9"/>
    <w:qFormat/>
    <w:rsid w:val="006F17A6"/>
    <w:pPr>
      <w:keepNext/>
      <w:spacing w:before="200" w:after="200"/>
      <w:jc w:val="center"/>
      <w:outlineLvl w:val="0"/>
    </w:pPr>
    <w:rPr>
      <w:rFonts w:cs="Arial"/>
      <w:b/>
      <w:bCs/>
      <w:caps/>
      <w:kern w:val="32"/>
      <w:sz w:val="20"/>
      <w:szCs w:val="32"/>
    </w:rPr>
  </w:style>
  <w:style w:type="paragraph" w:styleId="Heading2">
    <w:name w:val="heading 2"/>
    <w:basedOn w:val="Normal"/>
    <w:next w:val="BodyText"/>
    <w:link w:val="Heading2Char"/>
    <w:uiPriority w:val="9"/>
    <w:qFormat/>
    <w:rsid w:val="006F17A6"/>
    <w:pPr>
      <w:keepNext/>
      <w:spacing w:before="200" w:after="200"/>
      <w:outlineLvl w:val="1"/>
    </w:pPr>
    <w:rPr>
      <w:rFonts w:cs="Arial"/>
      <w:b/>
      <w:bCs/>
      <w:iCs/>
      <w:sz w:val="20"/>
      <w:szCs w:val="28"/>
    </w:rPr>
  </w:style>
  <w:style w:type="paragraph" w:styleId="Heading3">
    <w:name w:val="heading 3"/>
    <w:basedOn w:val="Normal"/>
    <w:next w:val="BodyText"/>
    <w:link w:val="Heading3Char"/>
    <w:qFormat/>
    <w:rsid w:val="003A0086"/>
    <w:pPr>
      <w:keepNext/>
      <w:spacing w:before="240" w:after="60"/>
      <w:outlineLvl w:val="2"/>
    </w:pPr>
    <w:rPr>
      <w:rFonts w:cs="Arial"/>
      <w:bCs/>
      <w:i/>
      <w:szCs w:val="26"/>
    </w:rPr>
  </w:style>
  <w:style w:type="paragraph" w:styleId="Heading4">
    <w:name w:val="heading 4"/>
    <w:basedOn w:val="Normal"/>
    <w:next w:val="BodyText"/>
    <w:link w:val="Heading4Char"/>
    <w:qFormat/>
    <w:rsid w:val="003A0086"/>
    <w:pPr>
      <w:keepNext/>
      <w:spacing w:before="240" w:after="60"/>
      <w:outlineLvl w:val="3"/>
    </w:pPr>
    <w:rPr>
      <w:bCs/>
      <w:i/>
      <w:szCs w:val="28"/>
    </w:rPr>
  </w:style>
  <w:style w:type="paragraph" w:styleId="Heading5">
    <w:name w:val="heading 5"/>
    <w:basedOn w:val="Heading3"/>
    <w:next w:val="Normal"/>
    <w:link w:val="Heading5Char"/>
    <w:autoRedefine/>
    <w:uiPriority w:val="9"/>
    <w:unhideWhenUsed/>
    <w:qFormat/>
    <w:rsid w:val="00B71AF7"/>
    <w:pPr>
      <w:spacing w:before="120" w:after="0"/>
      <w:outlineLvl w:val="4"/>
    </w:pPr>
  </w:style>
  <w:style w:type="paragraph" w:styleId="Heading6">
    <w:name w:val="heading 6"/>
    <w:basedOn w:val="Normal"/>
    <w:next w:val="Normal"/>
    <w:link w:val="Heading6Char"/>
    <w:rsid w:val="003938DB"/>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F03396"/>
    <w:pPr>
      <w:ind w:left="1080" w:right="1080"/>
      <w:jc w:val="both"/>
    </w:pPr>
    <w:rPr>
      <w:sz w:val="20"/>
    </w:rPr>
  </w:style>
  <w:style w:type="paragraph" w:customStyle="1" w:styleId="Acknowledgements">
    <w:name w:val="Acknowledgements"/>
    <w:basedOn w:val="Normal"/>
    <w:next w:val="Normal"/>
    <w:qFormat/>
    <w:rsid w:val="003A0086"/>
    <w:rPr>
      <w:sz w:val="20"/>
    </w:rPr>
  </w:style>
  <w:style w:type="paragraph" w:customStyle="1" w:styleId="Affiliation">
    <w:name w:val="Affiliation"/>
    <w:basedOn w:val="Normal"/>
    <w:next w:val="Normal"/>
    <w:rsid w:val="00F03396"/>
    <w:pPr>
      <w:jc w:val="center"/>
    </w:pPr>
    <w:rPr>
      <w:i/>
    </w:rPr>
  </w:style>
  <w:style w:type="paragraph" w:customStyle="1" w:styleId="Articletitle">
    <w:name w:val="Article title"/>
    <w:basedOn w:val="Normal"/>
    <w:next w:val="Normal"/>
    <w:rsid w:val="003A0086"/>
    <w:rPr>
      <w:b/>
      <w:sz w:val="28"/>
    </w:rPr>
  </w:style>
  <w:style w:type="paragraph" w:styleId="BalloonText">
    <w:name w:val="Balloon Text"/>
    <w:basedOn w:val="Normal"/>
    <w:link w:val="BalloonTextChar"/>
    <w:uiPriority w:val="99"/>
    <w:semiHidden/>
    <w:unhideWhenUsed/>
    <w:rsid w:val="003A0086"/>
    <w:rPr>
      <w:rFonts w:ascii="Tahoma" w:hAnsi="Tahoma" w:cs="Tahoma"/>
      <w:sz w:val="16"/>
      <w:szCs w:val="16"/>
    </w:rPr>
  </w:style>
  <w:style w:type="character" w:customStyle="1" w:styleId="BalloonTextChar">
    <w:name w:val="Balloon Text Char"/>
    <w:link w:val="BalloonText"/>
    <w:uiPriority w:val="99"/>
    <w:semiHidden/>
    <w:rsid w:val="003A0086"/>
    <w:rPr>
      <w:rFonts w:ascii="Tahoma" w:eastAsia="Times New Roman" w:hAnsi="Tahoma" w:cs="Tahoma"/>
      <w:sz w:val="16"/>
      <w:szCs w:val="16"/>
      <w:lang w:val="en-GB" w:eastAsia="en-GB"/>
    </w:rPr>
  </w:style>
  <w:style w:type="character" w:customStyle="1" w:styleId="Heading1Char">
    <w:name w:val="Heading 1 Char"/>
    <w:link w:val="Heading1"/>
    <w:uiPriority w:val="9"/>
    <w:rsid w:val="006F17A6"/>
    <w:rPr>
      <w:rFonts w:ascii="Times New Roman" w:eastAsia="Times New Roman" w:hAnsi="Times New Roman" w:cs="Arial"/>
      <w:b/>
      <w:bCs/>
      <w:caps/>
      <w:kern w:val="32"/>
      <w:sz w:val="20"/>
      <w:szCs w:val="32"/>
      <w:lang w:val="en-GB" w:eastAsia="en-GB"/>
    </w:rPr>
  </w:style>
  <w:style w:type="paragraph" w:customStyle="1" w:styleId="Authornames">
    <w:name w:val="Author names"/>
    <w:basedOn w:val="Normal"/>
    <w:next w:val="Normal"/>
    <w:rsid w:val="00891506"/>
    <w:pPr>
      <w:jc w:val="center"/>
    </w:pPr>
  </w:style>
  <w:style w:type="paragraph" w:customStyle="1" w:styleId="Bulletedlists">
    <w:name w:val="Bulleted lists"/>
    <w:basedOn w:val="Normal"/>
    <w:qFormat/>
    <w:rsid w:val="003A0086"/>
    <w:pPr>
      <w:numPr>
        <w:numId w:val="14"/>
      </w:numPr>
    </w:pPr>
  </w:style>
  <w:style w:type="paragraph" w:customStyle="1" w:styleId="Correspondencedetails">
    <w:name w:val="Correspondence details"/>
    <w:basedOn w:val="Normal"/>
    <w:next w:val="Normal"/>
    <w:rsid w:val="003A0086"/>
  </w:style>
  <w:style w:type="paragraph" w:customStyle="1" w:styleId="Displayedquotations">
    <w:name w:val="Displayed quotations"/>
    <w:basedOn w:val="Normal"/>
    <w:next w:val="Normal"/>
    <w:qFormat/>
    <w:rsid w:val="003A0086"/>
    <w:pPr>
      <w:ind w:left="567" w:right="567"/>
    </w:pPr>
    <w:rPr>
      <w:sz w:val="20"/>
    </w:rPr>
  </w:style>
  <w:style w:type="paragraph" w:customStyle="1" w:styleId="Equations">
    <w:name w:val="Equations"/>
    <w:basedOn w:val="Normal"/>
    <w:next w:val="Normal"/>
    <w:qFormat/>
    <w:rsid w:val="003A0086"/>
    <w:pPr>
      <w:jc w:val="center"/>
    </w:pPr>
  </w:style>
  <w:style w:type="paragraph" w:customStyle="1" w:styleId="Figurelegend">
    <w:name w:val="Figure legend"/>
    <w:basedOn w:val="Normal"/>
    <w:next w:val="Normal"/>
    <w:qFormat/>
    <w:rsid w:val="003A0086"/>
  </w:style>
  <w:style w:type="paragraph" w:customStyle="1" w:styleId="Firstparagraphstyle">
    <w:name w:val="First paragraph style"/>
    <w:basedOn w:val="Normal"/>
    <w:next w:val="Follow-onparagraphstyle"/>
    <w:uiPriority w:val="99"/>
    <w:rsid w:val="00FF0D1A"/>
  </w:style>
  <w:style w:type="character" w:customStyle="1" w:styleId="Heading2Char">
    <w:name w:val="Heading 2 Char"/>
    <w:link w:val="Heading2"/>
    <w:uiPriority w:val="9"/>
    <w:rsid w:val="006F17A6"/>
    <w:rPr>
      <w:rFonts w:ascii="Times New Roman" w:eastAsia="Times New Roman" w:hAnsi="Times New Roman" w:cs="Arial"/>
      <w:b/>
      <w:bCs/>
      <w:iCs/>
      <w:sz w:val="20"/>
      <w:szCs w:val="28"/>
      <w:lang w:val="en-GB" w:eastAsia="en-GB"/>
    </w:rPr>
  </w:style>
  <w:style w:type="paragraph" w:customStyle="1" w:styleId="Follow-onparagraphstyle">
    <w:name w:val="Follow-on paragraph style"/>
    <w:basedOn w:val="Normal"/>
    <w:rsid w:val="00FF0D1A"/>
    <w:pPr>
      <w:ind w:firstLine="720"/>
    </w:pPr>
  </w:style>
  <w:style w:type="paragraph" w:customStyle="1" w:styleId="Footnotes">
    <w:name w:val="Footnotes"/>
    <w:basedOn w:val="Normal"/>
    <w:next w:val="Normal"/>
    <w:rsid w:val="009C546B"/>
    <w:pPr>
      <w:ind w:left="720" w:hanging="720"/>
      <w:jc w:val="right"/>
    </w:pPr>
    <w:rPr>
      <w:i/>
      <w:sz w:val="20"/>
    </w:rPr>
  </w:style>
  <w:style w:type="paragraph" w:customStyle="1" w:styleId="Keywords">
    <w:name w:val="Keywords"/>
    <w:basedOn w:val="Normal"/>
    <w:next w:val="Normal"/>
    <w:rsid w:val="003A0086"/>
    <w:pPr>
      <w:ind w:left="567"/>
    </w:pPr>
    <w:rPr>
      <w:sz w:val="20"/>
    </w:rPr>
  </w:style>
  <w:style w:type="paragraph" w:styleId="NormalIndent">
    <w:name w:val="Normal Indent"/>
    <w:basedOn w:val="Normal"/>
    <w:rsid w:val="003A0086"/>
    <w:pPr>
      <w:ind w:left="720"/>
    </w:pPr>
  </w:style>
  <w:style w:type="character" w:customStyle="1" w:styleId="Heading3Char">
    <w:name w:val="Heading 3 Char"/>
    <w:link w:val="Heading3"/>
    <w:rsid w:val="00153E44"/>
    <w:rPr>
      <w:rFonts w:ascii="Times New Roman" w:eastAsia="Times New Roman" w:hAnsi="Times New Roman" w:cs="Arial"/>
      <w:bCs/>
      <w:i/>
      <w:sz w:val="24"/>
      <w:szCs w:val="26"/>
      <w:lang w:val="en-GB" w:eastAsia="en-GB"/>
    </w:rPr>
  </w:style>
  <w:style w:type="paragraph" w:customStyle="1" w:styleId="Normalparagraphstyle">
    <w:name w:val="Normal paragraph style"/>
    <w:basedOn w:val="Normal"/>
    <w:next w:val="Normal"/>
    <w:rsid w:val="003A0086"/>
    <w:pPr>
      <w:spacing w:line="480" w:lineRule="auto"/>
    </w:pPr>
  </w:style>
  <w:style w:type="paragraph" w:customStyle="1" w:styleId="Notesoncontributors">
    <w:name w:val="Notes on contributors"/>
    <w:basedOn w:val="Normal"/>
    <w:next w:val="Normal"/>
    <w:rsid w:val="003A0086"/>
    <w:rPr>
      <w:sz w:val="20"/>
    </w:rPr>
  </w:style>
  <w:style w:type="paragraph" w:customStyle="1" w:styleId="Numberedlists">
    <w:name w:val="Numbered lists"/>
    <w:basedOn w:val="Normal"/>
    <w:qFormat/>
    <w:rsid w:val="003A0086"/>
    <w:pPr>
      <w:numPr>
        <w:numId w:val="15"/>
      </w:numPr>
    </w:pPr>
  </w:style>
  <w:style w:type="paragraph" w:customStyle="1" w:styleId="Receiveddates">
    <w:name w:val="Received dates"/>
    <w:basedOn w:val="Normal"/>
    <w:next w:val="Normal"/>
    <w:rsid w:val="003A0086"/>
    <w:rPr>
      <w:i/>
    </w:rPr>
  </w:style>
  <w:style w:type="paragraph" w:customStyle="1" w:styleId="References">
    <w:name w:val="References"/>
    <w:basedOn w:val="Normal"/>
    <w:next w:val="Normal"/>
    <w:qFormat/>
    <w:rsid w:val="00B91A03"/>
    <w:pPr>
      <w:ind w:left="360" w:hanging="360"/>
      <w:jc w:val="both"/>
    </w:pPr>
    <w:rPr>
      <w:sz w:val="20"/>
    </w:rPr>
  </w:style>
  <w:style w:type="paragraph" w:customStyle="1" w:styleId="Tabletitle">
    <w:name w:val="Table title"/>
    <w:basedOn w:val="Normal"/>
    <w:next w:val="Normal"/>
    <w:qFormat/>
    <w:rsid w:val="003A0086"/>
  </w:style>
  <w:style w:type="paragraph" w:styleId="Title">
    <w:name w:val="Title"/>
    <w:basedOn w:val="Articletitle"/>
    <w:next w:val="Normal"/>
    <w:link w:val="TitleChar"/>
    <w:uiPriority w:val="10"/>
    <w:qFormat/>
    <w:rsid w:val="00645B12"/>
    <w:pPr>
      <w:suppressAutoHyphens/>
      <w:jc w:val="center"/>
    </w:pPr>
  </w:style>
  <w:style w:type="character" w:customStyle="1" w:styleId="TitleChar">
    <w:name w:val="Title Char"/>
    <w:link w:val="Title"/>
    <w:uiPriority w:val="10"/>
    <w:rsid w:val="00645B12"/>
    <w:rPr>
      <w:rFonts w:ascii="Times New Roman" w:eastAsia="Times New Roman" w:hAnsi="Times New Roman" w:cs="Times New Roman"/>
      <w:b/>
      <w:sz w:val="28"/>
      <w:szCs w:val="24"/>
      <w:lang w:val="en-GB" w:eastAsia="en-GB"/>
    </w:rPr>
  </w:style>
  <w:style w:type="paragraph" w:styleId="Revision">
    <w:name w:val="Revision"/>
    <w:hidden/>
    <w:uiPriority w:val="99"/>
    <w:semiHidden/>
    <w:rsid w:val="00625FB9"/>
    <w:rPr>
      <w:rFonts w:ascii="Times New Roman" w:hAnsi="Times New Roman"/>
      <w:sz w:val="24"/>
      <w:szCs w:val="22"/>
    </w:rPr>
  </w:style>
  <w:style w:type="character" w:customStyle="1" w:styleId="Heading4Char">
    <w:name w:val="Heading 4 Char"/>
    <w:link w:val="Heading4"/>
    <w:rsid w:val="00BD4001"/>
    <w:rPr>
      <w:rFonts w:ascii="Times New Roman" w:eastAsia="Times New Roman" w:hAnsi="Times New Roman" w:cs="Times New Roman"/>
      <w:bCs/>
      <w:i/>
      <w:sz w:val="24"/>
      <w:szCs w:val="28"/>
      <w:lang w:val="en-GB" w:eastAsia="en-GB"/>
    </w:rPr>
  </w:style>
  <w:style w:type="character" w:customStyle="1" w:styleId="Heading5Char">
    <w:name w:val="Heading 5 Char"/>
    <w:link w:val="Heading5"/>
    <w:uiPriority w:val="9"/>
    <w:rsid w:val="00B71AF7"/>
    <w:rPr>
      <w:rFonts w:ascii="Times New Roman" w:hAnsi="Times New Roman"/>
      <w:b/>
      <w:sz w:val="24"/>
      <w:szCs w:val="24"/>
    </w:rPr>
  </w:style>
  <w:style w:type="paragraph" w:styleId="Bibliography">
    <w:name w:val="Bibliography"/>
    <w:basedOn w:val="References"/>
    <w:next w:val="Normal"/>
    <w:uiPriority w:val="37"/>
    <w:unhideWhenUsed/>
    <w:qFormat/>
    <w:rsid w:val="00B10A23"/>
    <w:rPr>
      <w:noProof/>
    </w:rPr>
  </w:style>
  <w:style w:type="table" w:styleId="TableGrid">
    <w:name w:val="Table Grid"/>
    <w:basedOn w:val="TableNormal"/>
    <w:uiPriority w:val="59"/>
    <w:rsid w:val="00D807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Follow-onparagraphstyle"/>
    <w:next w:val="Normal"/>
    <w:uiPriority w:val="99"/>
    <w:unhideWhenUsed/>
    <w:qFormat/>
    <w:rsid w:val="00F326B2"/>
    <w:pPr>
      <w:ind w:firstLine="0"/>
    </w:pPr>
    <w:rPr>
      <w:sz w:val="20"/>
    </w:rPr>
  </w:style>
  <w:style w:type="paragraph" w:styleId="ListParagraph">
    <w:name w:val="List Paragraph"/>
    <w:basedOn w:val="Normal"/>
    <w:uiPriority w:val="34"/>
    <w:qFormat/>
    <w:rsid w:val="00340F77"/>
    <w:pPr>
      <w:ind w:left="720"/>
      <w:contextualSpacing/>
    </w:pPr>
  </w:style>
  <w:style w:type="character" w:styleId="CommentReference">
    <w:name w:val="annotation reference"/>
    <w:uiPriority w:val="99"/>
    <w:semiHidden/>
    <w:unhideWhenUsed/>
    <w:rsid w:val="005505B6"/>
    <w:rPr>
      <w:sz w:val="18"/>
      <w:szCs w:val="18"/>
    </w:rPr>
  </w:style>
  <w:style w:type="paragraph" w:styleId="CommentText">
    <w:name w:val="annotation text"/>
    <w:basedOn w:val="Normal"/>
    <w:link w:val="CommentTextChar"/>
    <w:uiPriority w:val="99"/>
    <w:unhideWhenUsed/>
    <w:rsid w:val="005505B6"/>
  </w:style>
  <w:style w:type="character" w:customStyle="1" w:styleId="CommentTextChar">
    <w:name w:val="Comment Text Char"/>
    <w:link w:val="CommentText"/>
    <w:uiPriority w:val="99"/>
    <w:rsid w:val="005505B6"/>
    <w:rPr>
      <w:rFonts w:ascii="Times New Roman" w:eastAsia="Times New Roman" w:hAnsi="Times New Roman" w:cs="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5505B6"/>
    <w:rPr>
      <w:b/>
      <w:bCs/>
      <w:sz w:val="20"/>
      <w:szCs w:val="20"/>
    </w:rPr>
  </w:style>
  <w:style w:type="character" w:customStyle="1" w:styleId="CommentSubjectChar">
    <w:name w:val="Comment Subject Char"/>
    <w:link w:val="CommentSubject"/>
    <w:uiPriority w:val="99"/>
    <w:semiHidden/>
    <w:rsid w:val="005505B6"/>
    <w:rPr>
      <w:rFonts w:ascii="Times New Roman" w:eastAsia="Times New Roman" w:hAnsi="Times New Roman" w:cs="Times New Roman"/>
      <w:b/>
      <w:bCs/>
      <w:sz w:val="20"/>
      <w:szCs w:val="20"/>
      <w:lang w:val="en-GB" w:eastAsia="en-GB"/>
    </w:rPr>
  </w:style>
  <w:style w:type="paragraph" w:styleId="Header">
    <w:name w:val="header"/>
    <w:basedOn w:val="Footnotes"/>
    <w:link w:val="HeaderChar"/>
    <w:uiPriority w:val="99"/>
    <w:rsid w:val="009C546B"/>
    <w:rPr>
      <w:i w:val="0"/>
    </w:rPr>
  </w:style>
  <w:style w:type="character" w:customStyle="1" w:styleId="HeaderChar">
    <w:name w:val="Header Char"/>
    <w:link w:val="Header"/>
    <w:uiPriority w:val="99"/>
    <w:rsid w:val="009C546B"/>
    <w:rPr>
      <w:rFonts w:ascii="Times New Roman" w:eastAsia="Times New Roman" w:hAnsi="Times New Roman" w:cs="Times New Roman"/>
      <w:i/>
      <w:sz w:val="20"/>
      <w:szCs w:val="24"/>
      <w:lang w:eastAsia="en-GB"/>
    </w:rPr>
  </w:style>
  <w:style w:type="paragraph" w:styleId="Footer">
    <w:name w:val="footer"/>
    <w:basedOn w:val="Normal"/>
    <w:link w:val="FooterChar"/>
    <w:uiPriority w:val="99"/>
    <w:rsid w:val="00A31530"/>
    <w:pPr>
      <w:tabs>
        <w:tab w:val="center" w:pos="4680"/>
        <w:tab w:val="right" w:pos="9360"/>
      </w:tabs>
    </w:pPr>
  </w:style>
  <w:style w:type="character" w:customStyle="1" w:styleId="FooterChar">
    <w:name w:val="Footer Char"/>
    <w:link w:val="Footer"/>
    <w:uiPriority w:val="99"/>
    <w:rsid w:val="00A31530"/>
    <w:rPr>
      <w:rFonts w:ascii="Times New Roman" w:eastAsia="Times New Roman" w:hAnsi="Times New Roman" w:cs="Times New Roman"/>
      <w:sz w:val="24"/>
      <w:szCs w:val="24"/>
      <w:lang w:val="en-GB" w:eastAsia="en-GB"/>
    </w:rPr>
  </w:style>
  <w:style w:type="paragraph" w:styleId="BodyText">
    <w:name w:val="Body Text"/>
    <w:basedOn w:val="Normal"/>
    <w:link w:val="BodyTextChar"/>
    <w:rsid w:val="00B91A03"/>
    <w:pPr>
      <w:ind w:firstLine="360"/>
      <w:jc w:val="both"/>
    </w:pPr>
    <w:rPr>
      <w:sz w:val="20"/>
    </w:rPr>
  </w:style>
  <w:style w:type="character" w:customStyle="1" w:styleId="BodyTextChar">
    <w:name w:val="Body Text Char"/>
    <w:link w:val="BodyText"/>
    <w:rsid w:val="00B91A03"/>
    <w:rPr>
      <w:rFonts w:ascii="Times New Roman" w:eastAsia="Times New Roman" w:hAnsi="Times New Roman" w:cs="Times New Roman"/>
      <w:sz w:val="20"/>
      <w:szCs w:val="24"/>
      <w:lang w:val="en-GB" w:eastAsia="en-GB"/>
    </w:rPr>
  </w:style>
  <w:style w:type="paragraph" w:styleId="NoSpacing">
    <w:name w:val="No Spacing"/>
    <w:rsid w:val="00626675"/>
    <w:rPr>
      <w:rFonts w:ascii="Times New Roman" w:eastAsia="Times New Roman" w:hAnsi="Times New Roman"/>
      <w:sz w:val="24"/>
      <w:szCs w:val="24"/>
      <w:lang w:val="en-GB" w:eastAsia="en-GB"/>
    </w:rPr>
  </w:style>
  <w:style w:type="paragraph" w:customStyle="1" w:styleId="TablesandFigurestext">
    <w:name w:val="Tables and Figures text"/>
    <w:basedOn w:val="NoSpacing"/>
    <w:qFormat/>
    <w:rsid w:val="00626675"/>
    <w:rPr>
      <w:sz w:val="16"/>
    </w:rPr>
  </w:style>
  <w:style w:type="character" w:styleId="PlaceholderText">
    <w:name w:val="Placeholder Text"/>
    <w:uiPriority w:val="99"/>
    <w:rsid w:val="00B91A03"/>
    <w:rPr>
      <w:color w:val="808080"/>
    </w:rPr>
  </w:style>
  <w:style w:type="paragraph" w:customStyle="1" w:styleId="Tablestyle">
    <w:name w:val="Table style"/>
    <w:basedOn w:val="Normal"/>
    <w:link w:val="TablestyleChar"/>
    <w:uiPriority w:val="99"/>
    <w:rsid w:val="00AB5445"/>
    <w:pPr>
      <w:overflowPunct w:val="0"/>
      <w:autoSpaceDE w:val="0"/>
      <w:autoSpaceDN w:val="0"/>
      <w:textAlignment w:val="baseline"/>
    </w:pPr>
    <w:rPr>
      <w:rFonts w:eastAsia="SimSun"/>
      <w:sz w:val="20"/>
      <w:szCs w:val="20"/>
      <w:lang w:eastAsia="en-US"/>
    </w:rPr>
  </w:style>
  <w:style w:type="character" w:customStyle="1" w:styleId="TablestyleChar">
    <w:name w:val="Table style Char"/>
    <w:link w:val="Tablestyle"/>
    <w:uiPriority w:val="99"/>
    <w:locked/>
    <w:rsid w:val="00AB5445"/>
    <w:rPr>
      <w:rFonts w:ascii="Times New Roman" w:eastAsia="SimSun" w:hAnsi="Times New Roman" w:cs="Times New Roman"/>
      <w:sz w:val="20"/>
      <w:szCs w:val="20"/>
    </w:rPr>
  </w:style>
  <w:style w:type="character" w:customStyle="1" w:styleId="apple-style-span">
    <w:name w:val="apple-style-span"/>
    <w:basedOn w:val="DefaultParagraphFont"/>
    <w:rsid w:val="00217882"/>
  </w:style>
  <w:style w:type="paragraph" w:styleId="Quote">
    <w:name w:val="Quote"/>
    <w:basedOn w:val="BodyText"/>
    <w:next w:val="Normal"/>
    <w:link w:val="QuoteChar"/>
    <w:uiPriority w:val="29"/>
    <w:qFormat/>
    <w:rsid w:val="003E6A0F"/>
    <w:pPr>
      <w:ind w:firstLine="0"/>
    </w:pPr>
  </w:style>
  <w:style w:type="character" w:customStyle="1" w:styleId="QuoteChar">
    <w:name w:val="Quote Char"/>
    <w:link w:val="Quote"/>
    <w:uiPriority w:val="29"/>
    <w:rsid w:val="003E6A0F"/>
    <w:rPr>
      <w:rFonts w:ascii="Times New Roman" w:eastAsia="Times New Roman" w:hAnsi="Times New Roman" w:cs="Times New Roman"/>
      <w:sz w:val="20"/>
      <w:szCs w:val="24"/>
      <w:lang w:val="en-GB" w:eastAsia="en-GB"/>
    </w:rPr>
  </w:style>
  <w:style w:type="character" w:customStyle="1" w:styleId="Heading6Char">
    <w:name w:val="Heading 6 Char"/>
    <w:link w:val="Heading6"/>
    <w:rsid w:val="003938DB"/>
    <w:rPr>
      <w:rFonts w:ascii="Cambria" w:eastAsia="Times New Roman" w:hAnsi="Cambria" w:cs="Times New Roman"/>
      <w:i/>
      <w:iCs/>
      <w:color w:val="243F60"/>
      <w:sz w:val="24"/>
      <w:szCs w:val="24"/>
      <w:lang w:val="en-GB" w:eastAsia="en-GB"/>
    </w:rPr>
  </w:style>
  <w:style w:type="paragraph" w:customStyle="1" w:styleId="Heading1nospacingbefore">
    <w:name w:val="Heading 1 no spacing before"/>
    <w:basedOn w:val="Heading1"/>
    <w:rsid w:val="00054E4B"/>
    <w:pPr>
      <w:spacing w:before="0"/>
    </w:pPr>
    <w:rPr>
      <w:szCs w:val="20"/>
    </w:rPr>
  </w:style>
  <w:style w:type="paragraph" w:styleId="DocumentMap">
    <w:name w:val="Document Map"/>
    <w:basedOn w:val="Normal"/>
    <w:link w:val="DocumentMapChar"/>
    <w:rsid w:val="00081C75"/>
    <w:rPr>
      <w:rFonts w:ascii="Tahoma" w:hAnsi="Tahoma" w:cs="Tahoma"/>
      <w:sz w:val="16"/>
      <w:szCs w:val="16"/>
    </w:rPr>
  </w:style>
  <w:style w:type="character" w:customStyle="1" w:styleId="DocumentMapChar">
    <w:name w:val="Document Map Char"/>
    <w:link w:val="DocumentMap"/>
    <w:rsid w:val="00081C75"/>
    <w:rPr>
      <w:rFonts w:ascii="Tahoma" w:eastAsia="Times New Roman" w:hAnsi="Tahoma" w:cs="Tahoma"/>
      <w:sz w:val="16"/>
      <w:szCs w:val="16"/>
      <w:lang w:eastAsia="en-GB"/>
    </w:rPr>
  </w:style>
  <w:style w:type="character" w:styleId="Hyperlink">
    <w:name w:val="Hyperlink"/>
    <w:uiPriority w:val="99"/>
    <w:unhideWhenUsed/>
    <w:rsid w:val="00B3169F"/>
    <w:rPr>
      <w:color w:val="0000FF"/>
      <w:u w:val="single"/>
    </w:rPr>
  </w:style>
  <w:style w:type="character" w:styleId="FollowedHyperlink">
    <w:name w:val="FollowedHyperlink"/>
    <w:basedOn w:val="DefaultParagraphFont"/>
    <w:semiHidden/>
    <w:unhideWhenUsed/>
    <w:rsid w:val="00FA0D2B"/>
    <w:rPr>
      <w:color w:val="954F72" w:themeColor="followedHyperlink"/>
      <w:u w:val="single"/>
    </w:rPr>
  </w:style>
  <w:style w:type="character" w:styleId="UnresolvedMention">
    <w:name w:val="Unresolved Mention"/>
    <w:basedOn w:val="DefaultParagraphFont"/>
    <w:uiPriority w:val="99"/>
    <w:semiHidden/>
    <w:unhideWhenUsed/>
    <w:rsid w:val="001916CA"/>
    <w:rPr>
      <w:color w:val="605E5C"/>
      <w:shd w:val="clear" w:color="auto" w:fill="E1DFDD"/>
    </w:rPr>
  </w:style>
  <w:style w:type="paragraph" w:styleId="NormalWeb">
    <w:name w:val="Normal (Web)"/>
    <w:basedOn w:val="Normal"/>
    <w:uiPriority w:val="99"/>
    <w:semiHidden/>
    <w:unhideWhenUsed/>
    <w:rsid w:val="00607147"/>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35">
      <w:bodyDiv w:val="1"/>
      <w:marLeft w:val="0"/>
      <w:marRight w:val="0"/>
      <w:marTop w:val="0"/>
      <w:marBottom w:val="0"/>
      <w:divBdr>
        <w:top w:val="none" w:sz="0" w:space="0" w:color="auto"/>
        <w:left w:val="none" w:sz="0" w:space="0" w:color="auto"/>
        <w:bottom w:val="none" w:sz="0" w:space="0" w:color="auto"/>
        <w:right w:val="none" w:sz="0" w:space="0" w:color="auto"/>
      </w:divBdr>
    </w:div>
    <w:div w:id="49040372">
      <w:bodyDiv w:val="1"/>
      <w:marLeft w:val="0"/>
      <w:marRight w:val="0"/>
      <w:marTop w:val="0"/>
      <w:marBottom w:val="0"/>
      <w:divBdr>
        <w:top w:val="none" w:sz="0" w:space="0" w:color="auto"/>
        <w:left w:val="none" w:sz="0" w:space="0" w:color="auto"/>
        <w:bottom w:val="none" w:sz="0" w:space="0" w:color="auto"/>
        <w:right w:val="none" w:sz="0" w:space="0" w:color="auto"/>
      </w:divBdr>
    </w:div>
    <w:div w:id="77018273">
      <w:bodyDiv w:val="1"/>
      <w:marLeft w:val="0"/>
      <w:marRight w:val="0"/>
      <w:marTop w:val="0"/>
      <w:marBottom w:val="0"/>
      <w:divBdr>
        <w:top w:val="none" w:sz="0" w:space="0" w:color="auto"/>
        <w:left w:val="none" w:sz="0" w:space="0" w:color="auto"/>
        <w:bottom w:val="none" w:sz="0" w:space="0" w:color="auto"/>
        <w:right w:val="none" w:sz="0" w:space="0" w:color="auto"/>
      </w:divBdr>
    </w:div>
    <w:div w:id="81878606">
      <w:bodyDiv w:val="1"/>
      <w:marLeft w:val="0"/>
      <w:marRight w:val="0"/>
      <w:marTop w:val="0"/>
      <w:marBottom w:val="0"/>
      <w:divBdr>
        <w:top w:val="none" w:sz="0" w:space="0" w:color="auto"/>
        <w:left w:val="none" w:sz="0" w:space="0" w:color="auto"/>
        <w:bottom w:val="none" w:sz="0" w:space="0" w:color="auto"/>
        <w:right w:val="none" w:sz="0" w:space="0" w:color="auto"/>
      </w:divBdr>
    </w:div>
    <w:div w:id="82189084">
      <w:bodyDiv w:val="1"/>
      <w:marLeft w:val="0"/>
      <w:marRight w:val="0"/>
      <w:marTop w:val="0"/>
      <w:marBottom w:val="0"/>
      <w:divBdr>
        <w:top w:val="none" w:sz="0" w:space="0" w:color="auto"/>
        <w:left w:val="none" w:sz="0" w:space="0" w:color="auto"/>
        <w:bottom w:val="none" w:sz="0" w:space="0" w:color="auto"/>
        <w:right w:val="none" w:sz="0" w:space="0" w:color="auto"/>
      </w:divBdr>
    </w:div>
    <w:div w:id="97064968">
      <w:bodyDiv w:val="1"/>
      <w:marLeft w:val="0"/>
      <w:marRight w:val="0"/>
      <w:marTop w:val="0"/>
      <w:marBottom w:val="0"/>
      <w:divBdr>
        <w:top w:val="none" w:sz="0" w:space="0" w:color="auto"/>
        <w:left w:val="none" w:sz="0" w:space="0" w:color="auto"/>
        <w:bottom w:val="none" w:sz="0" w:space="0" w:color="auto"/>
        <w:right w:val="none" w:sz="0" w:space="0" w:color="auto"/>
      </w:divBdr>
    </w:div>
    <w:div w:id="119424125">
      <w:bodyDiv w:val="1"/>
      <w:marLeft w:val="0"/>
      <w:marRight w:val="0"/>
      <w:marTop w:val="0"/>
      <w:marBottom w:val="0"/>
      <w:divBdr>
        <w:top w:val="none" w:sz="0" w:space="0" w:color="auto"/>
        <w:left w:val="none" w:sz="0" w:space="0" w:color="auto"/>
        <w:bottom w:val="none" w:sz="0" w:space="0" w:color="auto"/>
        <w:right w:val="none" w:sz="0" w:space="0" w:color="auto"/>
      </w:divBdr>
    </w:div>
    <w:div w:id="163906400">
      <w:bodyDiv w:val="1"/>
      <w:marLeft w:val="0"/>
      <w:marRight w:val="0"/>
      <w:marTop w:val="0"/>
      <w:marBottom w:val="0"/>
      <w:divBdr>
        <w:top w:val="none" w:sz="0" w:space="0" w:color="auto"/>
        <w:left w:val="none" w:sz="0" w:space="0" w:color="auto"/>
        <w:bottom w:val="none" w:sz="0" w:space="0" w:color="auto"/>
        <w:right w:val="none" w:sz="0" w:space="0" w:color="auto"/>
      </w:divBdr>
    </w:div>
    <w:div w:id="170265738">
      <w:bodyDiv w:val="1"/>
      <w:marLeft w:val="0"/>
      <w:marRight w:val="0"/>
      <w:marTop w:val="0"/>
      <w:marBottom w:val="0"/>
      <w:divBdr>
        <w:top w:val="none" w:sz="0" w:space="0" w:color="auto"/>
        <w:left w:val="none" w:sz="0" w:space="0" w:color="auto"/>
        <w:bottom w:val="none" w:sz="0" w:space="0" w:color="auto"/>
        <w:right w:val="none" w:sz="0" w:space="0" w:color="auto"/>
      </w:divBdr>
    </w:div>
    <w:div w:id="232743471">
      <w:bodyDiv w:val="1"/>
      <w:marLeft w:val="0"/>
      <w:marRight w:val="0"/>
      <w:marTop w:val="0"/>
      <w:marBottom w:val="0"/>
      <w:divBdr>
        <w:top w:val="none" w:sz="0" w:space="0" w:color="auto"/>
        <w:left w:val="none" w:sz="0" w:space="0" w:color="auto"/>
        <w:bottom w:val="none" w:sz="0" w:space="0" w:color="auto"/>
        <w:right w:val="none" w:sz="0" w:space="0" w:color="auto"/>
      </w:divBdr>
    </w:div>
    <w:div w:id="323170655">
      <w:bodyDiv w:val="1"/>
      <w:marLeft w:val="0"/>
      <w:marRight w:val="0"/>
      <w:marTop w:val="0"/>
      <w:marBottom w:val="0"/>
      <w:divBdr>
        <w:top w:val="none" w:sz="0" w:space="0" w:color="auto"/>
        <w:left w:val="none" w:sz="0" w:space="0" w:color="auto"/>
        <w:bottom w:val="none" w:sz="0" w:space="0" w:color="auto"/>
        <w:right w:val="none" w:sz="0" w:space="0" w:color="auto"/>
      </w:divBdr>
    </w:div>
    <w:div w:id="333841616">
      <w:bodyDiv w:val="1"/>
      <w:marLeft w:val="0"/>
      <w:marRight w:val="0"/>
      <w:marTop w:val="0"/>
      <w:marBottom w:val="0"/>
      <w:divBdr>
        <w:top w:val="none" w:sz="0" w:space="0" w:color="auto"/>
        <w:left w:val="none" w:sz="0" w:space="0" w:color="auto"/>
        <w:bottom w:val="none" w:sz="0" w:space="0" w:color="auto"/>
        <w:right w:val="none" w:sz="0" w:space="0" w:color="auto"/>
      </w:divBdr>
    </w:div>
    <w:div w:id="354774016">
      <w:bodyDiv w:val="1"/>
      <w:marLeft w:val="0"/>
      <w:marRight w:val="0"/>
      <w:marTop w:val="0"/>
      <w:marBottom w:val="0"/>
      <w:divBdr>
        <w:top w:val="none" w:sz="0" w:space="0" w:color="auto"/>
        <w:left w:val="none" w:sz="0" w:space="0" w:color="auto"/>
        <w:bottom w:val="none" w:sz="0" w:space="0" w:color="auto"/>
        <w:right w:val="none" w:sz="0" w:space="0" w:color="auto"/>
      </w:divBdr>
    </w:div>
    <w:div w:id="423915319">
      <w:bodyDiv w:val="1"/>
      <w:marLeft w:val="0"/>
      <w:marRight w:val="0"/>
      <w:marTop w:val="0"/>
      <w:marBottom w:val="0"/>
      <w:divBdr>
        <w:top w:val="none" w:sz="0" w:space="0" w:color="auto"/>
        <w:left w:val="none" w:sz="0" w:space="0" w:color="auto"/>
        <w:bottom w:val="none" w:sz="0" w:space="0" w:color="auto"/>
        <w:right w:val="none" w:sz="0" w:space="0" w:color="auto"/>
      </w:divBdr>
    </w:div>
    <w:div w:id="479690410">
      <w:bodyDiv w:val="1"/>
      <w:marLeft w:val="0"/>
      <w:marRight w:val="0"/>
      <w:marTop w:val="0"/>
      <w:marBottom w:val="0"/>
      <w:divBdr>
        <w:top w:val="none" w:sz="0" w:space="0" w:color="auto"/>
        <w:left w:val="none" w:sz="0" w:space="0" w:color="auto"/>
        <w:bottom w:val="none" w:sz="0" w:space="0" w:color="auto"/>
        <w:right w:val="none" w:sz="0" w:space="0" w:color="auto"/>
      </w:divBdr>
    </w:div>
    <w:div w:id="513422151">
      <w:bodyDiv w:val="1"/>
      <w:marLeft w:val="0"/>
      <w:marRight w:val="0"/>
      <w:marTop w:val="0"/>
      <w:marBottom w:val="0"/>
      <w:divBdr>
        <w:top w:val="none" w:sz="0" w:space="0" w:color="auto"/>
        <w:left w:val="none" w:sz="0" w:space="0" w:color="auto"/>
        <w:bottom w:val="none" w:sz="0" w:space="0" w:color="auto"/>
        <w:right w:val="none" w:sz="0" w:space="0" w:color="auto"/>
      </w:divBdr>
    </w:div>
    <w:div w:id="545063567">
      <w:bodyDiv w:val="1"/>
      <w:marLeft w:val="0"/>
      <w:marRight w:val="0"/>
      <w:marTop w:val="0"/>
      <w:marBottom w:val="0"/>
      <w:divBdr>
        <w:top w:val="none" w:sz="0" w:space="0" w:color="auto"/>
        <w:left w:val="none" w:sz="0" w:space="0" w:color="auto"/>
        <w:bottom w:val="none" w:sz="0" w:space="0" w:color="auto"/>
        <w:right w:val="none" w:sz="0" w:space="0" w:color="auto"/>
      </w:divBdr>
    </w:div>
    <w:div w:id="841552956">
      <w:bodyDiv w:val="1"/>
      <w:marLeft w:val="0"/>
      <w:marRight w:val="0"/>
      <w:marTop w:val="0"/>
      <w:marBottom w:val="0"/>
      <w:divBdr>
        <w:top w:val="none" w:sz="0" w:space="0" w:color="auto"/>
        <w:left w:val="none" w:sz="0" w:space="0" w:color="auto"/>
        <w:bottom w:val="none" w:sz="0" w:space="0" w:color="auto"/>
        <w:right w:val="none" w:sz="0" w:space="0" w:color="auto"/>
      </w:divBdr>
    </w:div>
    <w:div w:id="869562859">
      <w:bodyDiv w:val="1"/>
      <w:marLeft w:val="0"/>
      <w:marRight w:val="0"/>
      <w:marTop w:val="0"/>
      <w:marBottom w:val="0"/>
      <w:divBdr>
        <w:top w:val="none" w:sz="0" w:space="0" w:color="auto"/>
        <w:left w:val="none" w:sz="0" w:space="0" w:color="auto"/>
        <w:bottom w:val="none" w:sz="0" w:space="0" w:color="auto"/>
        <w:right w:val="none" w:sz="0" w:space="0" w:color="auto"/>
      </w:divBdr>
      <w:divsChild>
        <w:div w:id="607665748">
          <w:marLeft w:val="0"/>
          <w:marRight w:val="0"/>
          <w:marTop w:val="0"/>
          <w:marBottom w:val="0"/>
          <w:divBdr>
            <w:top w:val="none" w:sz="0" w:space="0" w:color="auto"/>
            <w:left w:val="none" w:sz="0" w:space="0" w:color="auto"/>
            <w:bottom w:val="none" w:sz="0" w:space="0" w:color="auto"/>
            <w:right w:val="none" w:sz="0" w:space="0" w:color="auto"/>
          </w:divBdr>
        </w:div>
      </w:divsChild>
    </w:div>
    <w:div w:id="921917274">
      <w:bodyDiv w:val="1"/>
      <w:marLeft w:val="0"/>
      <w:marRight w:val="0"/>
      <w:marTop w:val="0"/>
      <w:marBottom w:val="0"/>
      <w:divBdr>
        <w:top w:val="none" w:sz="0" w:space="0" w:color="auto"/>
        <w:left w:val="none" w:sz="0" w:space="0" w:color="auto"/>
        <w:bottom w:val="none" w:sz="0" w:space="0" w:color="auto"/>
        <w:right w:val="none" w:sz="0" w:space="0" w:color="auto"/>
      </w:divBdr>
    </w:div>
    <w:div w:id="950282886">
      <w:bodyDiv w:val="1"/>
      <w:marLeft w:val="0"/>
      <w:marRight w:val="0"/>
      <w:marTop w:val="0"/>
      <w:marBottom w:val="0"/>
      <w:divBdr>
        <w:top w:val="none" w:sz="0" w:space="0" w:color="auto"/>
        <w:left w:val="none" w:sz="0" w:space="0" w:color="auto"/>
        <w:bottom w:val="none" w:sz="0" w:space="0" w:color="auto"/>
        <w:right w:val="none" w:sz="0" w:space="0" w:color="auto"/>
      </w:divBdr>
    </w:div>
    <w:div w:id="990871202">
      <w:bodyDiv w:val="1"/>
      <w:marLeft w:val="0"/>
      <w:marRight w:val="0"/>
      <w:marTop w:val="0"/>
      <w:marBottom w:val="0"/>
      <w:divBdr>
        <w:top w:val="none" w:sz="0" w:space="0" w:color="auto"/>
        <w:left w:val="none" w:sz="0" w:space="0" w:color="auto"/>
        <w:bottom w:val="none" w:sz="0" w:space="0" w:color="auto"/>
        <w:right w:val="none" w:sz="0" w:space="0" w:color="auto"/>
      </w:divBdr>
    </w:div>
    <w:div w:id="1046874015">
      <w:bodyDiv w:val="1"/>
      <w:marLeft w:val="0"/>
      <w:marRight w:val="0"/>
      <w:marTop w:val="0"/>
      <w:marBottom w:val="0"/>
      <w:divBdr>
        <w:top w:val="none" w:sz="0" w:space="0" w:color="auto"/>
        <w:left w:val="none" w:sz="0" w:space="0" w:color="auto"/>
        <w:bottom w:val="none" w:sz="0" w:space="0" w:color="auto"/>
        <w:right w:val="none" w:sz="0" w:space="0" w:color="auto"/>
      </w:divBdr>
    </w:div>
    <w:div w:id="1054886064">
      <w:bodyDiv w:val="1"/>
      <w:marLeft w:val="0"/>
      <w:marRight w:val="0"/>
      <w:marTop w:val="0"/>
      <w:marBottom w:val="0"/>
      <w:divBdr>
        <w:top w:val="none" w:sz="0" w:space="0" w:color="auto"/>
        <w:left w:val="none" w:sz="0" w:space="0" w:color="auto"/>
        <w:bottom w:val="none" w:sz="0" w:space="0" w:color="auto"/>
        <w:right w:val="none" w:sz="0" w:space="0" w:color="auto"/>
      </w:divBdr>
    </w:div>
    <w:div w:id="1064254544">
      <w:bodyDiv w:val="1"/>
      <w:marLeft w:val="0"/>
      <w:marRight w:val="0"/>
      <w:marTop w:val="0"/>
      <w:marBottom w:val="0"/>
      <w:divBdr>
        <w:top w:val="none" w:sz="0" w:space="0" w:color="auto"/>
        <w:left w:val="none" w:sz="0" w:space="0" w:color="auto"/>
        <w:bottom w:val="none" w:sz="0" w:space="0" w:color="auto"/>
        <w:right w:val="none" w:sz="0" w:space="0" w:color="auto"/>
      </w:divBdr>
    </w:div>
    <w:div w:id="1104692809">
      <w:bodyDiv w:val="1"/>
      <w:marLeft w:val="0"/>
      <w:marRight w:val="0"/>
      <w:marTop w:val="0"/>
      <w:marBottom w:val="0"/>
      <w:divBdr>
        <w:top w:val="none" w:sz="0" w:space="0" w:color="auto"/>
        <w:left w:val="none" w:sz="0" w:space="0" w:color="auto"/>
        <w:bottom w:val="none" w:sz="0" w:space="0" w:color="auto"/>
        <w:right w:val="none" w:sz="0" w:space="0" w:color="auto"/>
      </w:divBdr>
    </w:div>
    <w:div w:id="1108087683">
      <w:bodyDiv w:val="1"/>
      <w:marLeft w:val="0"/>
      <w:marRight w:val="0"/>
      <w:marTop w:val="0"/>
      <w:marBottom w:val="0"/>
      <w:divBdr>
        <w:top w:val="none" w:sz="0" w:space="0" w:color="auto"/>
        <w:left w:val="none" w:sz="0" w:space="0" w:color="auto"/>
        <w:bottom w:val="none" w:sz="0" w:space="0" w:color="auto"/>
        <w:right w:val="none" w:sz="0" w:space="0" w:color="auto"/>
      </w:divBdr>
    </w:div>
    <w:div w:id="1207523709">
      <w:bodyDiv w:val="1"/>
      <w:marLeft w:val="0"/>
      <w:marRight w:val="0"/>
      <w:marTop w:val="0"/>
      <w:marBottom w:val="0"/>
      <w:divBdr>
        <w:top w:val="none" w:sz="0" w:space="0" w:color="auto"/>
        <w:left w:val="none" w:sz="0" w:space="0" w:color="auto"/>
        <w:bottom w:val="none" w:sz="0" w:space="0" w:color="auto"/>
        <w:right w:val="none" w:sz="0" w:space="0" w:color="auto"/>
      </w:divBdr>
    </w:div>
    <w:div w:id="1264534645">
      <w:bodyDiv w:val="1"/>
      <w:marLeft w:val="0"/>
      <w:marRight w:val="0"/>
      <w:marTop w:val="0"/>
      <w:marBottom w:val="0"/>
      <w:divBdr>
        <w:top w:val="none" w:sz="0" w:space="0" w:color="auto"/>
        <w:left w:val="none" w:sz="0" w:space="0" w:color="auto"/>
        <w:bottom w:val="none" w:sz="0" w:space="0" w:color="auto"/>
        <w:right w:val="none" w:sz="0" w:space="0" w:color="auto"/>
      </w:divBdr>
    </w:div>
    <w:div w:id="1363088507">
      <w:bodyDiv w:val="1"/>
      <w:marLeft w:val="0"/>
      <w:marRight w:val="0"/>
      <w:marTop w:val="0"/>
      <w:marBottom w:val="0"/>
      <w:divBdr>
        <w:top w:val="none" w:sz="0" w:space="0" w:color="auto"/>
        <w:left w:val="none" w:sz="0" w:space="0" w:color="auto"/>
        <w:bottom w:val="none" w:sz="0" w:space="0" w:color="auto"/>
        <w:right w:val="none" w:sz="0" w:space="0" w:color="auto"/>
      </w:divBdr>
    </w:div>
    <w:div w:id="1371762770">
      <w:bodyDiv w:val="1"/>
      <w:marLeft w:val="0"/>
      <w:marRight w:val="0"/>
      <w:marTop w:val="0"/>
      <w:marBottom w:val="0"/>
      <w:divBdr>
        <w:top w:val="none" w:sz="0" w:space="0" w:color="auto"/>
        <w:left w:val="none" w:sz="0" w:space="0" w:color="auto"/>
        <w:bottom w:val="none" w:sz="0" w:space="0" w:color="auto"/>
        <w:right w:val="none" w:sz="0" w:space="0" w:color="auto"/>
      </w:divBdr>
    </w:div>
    <w:div w:id="1476948633">
      <w:bodyDiv w:val="1"/>
      <w:marLeft w:val="0"/>
      <w:marRight w:val="0"/>
      <w:marTop w:val="0"/>
      <w:marBottom w:val="0"/>
      <w:divBdr>
        <w:top w:val="none" w:sz="0" w:space="0" w:color="auto"/>
        <w:left w:val="none" w:sz="0" w:space="0" w:color="auto"/>
        <w:bottom w:val="none" w:sz="0" w:space="0" w:color="auto"/>
        <w:right w:val="none" w:sz="0" w:space="0" w:color="auto"/>
      </w:divBdr>
    </w:div>
    <w:div w:id="1496605462">
      <w:bodyDiv w:val="1"/>
      <w:marLeft w:val="0"/>
      <w:marRight w:val="0"/>
      <w:marTop w:val="0"/>
      <w:marBottom w:val="0"/>
      <w:divBdr>
        <w:top w:val="none" w:sz="0" w:space="0" w:color="auto"/>
        <w:left w:val="none" w:sz="0" w:space="0" w:color="auto"/>
        <w:bottom w:val="none" w:sz="0" w:space="0" w:color="auto"/>
        <w:right w:val="none" w:sz="0" w:space="0" w:color="auto"/>
      </w:divBdr>
    </w:div>
    <w:div w:id="1556621339">
      <w:bodyDiv w:val="1"/>
      <w:marLeft w:val="0"/>
      <w:marRight w:val="0"/>
      <w:marTop w:val="0"/>
      <w:marBottom w:val="0"/>
      <w:divBdr>
        <w:top w:val="none" w:sz="0" w:space="0" w:color="auto"/>
        <w:left w:val="none" w:sz="0" w:space="0" w:color="auto"/>
        <w:bottom w:val="none" w:sz="0" w:space="0" w:color="auto"/>
        <w:right w:val="none" w:sz="0" w:space="0" w:color="auto"/>
      </w:divBdr>
    </w:div>
    <w:div w:id="1581020472">
      <w:bodyDiv w:val="1"/>
      <w:marLeft w:val="0"/>
      <w:marRight w:val="0"/>
      <w:marTop w:val="0"/>
      <w:marBottom w:val="0"/>
      <w:divBdr>
        <w:top w:val="none" w:sz="0" w:space="0" w:color="auto"/>
        <w:left w:val="none" w:sz="0" w:space="0" w:color="auto"/>
        <w:bottom w:val="none" w:sz="0" w:space="0" w:color="auto"/>
        <w:right w:val="none" w:sz="0" w:space="0" w:color="auto"/>
      </w:divBdr>
    </w:div>
    <w:div w:id="1604267781">
      <w:bodyDiv w:val="1"/>
      <w:marLeft w:val="0"/>
      <w:marRight w:val="0"/>
      <w:marTop w:val="0"/>
      <w:marBottom w:val="0"/>
      <w:divBdr>
        <w:top w:val="none" w:sz="0" w:space="0" w:color="auto"/>
        <w:left w:val="none" w:sz="0" w:space="0" w:color="auto"/>
        <w:bottom w:val="none" w:sz="0" w:space="0" w:color="auto"/>
        <w:right w:val="none" w:sz="0" w:space="0" w:color="auto"/>
      </w:divBdr>
    </w:div>
    <w:div w:id="1608809198">
      <w:bodyDiv w:val="1"/>
      <w:marLeft w:val="0"/>
      <w:marRight w:val="0"/>
      <w:marTop w:val="0"/>
      <w:marBottom w:val="0"/>
      <w:divBdr>
        <w:top w:val="none" w:sz="0" w:space="0" w:color="auto"/>
        <w:left w:val="none" w:sz="0" w:space="0" w:color="auto"/>
        <w:bottom w:val="none" w:sz="0" w:space="0" w:color="auto"/>
        <w:right w:val="none" w:sz="0" w:space="0" w:color="auto"/>
      </w:divBdr>
    </w:div>
    <w:div w:id="1790735801">
      <w:bodyDiv w:val="1"/>
      <w:marLeft w:val="0"/>
      <w:marRight w:val="0"/>
      <w:marTop w:val="0"/>
      <w:marBottom w:val="0"/>
      <w:divBdr>
        <w:top w:val="none" w:sz="0" w:space="0" w:color="auto"/>
        <w:left w:val="none" w:sz="0" w:space="0" w:color="auto"/>
        <w:bottom w:val="none" w:sz="0" w:space="0" w:color="auto"/>
        <w:right w:val="none" w:sz="0" w:space="0" w:color="auto"/>
      </w:divBdr>
    </w:div>
    <w:div w:id="1797407794">
      <w:bodyDiv w:val="1"/>
      <w:marLeft w:val="0"/>
      <w:marRight w:val="0"/>
      <w:marTop w:val="0"/>
      <w:marBottom w:val="0"/>
      <w:divBdr>
        <w:top w:val="none" w:sz="0" w:space="0" w:color="auto"/>
        <w:left w:val="none" w:sz="0" w:space="0" w:color="auto"/>
        <w:bottom w:val="none" w:sz="0" w:space="0" w:color="auto"/>
        <w:right w:val="none" w:sz="0" w:space="0" w:color="auto"/>
      </w:divBdr>
    </w:div>
    <w:div w:id="19985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bat\Downloads\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partan\Desktop\ISE%20-%20200\Excel%20too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partan\Desktop\ISE%20-%20200\Excel%20t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partan\Desktop\ISE%20-%20200\Excel%20too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Salvage</a:t>
            </a:r>
            <a:r>
              <a:rPr lang="en-US" b="1" baseline="0"/>
              <a:t> Valu</a:t>
            </a:r>
            <a:r>
              <a:rPr lang="en-US" b="1"/>
              <a:t>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Comparision!$K$12</c:f>
              <c:strCache>
                <c:ptCount val="1"/>
                <c:pt idx="0">
                  <c:v>Base Price</c:v>
                </c:pt>
              </c:strCache>
            </c:strRef>
          </c:tx>
          <c:spPr>
            <a:solidFill>
              <a:schemeClr val="accent1"/>
            </a:solidFill>
            <a:ln>
              <a:noFill/>
            </a:ln>
            <a:effectLst/>
          </c:spPr>
          <c:invertIfNegative val="0"/>
          <c:cat>
            <c:strRef>
              <c:f>Comparision!$J$13:$J$14</c:f>
              <c:strCache>
                <c:ptCount val="2"/>
                <c:pt idx="0">
                  <c:v>San Jose</c:v>
                </c:pt>
                <c:pt idx="1">
                  <c:v>Sunnyvale</c:v>
                </c:pt>
              </c:strCache>
            </c:strRef>
          </c:cat>
          <c:val>
            <c:numRef>
              <c:f>Comparision!$K$13:$K$14</c:f>
              <c:numCache>
                <c:formatCode>General</c:formatCode>
                <c:ptCount val="2"/>
                <c:pt idx="0">
                  <c:v>400000</c:v>
                </c:pt>
                <c:pt idx="1">
                  <c:v>550000</c:v>
                </c:pt>
              </c:numCache>
            </c:numRef>
          </c:val>
          <c:extLst>
            <c:ext xmlns:c16="http://schemas.microsoft.com/office/drawing/2014/chart" uri="{C3380CC4-5D6E-409C-BE32-E72D297353CC}">
              <c16:uniqueId val="{00000000-903B-6B45-99EF-4B898E74ABEC}"/>
            </c:ext>
          </c:extLst>
        </c:ser>
        <c:ser>
          <c:idx val="1"/>
          <c:order val="1"/>
          <c:tx>
            <c:strRef>
              <c:f>Comparision!$L$12</c:f>
              <c:strCache>
                <c:ptCount val="1"/>
                <c:pt idx="0">
                  <c:v>Salvage value</c:v>
                </c:pt>
              </c:strCache>
            </c:strRef>
          </c:tx>
          <c:spPr>
            <a:solidFill>
              <a:schemeClr val="accent2"/>
            </a:solidFill>
            <a:ln>
              <a:noFill/>
            </a:ln>
            <a:effectLst/>
          </c:spPr>
          <c:invertIfNegative val="0"/>
          <c:cat>
            <c:strRef>
              <c:f>Comparision!$J$13:$J$14</c:f>
              <c:strCache>
                <c:ptCount val="2"/>
                <c:pt idx="0">
                  <c:v>San Jose</c:v>
                </c:pt>
                <c:pt idx="1">
                  <c:v>Sunnyvale</c:v>
                </c:pt>
              </c:strCache>
            </c:strRef>
          </c:cat>
          <c:val>
            <c:numRef>
              <c:f>Comparision!$L$13:$L$14</c:f>
              <c:numCache>
                <c:formatCode>General</c:formatCode>
                <c:ptCount val="2"/>
                <c:pt idx="0">
                  <c:v>491949</c:v>
                </c:pt>
                <c:pt idx="1">
                  <c:v>826996</c:v>
                </c:pt>
              </c:numCache>
            </c:numRef>
          </c:val>
          <c:extLst>
            <c:ext xmlns:c16="http://schemas.microsoft.com/office/drawing/2014/chart" uri="{C3380CC4-5D6E-409C-BE32-E72D297353CC}">
              <c16:uniqueId val="{00000001-903B-6B45-99EF-4B898E74ABEC}"/>
            </c:ext>
          </c:extLst>
        </c:ser>
        <c:dLbls>
          <c:showLegendKey val="0"/>
          <c:showVal val="0"/>
          <c:showCatName val="0"/>
          <c:showSerName val="0"/>
          <c:showPercent val="0"/>
          <c:showBubbleSize val="0"/>
        </c:dLbls>
        <c:gapWidth val="150"/>
        <c:overlap val="100"/>
        <c:axId val="2059314992"/>
        <c:axId val="2059206848"/>
      </c:barChart>
      <c:catAx>
        <c:axId val="205931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206848"/>
        <c:crosses val="autoZero"/>
        <c:auto val="1"/>
        <c:lblAlgn val="ctr"/>
        <c:lblOffset val="100"/>
        <c:noMultiLvlLbl val="0"/>
      </c:catAx>
      <c:valAx>
        <c:axId val="20592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31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San</a:t>
            </a:r>
            <a:r>
              <a:rPr lang="en-US" sz="1200" baseline="0">
                <a:latin typeface="Times New Roman" panose="02020603050405020304" pitchFamily="18" charset="0"/>
                <a:cs typeface="Times New Roman" panose="02020603050405020304" pitchFamily="18" charset="0"/>
              </a:rPr>
              <a:t> Jos</a:t>
            </a:r>
            <a:r>
              <a:rPr lang="en-US" sz="1200">
                <a:latin typeface="Times New Roman" panose="02020603050405020304" pitchFamily="18" charset="0"/>
                <a:cs typeface="Times New Roman" panose="02020603050405020304" pitchFamily="18" charset="0"/>
              </a:rPr>
              <a:t>e</a:t>
            </a:r>
          </a:p>
        </c:rich>
      </c:tx>
      <c:overlay val="0"/>
      <c:spPr>
        <a:noFill/>
        <a:ln>
          <a:noFill/>
        </a:ln>
        <a:effectLst/>
      </c:spPr>
      <c:txPr>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Comparision!$D$1:$D$2</c:f>
              <c:strCache>
                <c:ptCount val="2"/>
                <c:pt idx="0">
                  <c:v>San Jose</c:v>
                </c:pt>
                <c:pt idx="1">
                  <c:v>NPV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Comparision!$B$3:$B$52</c:f>
              <c:strCache>
                <c:ptCount val="37"/>
                <c:pt idx="0">
                  <c:v>Option 1</c:v>
                </c:pt>
                <c:pt idx="6">
                  <c:v>Option 1 - $100000 Down/5000per month</c:v>
                </c:pt>
                <c:pt idx="13">
                  <c:v>Option 2 - $200000 Down/3334 per month</c:v>
                </c:pt>
                <c:pt idx="20">
                  <c:v>Option 1 - $100000Down (7 years) / 3571 per month</c:v>
                </c:pt>
                <c:pt idx="28">
                  <c:v>Option 2 - $200000Down (7 years) / 2380 per month</c:v>
                </c:pt>
                <c:pt idx="36">
                  <c:v>2500 Monthly Rent</c:v>
                </c:pt>
              </c:strCache>
            </c:strRef>
          </c:cat>
          <c:val>
            <c:numRef>
              <c:f>Comparision!$D$3:$D$52</c:f>
              <c:numCache>
                <c:formatCode>General</c:formatCode>
                <c:ptCount val="46"/>
                <c:pt idx="0">
                  <c:v>-113702.48</c:v>
                </c:pt>
                <c:pt idx="6">
                  <c:v>317421.61</c:v>
                </c:pt>
                <c:pt idx="13">
                  <c:v>284270.09000000003</c:v>
                </c:pt>
                <c:pt idx="20">
                  <c:v>286684.83</c:v>
                </c:pt>
                <c:pt idx="28">
                  <c:v>218652.13</c:v>
                </c:pt>
                <c:pt idx="36">
                  <c:v>-147838.65</c:v>
                </c:pt>
              </c:numCache>
            </c:numRef>
          </c:val>
          <c:extLst>
            <c:ext xmlns:c16="http://schemas.microsoft.com/office/drawing/2014/chart" uri="{C3380CC4-5D6E-409C-BE32-E72D297353CC}">
              <c16:uniqueId val="{00000000-2054-8948-BC36-ED58FA8E0865}"/>
            </c:ext>
          </c:extLst>
        </c:ser>
        <c:ser>
          <c:idx val="1"/>
          <c:order val="1"/>
          <c:tx>
            <c:strRef>
              <c:f>Comparision!$E$1:$E$2</c:f>
              <c:strCache>
                <c:ptCount val="2"/>
                <c:pt idx="0">
                  <c:v>San Jose</c:v>
                </c:pt>
                <c:pt idx="1">
                  <c:v>EUAW</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Comparision!$B$3:$B$52</c:f>
              <c:strCache>
                <c:ptCount val="37"/>
                <c:pt idx="0">
                  <c:v>Option 1</c:v>
                </c:pt>
                <c:pt idx="6">
                  <c:v>Option 1 - $100000 Down/5000per month</c:v>
                </c:pt>
                <c:pt idx="13">
                  <c:v>Option 2 - $200000 Down/3334 per month</c:v>
                </c:pt>
                <c:pt idx="20">
                  <c:v>Option 1 - $100000Down (7 years) / 3571 per month</c:v>
                </c:pt>
                <c:pt idx="28">
                  <c:v>Option 2 - $200000Down (7 years) / 2380 per month</c:v>
                </c:pt>
                <c:pt idx="36">
                  <c:v>2500 Monthly Rent</c:v>
                </c:pt>
              </c:strCache>
            </c:strRef>
          </c:cat>
          <c:val>
            <c:numRef>
              <c:f>Comparision!$E$3:$E$52</c:f>
              <c:numCache>
                <c:formatCode>General</c:formatCode>
                <c:ptCount val="46"/>
                <c:pt idx="0">
                  <c:v>-25346.53</c:v>
                </c:pt>
                <c:pt idx="6">
                  <c:v>70759.56</c:v>
                </c:pt>
                <c:pt idx="13">
                  <c:v>63369.43</c:v>
                </c:pt>
                <c:pt idx="20">
                  <c:v>63907.72</c:v>
                </c:pt>
                <c:pt idx="28">
                  <c:v>43444.1</c:v>
                </c:pt>
                <c:pt idx="36">
                  <c:v>-29374.14</c:v>
                </c:pt>
              </c:numCache>
            </c:numRef>
          </c:val>
          <c:extLst>
            <c:ext xmlns:c16="http://schemas.microsoft.com/office/drawing/2014/chart" uri="{C3380CC4-5D6E-409C-BE32-E72D297353CC}">
              <c16:uniqueId val="{00000001-2054-8948-BC36-ED58FA8E0865}"/>
            </c:ext>
          </c:extLst>
        </c:ser>
        <c:dLbls>
          <c:showLegendKey val="0"/>
          <c:showVal val="0"/>
          <c:showCatName val="0"/>
          <c:showSerName val="0"/>
          <c:showPercent val="0"/>
          <c:showBubbleSize val="0"/>
        </c:dLbls>
        <c:gapWidth val="100"/>
        <c:overlap val="-24"/>
        <c:axId val="1996258000"/>
        <c:axId val="457428639"/>
      </c:barChart>
      <c:catAx>
        <c:axId val="19962580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457428639"/>
        <c:crosses val="autoZero"/>
        <c:auto val="1"/>
        <c:lblAlgn val="ctr"/>
        <c:lblOffset val="100"/>
        <c:noMultiLvlLbl val="0"/>
      </c:catAx>
      <c:valAx>
        <c:axId val="4574286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99625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Sunnyvale</a:t>
            </a:r>
          </a:p>
        </c:rich>
      </c:tx>
      <c:overlay val="0"/>
      <c:spPr>
        <a:noFill/>
        <a:ln>
          <a:noFill/>
        </a:ln>
        <a:effectLst/>
      </c:spPr>
      <c:txPr>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Comparision!$F$1:$F$2</c:f>
              <c:strCache>
                <c:ptCount val="2"/>
                <c:pt idx="0">
                  <c:v>Sunnyvale</c:v>
                </c:pt>
                <c:pt idx="1">
                  <c:v>NPV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Comparision!$C$3:$C$52</c:f>
              <c:strCache>
                <c:ptCount val="37"/>
                <c:pt idx="0">
                  <c:v>Option 1</c:v>
                </c:pt>
                <c:pt idx="6">
                  <c:v>Option 1 - $100000 Down/7500per month</c:v>
                </c:pt>
                <c:pt idx="13">
                  <c:v>Option 2 - $200000 Down/5833 per month</c:v>
                </c:pt>
                <c:pt idx="20">
                  <c:v>Option 1 - $100000Down (7 years) / 5357 per month</c:v>
                </c:pt>
                <c:pt idx="28">
                  <c:v>Option 2 - $200000Down (7 years) / 4166 per month</c:v>
                </c:pt>
                <c:pt idx="36">
                  <c:v>4000 Monthly Rent</c:v>
                </c:pt>
              </c:strCache>
            </c:strRef>
          </c:cat>
          <c:val>
            <c:numRef>
              <c:f>Comparision!$F$3:$F$52</c:f>
              <c:numCache>
                <c:formatCode>General</c:formatCode>
                <c:ptCount val="46"/>
                <c:pt idx="0">
                  <c:v>-63924.84</c:v>
                </c:pt>
                <c:pt idx="6">
                  <c:v>609800.81000000006</c:v>
                </c:pt>
                <c:pt idx="13">
                  <c:v>576689.42000000004</c:v>
                </c:pt>
                <c:pt idx="20">
                  <c:v>683358.82</c:v>
                </c:pt>
                <c:pt idx="28">
                  <c:v>517376.12</c:v>
                </c:pt>
                <c:pt idx="36">
                  <c:v>-228213.49</c:v>
                </c:pt>
              </c:numCache>
            </c:numRef>
          </c:val>
          <c:extLst>
            <c:ext xmlns:c16="http://schemas.microsoft.com/office/drawing/2014/chart" uri="{C3380CC4-5D6E-409C-BE32-E72D297353CC}">
              <c16:uniqueId val="{00000000-3339-5148-824B-0DCC23A1E1F7}"/>
            </c:ext>
          </c:extLst>
        </c:ser>
        <c:ser>
          <c:idx val="1"/>
          <c:order val="1"/>
          <c:tx>
            <c:strRef>
              <c:f>Comparision!$G$1:$G$2</c:f>
              <c:strCache>
                <c:ptCount val="2"/>
                <c:pt idx="0">
                  <c:v>Sunnyvale</c:v>
                </c:pt>
                <c:pt idx="1">
                  <c:v>EUAW</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Comparision!$C$3:$C$52</c:f>
              <c:strCache>
                <c:ptCount val="37"/>
                <c:pt idx="0">
                  <c:v>Option 1</c:v>
                </c:pt>
                <c:pt idx="6">
                  <c:v>Option 1 - $100000 Down/7500per month</c:v>
                </c:pt>
                <c:pt idx="13">
                  <c:v>Option 2 - $200000 Down/5833 per month</c:v>
                </c:pt>
                <c:pt idx="20">
                  <c:v>Option 1 - $100000Down (7 years) / 5357 per month</c:v>
                </c:pt>
                <c:pt idx="28">
                  <c:v>Option 2 - $200000Down (7 years) / 4166 per month</c:v>
                </c:pt>
                <c:pt idx="36">
                  <c:v>4000 Monthly Rent</c:v>
                </c:pt>
              </c:strCache>
            </c:strRef>
          </c:cat>
          <c:val>
            <c:numRef>
              <c:f>Comparision!$G$3:$G$52</c:f>
              <c:numCache>
                <c:formatCode>General</c:formatCode>
                <c:ptCount val="46"/>
                <c:pt idx="0">
                  <c:v>-14250.11</c:v>
                </c:pt>
                <c:pt idx="6">
                  <c:v>135936.66</c:v>
                </c:pt>
                <c:pt idx="13">
                  <c:v>128555.48</c:v>
                </c:pt>
                <c:pt idx="20">
                  <c:v>152334.20000000001</c:v>
                </c:pt>
                <c:pt idx="28">
                  <c:v>115333.37</c:v>
                </c:pt>
                <c:pt idx="36">
                  <c:v>-50873.3</c:v>
                </c:pt>
              </c:numCache>
            </c:numRef>
          </c:val>
          <c:extLst>
            <c:ext xmlns:c16="http://schemas.microsoft.com/office/drawing/2014/chart" uri="{C3380CC4-5D6E-409C-BE32-E72D297353CC}">
              <c16:uniqueId val="{00000001-3339-5148-824B-0DCC23A1E1F7}"/>
            </c:ext>
          </c:extLst>
        </c:ser>
        <c:dLbls>
          <c:showLegendKey val="0"/>
          <c:showVal val="0"/>
          <c:showCatName val="0"/>
          <c:showSerName val="0"/>
          <c:showPercent val="0"/>
          <c:showBubbleSize val="0"/>
        </c:dLbls>
        <c:gapWidth val="100"/>
        <c:overlap val="-24"/>
        <c:axId val="457908575"/>
        <c:axId val="977249599"/>
      </c:barChart>
      <c:catAx>
        <c:axId val="45790857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977249599"/>
        <c:crosses val="autoZero"/>
        <c:auto val="1"/>
        <c:lblAlgn val="ctr"/>
        <c:lblOffset val="100"/>
        <c:noMultiLvlLbl val="0"/>
      </c:catAx>
      <c:valAx>
        <c:axId val="9772495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457908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the abstract. Type Abstract here. The abstract is limited to 150 words. To ensure optimum readability, the type size for your abstract and main text must be at least 10 points and at least 8 points for references and tables. Your submission must not exceed five formatted pages.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Ign911</b:Tag>
    <b:SourceType>InternetSite</b:SourceType>
    <b:Guid>{C72E187D-902A-4648-BF62-FC8BF3831A5F}</b:Guid>
    <b:Title>Sunnyvale: From the "city of destiny" to the "heart of the Silicon Valley"</b:Title>
    <b:InternetSiteTitle>proquest</b:InternetSiteTitle>
    <b:URL>https://www.proquest.com/openview/79fdaa980cda61054ffdd9ea407561f9/1?pq-origsite=gscholar&amp;cbl=18750&amp;diss=y</b:URL>
    <b:Year>1991</b:Year>
    <b:Author>
      <b:Author>
        <b:NameList>
          <b:Person>
            <b:Last>Ignoffo</b:Last>
            <b:First>Mary</b:First>
            <b:Middle>Jo</b:Middle>
          </b:Person>
        </b:NameList>
      </b:Author>
    </b:Author>
    <b:RefOrder>1</b:RefOrder>
  </b:Source>
  <b:Source>
    <b:Tag>Shi071</b:Tag>
    <b:SourceType>InternetSite</b:SourceType>
    <b:Guid>{CABAA9AC-96B5-E844-B73D-305CEF54E927}</b:Guid>
    <b:Title>Housing Silicon V Housing Silicon Valley: A 20 Y y: A 20 Year Plan t ear Plan to End the Affor o End the Affordable Housing Crisis</b:Title>
    <b:URL>https://scholarworks.sjsu.edu/cgi/viewcontent.cgi?article=1016&amp;context=urban_plan_pub</b:URL>
    <b:Year>2007 </b:Year>
    <b:Month>January</b:Month>
    <b:Author>
      <b:Author>
        <b:NameList>
          <b:Person>
            <b:Last>Shishir</b:Last>
            <b:First>Mathur </b:First>
          </b:Person>
          <b:Person>
            <b:Last>Alicia</b:Last>
            <b:First>Parker </b:First>
          </b:Person>
        </b:NameList>
      </b:Author>
    </b:Author>
    <b:RefOrder>2</b:RefOrder>
  </b:Source>
  <b:Source>
    <b:Tag>Mee941</b:Tag>
    <b:SourceType>InternetSite</b:SourceType>
    <b:Guid>{98CC286E-9C8E-0348-95EF-E0F93FFCD47C}</b:Guid>
    <b:Title>Testing the Present Value Relation for Housing Prices: Should I Leave My House in San Francisco?</b:Title>
    <b:InternetSiteTitle>ScienceDirect</b:InternetSiteTitle>
    <b:URL>https://www.sciencedirect.com/science/article/pii/S0094119084710151</b:URL>
    <b:Year>1994</b:Year>
    <b:Author>
      <b:Author>
        <b:NameList>
          <b:Person>
            <b:Last>Meese</b:Last>
            <b:First>R</b:First>
          </b:Person>
          <b:Person>
            <b:Last>Wallace</b:Last>
            <b:First>N</b:First>
          </b:Person>
        </b:NameList>
      </b:Author>
    </b:Author>
    <b:RefOrder>3</b:RefOrder>
  </b:Source>
  <b:Source>
    <b:Tag>Sha06</b:Tag>
    <b:SourceType>InternetSite</b:SourceType>
    <b:Guid>{E94B7223-08C3-F14C-BE45-6FBDB0343566}</b:Guid>
    <b:Title>A comprehensive review of building deconstruction and salvage: deconstruction benefits and hurdles</b:Title>
    <b:InternetSiteTitle>InderScience</b:InternetSiteTitle>
    <b:URL>https://www.inderscienceonline.com/doi/abs/10.1504/IJETM.2006.008998</b:URL>
    <b:Year>2006</b:Year>
    <b:Month>February</b:Month>
    <b:Day>13</b:Day>
    <b:Author>
      <b:Author>
        <b:NameList>
          <b:Person>
            <b:Last>Shami</b:Last>
            <b:First>M</b:First>
          </b:Person>
        </b:NameList>
      </b:Author>
    </b:Author>
    <b:RefOrder>4</b:RefOrder>
  </b:Source>
  <b:Source>
    <b:Tag>Mat041</b:Tag>
    <b:SourceType>InternetSite</b:SourceType>
    <b:Guid>{F8CCF284-7FC2-6544-95B6-C62408898A3D}</b:Guid>
    <b:Title>Inclusionary housing requirements in California: examining the economic impact on three cases</b:Title>
    <b:URL>https://dspace.mit.edu/bitstream/handle/1721.1/26730/59759605-MIT.pdf?sequence=2</b:URL>
    <b:Year>2004</b:Year>
    <b:Author>
      <b:Author>
        <b:NameList>
          <b:Person>
            <b:Last>Matthew</b:Last>
            <b:First>Foss </b:First>
          </b:Person>
        </b:NameList>
      </b:Author>
    </b:Author>
    <b:RefOrder>5</b:RefOrder>
  </b:Source>
  <b:Source>
    <b:Tag>Dan19</b:Tag>
    <b:SourceType>InternetSite</b:SourceType>
    <b:Guid>{17FC4A6F-ACF1-124F-93AE-8BE88BD73AA9}</b:Guid>
    <b:Title>San José ARO Study: A Study of the Apartment Rent Ordinance of the City of San José</b:Title>
    <b:InternetSiteTitle>SSRN</b:InternetSiteTitle>
    <b:URL>https://papers.ssrn.com/sol3/papers.cfm?abstract_id=3380034</b:URL>
    <b:Year>2019</b:Year>
    <b:Month>MAY </b:Month>
    <b:Day>16</b:Day>
    <b:Author>
      <b:Author>
        <b:NameList>
          <b:Person>
            <b:Last>Daniel</b:Last>
            <b:First>Flaming</b:First>
          </b:Person>
          <b:Person>
            <b:Last>Patrick</b:Last>
            <b:First>Burns</b:First>
          </b:Person>
          <b:Person>
            <b:Last>Ken</b:Last>
            <b:First>Baar</b:First>
          </b:Person>
        </b:NameList>
      </b:Author>
    </b:Author>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1e0175f9-4170-485b-a48f-8578f9ad2b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8F3CC97FB042342BCFCBF29EA1721A0" ma:contentTypeVersion="18" ma:contentTypeDescription="Create a new document." ma:contentTypeScope="" ma:versionID="81453e761a0ae92e480dada81d7dd784">
  <xsd:schema xmlns:xsd="http://www.w3.org/2001/XMLSchema" xmlns:xs="http://www.w3.org/2001/XMLSchema" xmlns:p="http://schemas.microsoft.com/office/2006/metadata/properties" xmlns:ns3="1e0175f9-4170-485b-a48f-8578f9ad2b9c" xmlns:ns4="895af276-a381-4563-8493-9d9fbe12c0cf" targetNamespace="http://schemas.microsoft.com/office/2006/metadata/properties" ma:root="true" ma:fieldsID="24c4ce5f2a984d5e14d8433b07ddfe51" ns3:_="" ns4:_="">
    <xsd:import namespace="1e0175f9-4170-485b-a48f-8578f9ad2b9c"/>
    <xsd:import namespace="895af276-a381-4563-8493-9d9fbe12c0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175f9-4170-485b-a48f-8578f9ad2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5af276-a381-4563-8493-9d9fbe12c0c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C1B35-0E96-475B-8B26-AA391F0BA3EE}">
  <ds:schemaRefs>
    <ds:schemaRef ds:uri="http://schemas.openxmlformats.org/officeDocument/2006/bibliography"/>
  </ds:schemaRefs>
</ds:datastoreItem>
</file>

<file path=customXml/itemProps3.xml><?xml version="1.0" encoding="utf-8"?>
<ds:datastoreItem xmlns:ds="http://schemas.openxmlformats.org/officeDocument/2006/customXml" ds:itemID="{6CBAA81D-2377-45E7-BEFA-5B18FF9133A9}">
  <ds:schemaRefs>
    <ds:schemaRef ds:uri="http://schemas.microsoft.com/office/2006/metadata/properties"/>
    <ds:schemaRef ds:uri="http://schemas.microsoft.com/office/infopath/2007/PartnerControls"/>
    <ds:schemaRef ds:uri="1e0175f9-4170-485b-a48f-8578f9ad2b9c"/>
  </ds:schemaRefs>
</ds:datastoreItem>
</file>

<file path=customXml/itemProps4.xml><?xml version="1.0" encoding="utf-8"?>
<ds:datastoreItem xmlns:ds="http://schemas.openxmlformats.org/officeDocument/2006/customXml" ds:itemID="{E097402A-9CAB-45CC-964B-0D7ED41111BE}">
  <ds:schemaRefs>
    <ds:schemaRef ds:uri="http://schemas.microsoft.com/sharepoint/v3/contenttype/forms"/>
  </ds:schemaRefs>
</ds:datastoreItem>
</file>

<file path=customXml/itemProps5.xml><?xml version="1.0" encoding="utf-8"?>
<ds:datastoreItem xmlns:ds="http://schemas.openxmlformats.org/officeDocument/2006/customXml" ds:itemID="{565A8489-CF8D-4194-B29D-623BAD76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175f9-4170-485b-a48f-8578f9ad2b9c"/>
    <ds:schemaRef ds:uri="895af276-a381-4563-8493-9d9fbe12c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C:\Users\mrbat\Downloads\Report Template.dotx</Template>
  <TotalTime>2</TotalTime>
  <Pages>6</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Title That Explains The Goals/Relationships In The Report</vt:lpstr>
    </vt:vector>
  </TitlesOfParts>
  <Manager>Dan Nathan-Roberts, Ph.D.</Manager>
  <Company>San Jose State University</Company>
  <LinksUpToDate>false</LinksUpToDate>
  <CharactersWithSpaces>14688</CharactersWithSpaces>
  <SharedDoc>false</SharedDoc>
  <HLinks>
    <vt:vector size="24" baseType="variant">
      <vt:variant>
        <vt:i4>6881339</vt:i4>
      </vt:variant>
      <vt:variant>
        <vt:i4>21</vt:i4>
      </vt:variant>
      <vt:variant>
        <vt:i4>0</vt:i4>
      </vt:variant>
      <vt:variant>
        <vt:i4>5</vt:i4>
      </vt:variant>
      <vt:variant>
        <vt:lpwstr>https://www.hfes.org/web/HFESMeetings/2014call.html</vt:lpwstr>
      </vt:variant>
      <vt:variant>
        <vt:lpwstr>ProposalElements</vt:lpwstr>
      </vt:variant>
      <vt:variant>
        <vt:i4>2949168</vt:i4>
      </vt:variant>
      <vt:variant>
        <vt:i4>15</vt:i4>
      </vt:variant>
      <vt:variant>
        <vt:i4>0</vt:i4>
      </vt:variant>
      <vt:variant>
        <vt:i4>5</vt:i4>
      </vt:variant>
      <vt:variant>
        <vt:lpwstr>http://graphicssoft.about.com/cs/resolution/a/increasingres.htm</vt:lpwstr>
      </vt:variant>
      <vt:variant>
        <vt:lpwstr/>
      </vt:variant>
      <vt:variant>
        <vt:i4>5242944</vt:i4>
      </vt:variant>
      <vt:variant>
        <vt:i4>3</vt:i4>
      </vt:variant>
      <vt:variant>
        <vt:i4>0</vt:i4>
      </vt:variant>
      <vt:variant>
        <vt:i4>5</vt:i4>
      </vt:variant>
      <vt:variant>
        <vt:lpwstr>http://www.uwp.edu/departments/library/guides/apa.htm</vt:lpwstr>
      </vt:variant>
      <vt:variant>
        <vt:lpwstr/>
      </vt:variant>
      <vt:variant>
        <vt:i4>7209004</vt:i4>
      </vt:variant>
      <vt:variant>
        <vt:i4>0</vt:i4>
      </vt:variant>
      <vt:variant>
        <vt:i4>0</vt:i4>
      </vt:variant>
      <vt:variant>
        <vt:i4>5</vt:i4>
      </vt:variant>
      <vt:variant>
        <vt:lpwstr>https://www.hfes.org/web/HFESMeetings/2014FormattingGuidelines.pdf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That Explains The Goals/Relationships In The Report</dc:title>
  <dc:subject/>
  <dc:creator>Gaojian Huang</dc:creator>
  <cp:keywords/>
  <cp:lastModifiedBy>Spartan</cp:lastModifiedBy>
  <cp:revision>2</cp:revision>
  <cp:lastPrinted>2012-03-19T07:48:00Z</cp:lastPrinted>
  <dcterms:created xsi:type="dcterms:W3CDTF">2024-05-04T05:58:00Z</dcterms:created>
  <dcterms:modified xsi:type="dcterms:W3CDTF">2024-05-04T05:58:00Z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0x010100B8F3CC97FB042342BCFCBF29EA1721A0</vt:lpwstr>
  </property>
</Properties>
</file>