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949B" w14:textId="209F3E68" w:rsidR="00D93D29" w:rsidRPr="00071CBF" w:rsidRDefault="00D93D29" w:rsidP="00071CBF">
      <w:pPr>
        <w:pStyle w:val="Heading1"/>
      </w:pPr>
      <w:r w:rsidRPr="00071CBF">
        <w:t>Critical Review of the Article</w:t>
      </w:r>
    </w:p>
    <w:p w14:paraId="17B7C26C" w14:textId="5CB5E90B" w:rsidR="00D93D29" w:rsidRPr="00923A36" w:rsidRDefault="00D93D29" w:rsidP="00C636D4">
      <w:pPr>
        <w:rPr>
          <w:rFonts w:cstheme="minorHAnsi"/>
        </w:rPr>
      </w:pPr>
      <w:r w:rsidRPr="00923A36">
        <w:rPr>
          <w:rFonts w:cstheme="minorHAnsi"/>
        </w:rPr>
        <w:t xml:space="preserve">The paper titled "The ‘just’ management of urban air pollution? A geospatial analysis of low emission zones in Brussels and London" by </w:t>
      </w:r>
      <w:sdt>
        <w:sdtPr>
          <w:rPr>
            <w:rFonts w:cstheme="minorHAnsi"/>
          </w:rPr>
          <w:id w:val="1572700921"/>
          <w:citation/>
        </w:sdtPr>
        <w:sdtContent>
          <w:r w:rsidR="0015403A" w:rsidRPr="00923A36">
            <w:rPr>
              <w:rFonts w:cstheme="minorHAnsi"/>
            </w:rPr>
            <w:fldChar w:fldCharType="begin"/>
          </w:r>
          <w:r w:rsidR="0015403A" w:rsidRPr="00923A36">
            <w:rPr>
              <w:rFonts w:cstheme="minorHAnsi"/>
            </w:rPr>
            <w:instrText xml:space="preserve"> CITATION Tho22 \l 1033 </w:instrText>
          </w:r>
          <w:r w:rsidR="0015403A" w:rsidRPr="00923A36">
            <w:rPr>
              <w:rFonts w:cstheme="minorHAnsi"/>
            </w:rPr>
            <w:fldChar w:fldCharType="separate"/>
          </w:r>
          <w:r w:rsidR="0015403A" w:rsidRPr="00923A36">
            <w:rPr>
              <w:rFonts w:cstheme="minorHAnsi"/>
              <w:noProof/>
            </w:rPr>
            <w:t>(Thomas Verbeek, March 2022)</w:t>
          </w:r>
          <w:r w:rsidR="0015403A" w:rsidRPr="00923A36">
            <w:rPr>
              <w:rFonts w:cstheme="minorHAnsi"/>
            </w:rPr>
            <w:fldChar w:fldCharType="end"/>
          </w:r>
        </w:sdtContent>
      </w:sdt>
      <w:r w:rsidRPr="00923A36">
        <w:rPr>
          <w:rFonts w:cstheme="minorHAnsi"/>
        </w:rPr>
        <w:t>engages in a comprehensive examination of the 'just' management of urban air pollution, primarily focusing on the implementation and impact of low emission zones (LEZ) in Brussels and London. The study utilizes advanced geospatial techniques, including Geographically Weighted Regression (GWR) and Ordinary Least Square (OLS) models, to discern spatial variations in the relationships between income, air pollution, non-compliant cars, and public transport accessibility.</w:t>
      </w:r>
    </w:p>
    <w:p w14:paraId="08720AFB" w14:textId="14509AC4" w:rsidR="00961E94" w:rsidRPr="00923A36" w:rsidRDefault="00D93D29" w:rsidP="00C636D4">
      <w:pPr>
        <w:rPr>
          <w:rStyle w:val="Heading2Char"/>
          <w:rFonts w:asciiTheme="minorHAnsi" w:hAnsiTheme="minorHAnsi" w:cstheme="minorHAnsi"/>
          <w:sz w:val="22"/>
          <w:szCs w:val="22"/>
        </w:rPr>
      </w:pPr>
      <w:r w:rsidRPr="00923A36">
        <w:rPr>
          <w:rStyle w:val="Heading2Char"/>
          <w:rFonts w:asciiTheme="minorHAnsi" w:hAnsiTheme="minorHAnsi" w:cstheme="minorHAnsi"/>
          <w:sz w:val="22"/>
          <w:szCs w:val="22"/>
        </w:rPr>
        <w:t xml:space="preserve">Exploration of Techniques: </w:t>
      </w:r>
    </w:p>
    <w:p w14:paraId="3E6CA13B" w14:textId="4B4F4A48" w:rsidR="00961E94" w:rsidRPr="00923A36" w:rsidRDefault="00D93D29" w:rsidP="00C636D4">
      <w:pPr>
        <w:rPr>
          <w:rFonts w:cstheme="minorHAnsi"/>
        </w:rPr>
      </w:pPr>
      <w:r w:rsidRPr="00923A36">
        <w:rPr>
          <w:rFonts w:cstheme="minorHAnsi"/>
        </w:rPr>
        <w:t xml:space="preserve">The study adeptly employs two main techniques—Geographically Weighted Regression (GWR) and Ordinary Least Square (OLS). Ordinary Least Square models provide a broad overview by assuming consistent relationships across the studied area. </w:t>
      </w:r>
      <w:sdt>
        <w:sdtPr>
          <w:rPr>
            <w:rFonts w:cstheme="minorHAnsi"/>
          </w:rPr>
          <w:id w:val="-887954578"/>
          <w:citation/>
        </w:sdtPr>
        <w:sdtContent>
          <w:r w:rsidR="0015403A" w:rsidRPr="00923A36">
            <w:rPr>
              <w:rFonts w:cstheme="minorHAnsi"/>
            </w:rPr>
            <w:fldChar w:fldCharType="begin"/>
          </w:r>
          <w:r w:rsidR="0015403A" w:rsidRPr="00923A36">
            <w:rPr>
              <w:rFonts w:cstheme="minorHAnsi"/>
            </w:rPr>
            <w:instrText xml:space="preserve"> CITATION Tho22 \l 1033 </w:instrText>
          </w:r>
          <w:r w:rsidR="0015403A" w:rsidRPr="00923A36">
            <w:rPr>
              <w:rFonts w:cstheme="minorHAnsi"/>
            </w:rPr>
            <w:fldChar w:fldCharType="separate"/>
          </w:r>
          <w:r w:rsidR="0015403A" w:rsidRPr="00923A36">
            <w:rPr>
              <w:rFonts w:cstheme="minorHAnsi"/>
              <w:noProof/>
            </w:rPr>
            <w:t>(Thomas Verbeek, March 2022)</w:t>
          </w:r>
          <w:r w:rsidR="0015403A" w:rsidRPr="00923A36">
            <w:rPr>
              <w:rFonts w:cstheme="minorHAnsi"/>
            </w:rPr>
            <w:fldChar w:fldCharType="end"/>
          </w:r>
        </w:sdtContent>
      </w:sdt>
    </w:p>
    <w:p w14:paraId="7FAA60FA" w14:textId="1A1BFAAE" w:rsidR="00D93D29" w:rsidRPr="00923A36" w:rsidRDefault="00D93D29" w:rsidP="00C636D4">
      <w:pPr>
        <w:rPr>
          <w:rFonts w:cstheme="minorHAnsi"/>
        </w:rPr>
      </w:pPr>
      <w:r w:rsidRPr="00923A36">
        <w:rPr>
          <w:rFonts w:cstheme="minorHAnsi"/>
        </w:rPr>
        <w:t>On the other hand, GWR allows for a more nuanced understanding by permitting regression coefficients to vary spatially. This approach provides a localized perspective, unveiling specific patterns and variations in the impact of income on air pollution, non-compliant cars, and public transport accessibility. Notably, adaptive kernels, bisquare weighting, and optimal bandwidth selection based on the AICc are applied to refine the GWR models.</w:t>
      </w:r>
    </w:p>
    <w:p w14:paraId="46575C6B" w14:textId="77777777" w:rsidR="00D93D29" w:rsidRPr="00923A36" w:rsidRDefault="00D93D29" w:rsidP="00190A89">
      <w:pPr>
        <w:pStyle w:val="Heading1"/>
        <w:rPr>
          <w:rFonts w:asciiTheme="minorHAnsi" w:hAnsiTheme="minorHAnsi" w:cstheme="minorHAnsi"/>
          <w:sz w:val="22"/>
          <w:szCs w:val="22"/>
        </w:rPr>
      </w:pPr>
      <w:r w:rsidRPr="00923A36">
        <w:rPr>
          <w:rFonts w:asciiTheme="minorHAnsi" w:hAnsiTheme="minorHAnsi" w:cstheme="minorHAnsi"/>
          <w:sz w:val="22"/>
          <w:szCs w:val="22"/>
        </w:rPr>
        <w:t>Key Contributions of the Study:</w:t>
      </w:r>
    </w:p>
    <w:p w14:paraId="2081499E" w14:textId="1FCD0E4D" w:rsidR="00D93D29" w:rsidRPr="00923A36" w:rsidRDefault="00D93D29" w:rsidP="00C636D4">
      <w:pPr>
        <w:rPr>
          <w:rFonts w:cstheme="minorHAnsi"/>
        </w:rPr>
      </w:pPr>
      <w:r w:rsidRPr="00923A36">
        <w:rPr>
          <w:rStyle w:val="Heading2Char"/>
          <w:rFonts w:asciiTheme="minorHAnsi" w:hAnsiTheme="minorHAnsi" w:cstheme="minorHAnsi"/>
          <w:sz w:val="22"/>
          <w:szCs w:val="22"/>
        </w:rPr>
        <w:t xml:space="preserve">Spatially Nuanced Analysis: </w:t>
      </w:r>
      <w:r w:rsidRPr="00923A36">
        <w:rPr>
          <w:rFonts w:cstheme="minorHAnsi"/>
        </w:rPr>
        <w:t xml:space="preserve">The research goes beyond conventional global models, opting for a more granular, spatially nuanced analysis </w:t>
      </w:r>
      <w:sdt>
        <w:sdtPr>
          <w:rPr>
            <w:rFonts w:cstheme="minorHAnsi"/>
          </w:rPr>
          <w:id w:val="-646506660"/>
          <w:citation/>
        </w:sdtPr>
        <w:sdtContent>
          <w:r w:rsidR="0015403A" w:rsidRPr="00923A36">
            <w:rPr>
              <w:rFonts w:cstheme="minorHAnsi"/>
            </w:rPr>
            <w:fldChar w:fldCharType="begin"/>
          </w:r>
          <w:r w:rsidR="0015403A" w:rsidRPr="00923A36">
            <w:rPr>
              <w:rFonts w:cstheme="minorHAnsi"/>
            </w:rPr>
            <w:instrText xml:space="preserve"> CITATION Tho22 \l 1033 </w:instrText>
          </w:r>
          <w:r w:rsidR="0015403A" w:rsidRPr="00923A36">
            <w:rPr>
              <w:rFonts w:cstheme="minorHAnsi"/>
            </w:rPr>
            <w:fldChar w:fldCharType="separate"/>
          </w:r>
          <w:r w:rsidR="0015403A" w:rsidRPr="00923A36">
            <w:rPr>
              <w:rFonts w:cstheme="minorHAnsi"/>
              <w:noProof/>
            </w:rPr>
            <w:t>(Thomas Verbeek, March 2022)</w:t>
          </w:r>
          <w:r w:rsidR="0015403A" w:rsidRPr="00923A36">
            <w:rPr>
              <w:rFonts w:cstheme="minorHAnsi"/>
            </w:rPr>
            <w:fldChar w:fldCharType="end"/>
          </w:r>
        </w:sdtContent>
      </w:sdt>
      <w:r w:rsidR="0015403A" w:rsidRPr="00923A36">
        <w:rPr>
          <w:rFonts w:cstheme="minorHAnsi"/>
        </w:rPr>
        <w:t xml:space="preserve">. </w:t>
      </w:r>
      <w:r w:rsidRPr="00923A36">
        <w:rPr>
          <w:rFonts w:cstheme="minorHAnsi"/>
        </w:rPr>
        <w:t>The GWR technique, by acknowledging spatial heterogeneity, uncovers local variations, enabling policymakers to tailor interventions more precisely to specific contexts.</w:t>
      </w:r>
    </w:p>
    <w:p w14:paraId="1AF1F696" w14:textId="1DC112D6" w:rsidR="00D93D29" w:rsidRPr="00923A36" w:rsidRDefault="00D93D29" w:rsidP="00C636D4">
      <w:pPr>
        <w:rPr>
          <w:rFonts w:cstheme="minorHAnsi"/>
        </w:rPr>
      </w:pPr>
      <w:r w:rsidRPr="00923A36">
        <w:rPr>
          <w:rStyle w:val="Heading2Char"/>
          <w:rFonts w:asciiTheme="minorHAnsi" w:hAnsiTheme="minorHAnsi" w:cstheme="minorHAnsi"/>
          <w:sz w:val="22"/>
          <w:szCs w:val="22"/>
        </w:rPr>
        <w:t>Environmental and Transport Justice Perspective:</w:t>
      </w:r>
      <w:r w:rsidRPr="00923A36">
        <w:rPr>
          <w:rFonts w:cstheme="minorHAnsi"/>
        </w:rPr>
        <w:t xml:space="preserve"> The study adopts a holistic approach by incorporating environmental and transport justice considerations </w:t>
      </w:r>
      <w:sdt>
        <w:sdtPr>
          <w:rPr>
            <w:rFonts w:cstheme="minorHAnsi"/>
          </w:rPr>
          <w:id w:val="-1606483592"/>
          <w:citation/>
        </w:sdtPr>
        <w:sdtContent>
          <w:r w:rsidR="009740CB" w:rsidRPr="00923A36">
            <w:rPr>
              <w:rFonts w:cstheme="minorHAnsi"/>
            </w:rPr>
            <w:fldChar w:fldCharType="begin"/>
          </w:r>
          <w:r w:rsidR="009740CB" w:rsidRPr="00923A36">
            <w:rPr>
              <w:rFonts w:cstheme="minorHAnsi"/>
            </w:rPr>
            <w:instrText xml:space="preserve"> CITATION Tho22 \l 1033 </w:instrText>
          </w:r>
          <w:r w:rsidR="009740CB" w:rsidRPr="00923A36">
            <w:rPr>
              <w:rFonts w:cstheme="minorHAnsi"/>
            </w:rPr>
            <w:fldChar w:fldCharType="separate"/>
          </w:r>
          <w:r w:rsidR="009740CB" w:rsidRPr="00923A36">
            <w:rPr>
              <w:rFonts w:cstheme="minorHAnsi"/>
              <w:noProof/>
            </w:rPr>
            <w:t>(Thomas Verbeek, March 2022)</w:t>
          </w:r>
          <w:r w:rsidR="009740CB" w:rsidRPr="00923A36">
            <w:rPr>
              <w:rFonts w:cstheme="minorHAnsi"/>
            </w:rPr>
            <w:fldChar w:fldCharType="end"/>
          </w:r>
        </w:sdtContent>
      </w:sdt>
      <w:r w:rsidR="009740CB" w:rsidRPr="00923A36">
        <w:rPr>
          <w:rFonts w:cstheme="minorHAnsi"/>
        </w:rPr>
        <w:t>.</w:t>
      </w:r>
      <w:r w:rsidR="002962B2" w:rsidRPr="00923A36">
        <w:rPr>
          <w:rFonts w:cstheme="minorHAnsi"/>
        </w:rPr>
        <w:t xml:space="preserve"> </w:t>
      </w:r>
      <w:r w:rsidRPr="00923A36">
        <w:rPr>
          <w:rFonts w:cstheme="minorHAnsi"/>
        </w:rPr>
        <w:t>Instead of focusing solely on overall impacts, the research delves into the distribution of these impacts concerning income levels. This adds a layer of social equity to the discourse on urban environmental policies.</w:t>
      </w:r>
    </w:p>
    <w:p w14:paraId="4F8D9735" w14:textId="6EF05639" w:rsidR="00D93D29" w:rsidRPr="00923A36" w:rsidRDefault="00D93D29" w:rsidP="00C636D4">
      <w:pPr>
        <w:rPr>
          <w:rFonts w:cstheme="minorHAnsi"/>
        </w:rPr>
      </w:pPr>
      <w:r w:rsidRPr="00923A36">
        <w:rPr>
          <w:rStyle w:val="Heading2Char"/>
          <w:rFonts w:asciiTheme="minorHAnsi" w:hAnsiTheme="minorHAnsi" w:cstheme="minorHAnsi"/>
          <w:sz w:val="22"/>
          <w:szCs w:val="22"/>
        </w:rPr>
        <w:t>Methodological Advancements:</w:t>
      </w:r>
      <w:r w:rsidRPr="00923A36">
        <w:rPr>
          <w:rFonts w:cstheme="minorHAnsi"/>
        </w:rPr>
        <w:t xml:space="preserve"> Beyond its substantive findings, the paper contributes methodologically by showcasing the efficacy of GWR in exploring local variations in urban phenomena</w:t>
      </w:r>
      <w:sdt>
        <w:sdtPr>
          <w:rPr>
            <w:rFonts w:cstheme="minorHAnsi"/>
          </w:rPr>
          <w:id w:val="-1649584099"/>
          <w:citation/>
        </w:sdtPr>
        <w:sdtContent>
          <w:r w:rsidR="00AE1A2C" w:rsidRPr="00923A36">
            <w:rPr>
              <w:rFonts w:cstheme="minorHAnsi"/>
            </w:rPr>
            <w:fldChar w:fldCharType="begin"/>
          </w:r>
          <w:r w:rsidR="00AE1A2C" w:rsidRPr="00923A36">
            <w:rPr>
              <w:rFonts w:cstheme="minorHAnsi"/>
            </w:rPr>
            <w:instrText xml:space="preserve"> CITATION Tho22 \l 1033 </w:instrText>
          </w:r>
          <w:r w:rsidR="00AE1A2C" w:rsidRPr="00923A36">
            <w:rPr>
              <w:rFonts w:cstheme="minorHAnsi"/>
            </w:rPr>
            <w:fldChar w:fldCharType="separate"/>
          </w:r>
          <w:r w:rsidR="00AE1A2C" w:rsidRPr="00923A36">
            <w:rPr>
              <w:rFonts w:cstheme="minorHAnsi"/>
              <w:noProof/>
            </w:rPr>
            <w:t xml:space="preserve"> (Thomas Verbeek, March 2022)</w:t>
          </w:r>
          <w:r w:rsidR="00AE1A2C" w:rsidRPr="00923A36">
            <w:rPr>
              <w:rFonts w:cstheme="minorHAnsi"/>
            </w:rPr>
            <w:fldChar w:fldCharType="end"/>
          </w:r>
        </w:sdtContent>
      </w:sdt>
      <w:r w:rsidRPr="00923A36">
        <w:rPr>
          <w:rFonts w:cstheme="minorHAnsi"/>
        </w:rPr>
        <w:t>. It underscores the importance of considering spatial heterogeneity when evaluating the impact of environmental policies, providing a methodological template for similar studies.</w:t>
      </w:r>
    </w:p>
    <w:p w14:paraId="5A94D05A" w14:textId="77777777" w:rsidR="00190A89" w:rsidRPr="00923A36" w:rsidRDefault="00190A89" w:rsidP="00C636D4">
      <w:pPr>
        <w:rPr>
          <w:rFonts w:cstheme="minorHAnsi"/>
        </w:rPr>
      </w:pPr>
    </w:p>
    <w:p w14:paraId="05EEA75F" w14:textId="77777777" w:rsidR="00D93D29" w:rsidRPr="00923A36" w:rsidRDefault="00D93D29" w:rsidP="00190A89">
      <w:pPr>
        <w:pStyle w:val="Heading1"/>
        <w:rPr>
          <w:rFonts w:asciiTheme="minorHAnsi" w:hAnsiTheme="minorHAnsi" w:cstheme="minorHAnsi"/>
          <w:sz w:val="22"/>
          <w:szCs w:val="22"/>
        </w:rPr>
      </w:pPr>
      <w:r w:rsidRPr="00923A36">
        <w:rPr>
          <w:rFonts w:asciiTheme="minorHAnsi" w:hAnsiTheme="minorHAnsi" w:cstheme="minorHAnsi"/>
          <w:sz w:val="22"/>
          <w:szCs w:val="22"/>
        </w:rPr>
        <w:t>Critical Points for Consideration:</w:t>
      </w:r>
    </w:p>
    <w:p w14:paraId="2F979632" w14:textId="06D0EF79" w:rsidR="00D93D29" w:rsidRPr="00923A36" w:rsidRDefault="00D93D29" w:rsidP="00C636D4">
      <w:pPr>
        <w:rPr>
          <w:rFonts w:cstheme="minorHAnsi"/>
        </w:rPr>
      </w:pPr>
      <w:r w:rsidRPr="00923A36">
        <w:rPr>
          <w:rStyle w:val="Heading2Char"/>
          <w:rFonts w:asciiTheme="minorHAnsi" w:hAnsiTheme="minorHAnsi" w:cstheme="minorHAnsi"/>
          <w:sz w:val="22"/>
          <w:szCs w:val="22"/>
        </w:rPr>
        <w:t>Data Limitations and Indicator Simplification:</w:t>
      </w:r>
      <w:r w:rsidRPr="00923A36">
        <w:rPr>
          <w:rFonts w:cstheme="minorHAnsi"/>
        </w:rPr>
        <w:t xml:space="preserve"> One notable limitation is the reliance on average income as the exclusive indicator for socio-economic status </w:t>
      </w:r>
      <w:sdt>
        <w:sdtPr>
          <w:rPr>
            <w:rFonts w:cstheme="minorHAnsi"/>
          </w:rPr>
          <w:id w:val="-1864885661"/>
          <w:citation/>
        </w:sdtPr>
        <w:sdtContent>
          <w:r w:rsidR="00257C7E" w:rsidRPr="00923A36">
            <w:rPr>
              <w:rFonts w:cstheme="minorHAnsi"/>
            </w:rPr>
            <w:fldChar w:fldCharType="begin"/>
          </w:r>
          <w:r w:rsidR="00257C7E" w:rsidRPr="00923A36">
            <w:rPr>
              <w:rFonts w:cstheme="minorHAnsi"/>
            </w:rPr>
            <w:instrText xml:space="preserve"> CITATION Tho22 \l 1033 </w:instrText>
          </w:r>
          <w:r w:rsidR="00257C7E" w:rsidRPr="00923A36">
            <w:rPr>
              <w:rFonts w:cstheme="minorHAnsi"/>
            </w:rPr>
            <w:fldChar w:fldCharType="separate"/>
          </w:r>
          <w:r w:rsidR="00257C7E" w:rsidRPr="00923A36">
            <w:rPr>
              <w:rFonts w:cstheme="minorHAnsi"/>
              <w:noProof/>
            </w:rPr>
            <w:t>(Thomas Verbeek, March 2022)</w:t>
          </w:r>
          <w:r w:rsidR="00257C7E" w:rsidRPr="00923A36">
            <w:rPr>
              <w:rFonts w:cstheme="minorHAnsi"/>
            </w:rPr>
            <w:fldChar w:fldCharType="end"/>
          </w:r>
        </w:sdtContent>
      </w:sdt>
      <w:r w:rsidR="00257C7E" w:rsidRPr="00923A36">
        <w:rPr>
          <w:rFonts w:cstheme="minorHAnsi"/>
        </w:rPr>
        <w:t xml:space="preserve">. </w:t>
      </w:r>
      <w:r w:rsidRPr="00923A36">
        <w:rPr>
          <w:rFonts w:cstheme="minorHAnsi"/>
        </w:rPr>
        <w:t>This oversimplification may neglect the multifaceted nature of deprivation. Additionally, the study's use of air pollution and public transport indicators, while valuable, comes with inherent constraints, such as static exposure modeling and simplified accessibility measures.</w:t>
      </w:r>
    </w:p>
    <w:p w14:paraId="6569B5DB" w14:textId="61DD9DD9" w:rsidR="00D93D29" w:rsidRPr="00923A36" w:rsidRDefault="00D93D29" w:rsidP="00C636D4">
      <w:pPr>
        <w:rPr>
          <w:rFonts w:cstheme="minorHAnsi"/>
        </w:rPr>
      </w:pPr>
      <w:r w:rsidRPr="00923A36">
        <w:rPr>
          <w:rStyle w:val="Heading2Char"/>
          <w:rFonts w:asciiTheme="minorHAnsi" w:hAnsiTheme="minorHAnsi" w:cstheme="minorHAnsi"/>
          <w:sz w:val="22"/>
          <w:szCs w:val="22"/>
        </w:rPr>
        <w:lastRenderedPageBreak/>
        <w:t>Spatial Scale and Potential Generalization Issues:</w:t>
      </w:r>
      <w:r w:rsidRPr="00923A36">
        <w:rPr>
          <w:rFonts w:cstheme="minorHAnsi"/>
        </w:rPr>
        <w:t xml:space="preserve"> The adoption of Middle Layer Super Output Areas (MSOAs) for analysis may obscure local variations that could be discerned at a finer spatial scale </w:t>
      </w:r>
      <w:sdt>
        <w:sdtPr>
          <w:rPr>
            <w:rFonts w:cstheme="minorHAnsi"/>
          </w:rPr>
          <w:id w:val="171922956"/>
          <w:citation/>
        </w:sdtPr>
        <w:sdtContent>
          <w:r w:rsidR="0093724B" w:rsidRPr="00923A36">
            <w:rPr>
              <w:rFonts w:cstheme="minorHAnsi"/>
            </w:rPr>
            <w:fldChar w:fldCharType="begin"/>
          </w:r>
          <w:r w:rsidR="0093724B" w:rsidRPr="00923A36">
            <w:rPr>
              <w:rFonts w:cstheme="minorHAnsi"/>
            </w:rPr>
            <w:instrText xml:space="preserve"> CITATION Tho22 \l 1033 </w:instrText>
          </w:r>
          <w:r w:rsidR="0093724B" w:rsidRPr="00923A36">
            <w:rPr>
              <w:rFonts w:cstheme="minorHAnsi"/>
            </w:rPr>
            <w:fldChar w:fldCharType="separate"/>
          </w:r>
          <w:r w:rsidR="0093724B" w:rsidRPr="00923A36">
            <w:rPr>
              <w:rFonts w:cstheme="minorHAnsi"/>
              <w:noProof/>
            </w:rPr>
            <w:t>(Thomas Verbeek, March 2022)</w:t>
          </w:r>
          <w:r w:rsidR="0093724B" w:rsidRPr="00923A36">
            <w:rPr>
              <w:rFonts w:cstheme="minorHAnsi"/>
            </w:rPr>
            <w:fldChar w:fldCharType="end"/>
          </w:r>
        </w:sdtContent>
      </w:sdt>
      <w:r w:rsidR="0093724B" w:rsidRPr="00923A36">
        <w:rPr>
          <w:rFonts w:cstheme="minorHAnsi"/>
        </w:rPr>
        <w:t xml:space="preserve">. </w:t>
      </w:r>
      <w:r w:rsidRPr="00923A36">
        <w:rPr>
          <w:rFonts w:cstheme="minorHAnsi"/>
        </w:rPr>
        <w:t>The generalization at the MSOA level might not capture the intricate socio-spatial dynamics, potentially limiting the study's representativeness.</w:t>
      </w:r>
    </w:p>
    <w:p w14:paraId="6550C41B" w14:textId="590BE274" w:rsidR="007000F4" w:rsidRPr="00923A36" w:rsidRDefault="00D93D29" w:rsidP="00C636D4">
      <w:pPr>
        <w:rPr>
          <w:rFonts w:cstheme="minorHAnsi"/>
        </w:rPr>
      </w:pPr>
      <w:r w:rsidRPr="00923A36">
        <w:rPr>
          <w:rFonts w:cstheme="minorHAnsi"/>
        </w:rPr>
        <w:t xml:space="preserve">While GWR is a potent tool for understanding local variations, it faces challenges in terms of model fitting, especially in the context of London </w:t>
      </w:r>
      <w:sdt>
        <w:sdtPr>
          <w:rPr>
            <w:rFonts w:cstheme="minorHAnsi"/>
          </w:rPr>
          <w:id w:val="527697475"/>
          <w:citation/>
        </w:sdtPr>
        <w:sdtContent>
          <w:r w:rsidR="004146DE" w:rsidRPr="00923A36">
            <w:rPr>
              <w:rFonts w:cstheme="minorHAnsi"/>
            </w:rPr>
            <w:fldChar w:fldCharType="begin"/>
          </w:r>
          <w:r w:rsidR="004146DE" w:rsidRPr="00923A36">
            <w:rPr>
              <w:rFonts w:cstheme="minorHAnsi"/>
            </w:rPr>
            <w:instrText xml:space="preserve"> CITATION Tho22 \l 1033 </w:instrText>
          </w:r>
          <w:r w:rsidR="004146DE" w:rsidRPr="00923A36">
            <w:rPr>
              <w:rFonts w:cstheme="minorHAnsi"/>
            </w:rPr>
            <w:fldChar w:fldCharType="separate"/>
          </w:r>
          <w:r w:rsidR="004146DE" w:rsidRPr="00923A36">
            <w:rPr>
              <w:rFonts w:cstheme="minorHAnsi"/>
              <w:noProof/>
            </w:rPr>
            <w:t>(Thomas Verbeek, March 2022)</w:t>
          </w:r>
          <w:r w:rsidR="004146DE" w:rsidRPr="00923A36">
            <w:rPr>
              <w:rFonts w:cstheme="minorHAnsi"/>
            </w:rPr>
            <w:fldChar w:fldCharType="end"/>
          </w:r>
        </w:sdtContent>
      </w:sdt>
      <w:r w:rsidR="004146DE" w:rsidRPr="00923A36">
        <w:rPr>
          <w:rFonts w:cstheme="minorHAnsi"/>
        </w:rPr>
        <w:t xml:space="preserve">. </w:t>
      </w:r>
      <w:r w:rsidRPr="00923A36">
        <w:rPr>
          <w:rFonts w:cstheme="minorHAnsi"/>
        </w:rPr>
        <w:t>The study candidly acknowledges these issues, prompting a consideration of the generalizability of GWR findings to diverse urban contexts.</w:t>
      </w:r>
    </w:p>
    <w:p w14:paraId="25DBFFAF" w14:textId="2A6A47B6" w:rsidR="00C8489A" w:rsidRPr="00923A36" w:rsidRDefault="00923A36" w:rsidP="00C636D4">
      <w:pPr>
        <w:rPr>
          <w:rFonts w:cstheme="minorHAnsi"/>
        </w:rPr>
      </w:pPr>
      <w:r w:rsidRPr="00923A36">
        <w:rPr>
          <w:rStyle w:val="Heading3Char"/>
          <w:rFonts w:asciiTheme="minorHAnsi" w:hAnsiTheme="minorHAnsi" w:cstheme="minorHAnsi"/>
          <w:sz w:val="22"/>
          <w:szCs w:val="22"/>
        </w:rPr>
        <w:t>Policy Implications and Uneven Justice:</w:t>
      </w:r>
      <w:r w:rsidRPr="00923A36">
        <w:rPr>
          <w:rFonts w:eastAsiaTheme="majorEastAsia" w:cstheme="minorHAnsi"/>
          <w:color w:val="1F3763" w:themeColor="accent1" w:themeShade="7F"/>
        </w:rPr>
        <w:t xml:space="preserve"> </w:t>
      </w:r>
      <w:r w:rsidRPr="00923A36">
        <w:rPr>
          <w:rFonts w:cstheme="minorHAnsi"/>
        </w:rPr>
        <w:t>The paper underscores a critical observation related to the assumed uniform benefits of LEZ policies. The impact on lower-income areas varies spatially, challenging preconceptions about the distributional justice associated with such environmental policies.</w:t>
      </w:r>
    </w:p>
    <w:p w14:paraId="28251474" w14:textId="77777777" w:rsidR="00C8489A" w:rsidRPr="00923A36" w:rsidRDefault="00C8489A" w:rsidP="00C636D4">
      <w:pPr>
        <w:rPr>
          <w:rFonts w:cstheme="minorHAnsi"/>
        </w:rPr>
      </w:pPr>
    </w:p>
    <w:p w14:paraId="64B84A9A" w14:textId="77777777" w:rsidR="00693DD1" w:rsidRPr="00923A36" w:rsidRDefault="00693DD1" w:rsidP="00C636D4">
      <w:pPr>
        <w:rPr>
          <w:rFonts w:cstheme="minorHAnsi"/>
        </w:rPr>
      </w:pPr>
    </w:p>
    <w:p w14:paraId="3C367555" w14:textId="79C7394F" w:rsidR="000542D6" w:rsidRPr="00071CBF" w:rsidRDefault="000542D6" w:rsidP="00071CBF">
      <w:pPr>
        <w:pStyle w:val="Heading1"/>
      </w:pPr>
      <w:r w:rsidRPr="00071CBF">
        <w:rPr>
          <w:rStyle w:val="Heading1Char"/>
        </w:rPr>
        <w:t>Report on the Importance of Geospatial Analysis</w:t>
      </w:r>
      <w:r w:rsidRPr="00071CBF">
        <w:t xml:space="preserve"> </w:t>
      </w:r>
    </w:p>
    <w:p w14:paraId="2ADEA876" w14:textId="77E8E217" w:rsidR="00693DD1" w:rsidRPr="00923A36" w:rsidRDefault="000542D6" w:rsidP="00C636D4">
      <w:pPr>
        <w:rPr>
          <w:rFonts w:cstheme="minorHAnsi"/>
        </w:rPr>
      </w:pPr>
      <w:r w:rsidRPr="00923A36">
        <w:rPr>
          <w:rFonts w:cstheme="minorHAnsi"/>
        </w:rPr>
        <w:t>Geospatial analysis, a powerful tool in contemporary research and planning, holds immense significance in various fields, particularly in the realms of transportation planning and climate change mitigation. This report delves into the multifaceted role of geospatial analysis, exploring its applications, strengths, and challenges in addressing pressing urban challenges. The focal points of investigation include its pivotal role in optimizing transportation systems and combating climate change through informed decision-making.</w:t>
      </w:r>
    </w:p>
    <w:p w14:paraId="53E8DA30" w14:textId="77777777" w:rsidR="000542D6" w:rsidRPr="00923A36" w:rsidRDefault="000542D6" w:rsidP="000542D6">
      <w:pPr>
        <w:pStyle w:val="Heading2"/>
        <w:rPr>
          <w:rFonts w:asciiTheme="minorHAnsi" w:hAnsiTheme="minorHAnsi" w:cstheme="minorHAnsi"/>
          <w:sz w:val="22"/>
          <w:szCs w:val="22"/>
        </w:rPr>
      </w:pPr>
      <w:r w:rsidRPr="00923A36">
        <w:rPr>
          <w:rFonts w:asciiTheme="minorHAnsi" w:hAnsiTheme="minorHAnsi" w:cstheme="minorHAnsi"/>
          <w:sz w:val="22"/>
          <w:szCs w:val="22"/>
        </w:rPr>
        <w:t>Transportation Planning:</w:t>
      </w:r>
    </w:p>
    <w:p w14:paraId="27073E2D" w14:textId="5517BC9E" w:rsidR="000542D6" w:rsidRPr="00923A36" w:rsidRDefault="000542D6" w:rsidP="000542D6">
      <w:pPr>
        <w:pStyle w:val="ListParagraph"/>
        <w:numPr>
          <w:ilvl w:val="0"/>
          <w:numId w:val="9"/>
        </w:numPr>
        <w:rPr>
          <w:rFonts w:cstheme="minorHAnsi"/>
        </w:rPr>
      </w:pPr>
      <w:r w:rsidRPr="00923A36">
        <w:rPr>
          <w:rStyle w:val="Heading3Char"/>
          <w:rFonts w:asciiTheme="minorHAnsi" w:hAnsiTheme="minorHAnsi" w:cstheme="minorHAnsi"/>
          <w:sz w:val="22"/>
          <w:szCs w:val="22"/>
        </w:rPr>
        <w:t>Current State:</w:t>
      </w:r>
      <w:r w:rsidRPr="00923A36">
        <w:rPr>
          <w:rFonts w:cstheme="minorHAnsi"/>
        </w:rPr>
        <w:t xml:space="preserve"> Geospatial analysis plays a pivotal role in revolutionizing transportation planning by providing a comprehensive understanding of traffic dynamics, congestion patterns, and environmental repercussions. The ongoing study on low emission zones (LEZs) in Brussels and London exemplifies its application in guiding policy implementation for curbing air pollution from non-compliant vehicles </w:t>
      </w:r>
      <w:sdt>
        <w:sdtPr>
          <w:rPr>
            <w:rFonts w:cstheme="minorHAnsi"/>
          </w:rPr>
          <w:id w:val="-1255051400"/>
          <w:citation/>
        </w:sdtPr>
        <w:sdtContent>
          <w:r w:rsidR="00507FCB" w:rsidRPr="00923A36">
            <w:rPr>
              <w:rFonts w:cstheme="minorHAnsi"/>
            </w:rPr>
            <w:fldChar w:fldCharType="begin"/>
          </w:r>
          <w:r w:rsidR="00507FCB" w:rsidRPr="00923A36">
            <w:rPr>
              <w:rFonts w:cstheme="minorHAnsi"/>
            </w:rPr>
            <w:instrText xml:space="preserve"> CITATION Tho22 \l 1033 </w:instrText>
          </w:r>
          <w:r w:rsidR="00507FCB" w:rsidRPr="00923A36">
            <w:rPr>
              <w:rFonts w:cstheme="minorHAnsi"/>
            </w:rPr>
            <w:fldChar w:fldCharType="separate"/>
          </w:r>
          <w:r w:rsidR="00507FCB" w:rsidRPr="00923A36">
            <w:rPr>
              <w:rFonts w:cstheme="minorHAnsi"/>
              <w:noProof/>
            </w:rPr>
            <w:t>(Thomas Verbeek, March 2022)</w:t>
          </w:r>
          <w:r w:rsidR="00507FCB" w:rsidRPr="00923A36">
            <w:rPr>
              <w:rFonts w:cstheme="minorHAnsi"/>
            </w:rPr>
            <w:fldChar w:fldCharType="end"/>
          </w:r>
        </w:sdtContent>
      </w:sdt>
      <w:r w:rsidRPr="00923A36">
        <w:rPr>
          <w:rFonts w:cstheme="minorHAnsi"/>
        </w:rPr>
        <w:t>. Through integrating geospatial data, planners gain insights to optimize infrastructure, enhance transportation equity, and minimize ecological impact.</w:t>
      </w:r>
    </w:p>
    <w:p w14:paraId="5BE91CE9" w14:textId="77777777" w:rsidR="000542D6" w:rsidRPr="00923A36" w:rsidRDefault="000542D6" w:rsidP="000542D6">
      <w:pPr>
        <w:pStyle w:val="ListParagraph"/>
        <w:numPr>
          <w:ilvl w:val="0"/>
          <w:numId w:val="9"/>
        </w:numPr>
        <w:rPr>
          <w:rFonts w:cstheme="minorHAnsi"/>
        </w:rPr>
      </w:pPr>
      <w:r w:rsidRPr="00923A36">
        <w:rPr>
          <w:rStyle w:val="Heading3Char"/>
          <w:rFonts w:asciiTheme="minorHAnsi" w:hAnsiTheme="minorHAnsi" w:cstheme="minorHAnsi"/>
          <w:sz w:val="22"/>
          <w:szCs w:val="22"/>
        </w:rPr>
        <w:t>Challenges:</w:t>
      </w:r>
      <w:r w:rsidRPr="00923A36">
        <w:rPr>
          <w:rFonts w:cstheme="minorHAnsi"/>
        </w:rPr>
        <w:t xml:space="preserve"> Despite remarkable strides, challenges persist, including data interoperability issues, real-time data integration complexities, and the dynamic nature of transportation systems. Achieving precision while ensuring real-time applicability remains a challenge.</w:t>
      </w:r>
    </w:p>
    <w:p w14:paraId="19070B50" w14:textId="77777777" w:rsidR="000542D6" w:rsidRPr="00923A36" w:rsidRDefault="000542D6" w:rsidP="000542D6">
      <w:pPr>
        <w:pStyle w:val="ListParagraph"/>
        <w:numPr>
          <w:ilvl w:val="0"/>
          <w:numId w:val="9"/>
        </w:numPr>
        <w:rPr>
          <w:rFonts w:cstheme="minorHAnsi"/>
        </w:rPr>
      </w:pPr>
      <w:r w:rsidRPr="00923A36">
        <w:rPr>
          <w:rStyle w:val="Heading3Char"/>
          <w:rFonts w:asciiTheme="minorHAnsi" w:hAnsiTheme="minorHAnsi" w:cstheme="minorHAnsi"/>
          <w:sz w:val="22"/>
          <w:szCs w:val="22"/>
        </w:rPr>
        <w:t>Solutions:</w:t>
      </w:r>
      <w:r w:rsidRPr="00923A36">
        <w:rPr>
          <w:rFonts w:cstheme="minorHAnsi"/>
        </w:rPr>
        <w:t xml:space="preserve"> Continuous innovation in geospatial methodologies is crucial. Efforts to enhance data interoperability, streamline real-time data integration, and develop adaptive models are needed. Collaborative initiatives, technological advancements, and integrating emerging technologies like artificial intelligence contribute to robust solutions.</w:t>
      </w:r>
    </w:p>
    <w:p w14:paraId="3E49A86C" w14:textId="77777777" w:rsidR="000542D6" w:rsidRPr="00923A36" w:rsidRDefault="000542D6" w:rsidP="000542D6">
      <w:pPr>
        <w:pStyle w:val="ListParagraph"/>
        <w:numPr>
          <w:ilvl w:val="0"/>
          <w:numId w:val="9"/>
        </w:numPr>
        <w:rPr>
          <w:rFonts w:cstheme="minorHAnsi"/>
        </w:rPr>
      </w:pPr>
      <w:r w:rsidRPr="00923A36">
        <w:rPr>
          <w:rStyle w:val="Heading3Char"/>
          <w:rFonts w:asciiTheme="minorHAnsi" w:hAnsiTheme="minorHAnsi" w:cstheme="minorHAnsi"/>
          <w:sz w:val="22"/>
          <w:szCs w:val="22"/>
        </w:rPr>
        <w:t>Future Direction:</w:t>
      </w:r>
      <w:r w:rsidRPr="00923A36">
        <w:rPr>
          <w:rFonts w:cstheme="minorHAnsi"/>
        </w:rPr>
        <w:t xml:space="preserve"> The future trajectory involves refining models, ensuring adaptability to evolving urban landscapes, embracing cutting-edge technologies, fostering collaboration, and integrating real-time data.</w:t>
      </w:r>
    </w:p>
    <w:p w14:paraId="728F5B24" w14:textId="77777777" w:rsidR="000542D6" w:rsidRPr="00923A36" w:rsidRDefault="000542D6" w:rsidP="000542D6">
      <w:pPr>
        <w:rPr>
          <w:rFonts w:cstheme="minorHAnsi"/>
        </w:rPr>
      </w:pPr>
    </w:p>
    <w:p w14:paraId="2ACEFF18" w14:textId="77777777" w:rsidR="000542D6" w:rsidRPr="00923A36" w:rsidRDefault="000542D6" w:rsidP="000542D6">
      <w:pPr>
        <w:pStyle w:val="Heading2"/>
        <w:rPr>
          <w:rFonts w:asciiTheme="minorHAnsi" w:hAnsiTheme="minorHAnsi" w:cstheme="minorHAnsi"/>
          <w:sz w:val="22"/>
          <w:szCs w:val="22"/>
        </w:rPr>
      </w:pPr>
      <w:r w:rsidRPr="00923A36">
        <w:rPr>
          <w:rFonts w:asciiTheme="minorHAnsi" w:hAnsiTheme="minorHAnsi" w:cstheme="minorHAnsi"/>
          <w:sz w:val="22"/>
          <w:szCs w:val="22"/>
        </w:rPr>
        <w:lastRenderedPageBreak/>
        <w:t>Climate Change Mitigation:</w:t>
      </w:r>
    </w:p>
    <w:p w14:paraId="621CF69C" w14:textId="6BEF3CC8" w:rsidR="000542D6" w:rsidRPr="00923A36" w:rsidRDefault="000542D6" w:rsidP="000542D6">
      <w:pPr>
        <w:pStyle w:val="ListParagraph"/>
        <w:numPr>
          <w:ilvl w:val="0"/>
          <w:numId w:val="10"/>
        </w:numPr>
        <w:rPr>
          <w:rFonts w:cstheme="minorHAnsi"/>
        </w:rPr>
      </w:pPr>
      <w:r w:rsidRPr="00923A36">
        <w:rPr>
          <w:rStyle w:val="Heading3Char"/>
          <w:rFonts w:asciiTheme="minorHAnsi" w:hAnsiTheme="minorHAnsi" w:cstheme="minorHAnsi"/>
          <w:sz w:val="22"/>
          <w:szCs w:val="22"/>
        </w:rPr>
        <w:t>Current State:</w:t>
      </w:r>
      <w:r w:rsidRPr="00923A36">
        <w:rPr>
          <w:rFonts w:cstheme="minorHAnsi"/>
        </w:rPr>
        <w:t xml:space="preserve"> Geospatial analysis is a linchpin in climate change mitigation efforts, offering a spatially explicit understanding of critical factors. The study on post-Asian financial crisis trade-led development in Indonesia underscores reliance on fossil fuels, exacerbating air pollution and necessitating targeted interventions through geospatial insights </w:t>
      </w:r>
      <w:sdt>
        <w:sdtPr>
          <w:rPr>
            <w:rFonts w:cstheme="minorHAnsi"/>
          </w:rPr>
          <w:id w:val="-696228146"/>
          <w:citation/>
        </w:sdtPr>
        <w:sdtContent>
          <w:r w:rsidR="00431192" w:rsidRPr="00923A36">
            <w:rPr>
              <w:rFonts w:cstheme="minorHAnsi"/>
            </w:rPr>
            <w:fldChar w:fldCharType="begin"/>
          </w:r>
          <w:r w:rsidR="00431192" w:rsidRPr="00923A36">
            <w:rPr>
              <w:rFonts w:cstheme="minorHAnsi"/>
            </w:rPr>
            <w:instrText xml:space="preserve"> CITATION Sri08 \l 1033 </w:instrText>
          </w:r>
          <w:r w:rsidR="00431192" w:rsidRPr="00923A36">
            <w:rPr>
              <w:rFonts w:cstheme="minorHAnsi"/>
            </w:rPr>
            <w:fldChar w:fldCharType="separate"/>
          </w:r>
          <w:r w:rsidR="00431192" w:rsidRPr="00923A36">
            <w:rPr>
              <w:rFonts w:cstheme="minorHAnsi"/>
              <w:noProof/>
            </w:rPr>
            <w:t>(Sri Juari Santosa, 2008)</w:t>
          </w:r>
          <w:r w:rsidR="00431192" w:rsidRPr="00923A36">
            <w:rPr>
              <w:rFonts w:cstheme="minorHAnsi"/>
            </w:rPr>
            <w:fldChar w:fldCharType="end"/>
          </w:r>
        </w:sdtContent>
      </w:sdt>
      <w:r w:rsidR="00431192" w:rsidRPr="00923A36">
        <w:rPr>
          <w:rFonts w:cstheme="minorHAnsi"/>
        </w:rPr>
        <w:t>.</w:t>
      </w:r>
    </w:p>
    <w:p w14:paraId="0C2DB609" w14:textId="77777777" w:rsidR="000542D6" w:rsidRPr="00923A36" w:rsidRDefault="000542D6" w:rsidP="000542D6">
      <w:pPr>
        <w:pStyle w:val="ListParagraph"/>
        <w:numPr>
          <w:ilvl w:val="0"/>
          <w:numId w:val="10"/>
        </w:numPr>
        <w:rPr>
          <w:rFonts w:cstheme="minorHAnsi"/>
        </w:rPr>
      </w:pPr>
      <w:r w:rsidRPr="00923A36">
        <w:rPr>
          <w:rStyle w:val="Heading3Char"/>
          <w:rFonts w:asciiTheme="minorHAnsi" w:hAnsiTheme="minorHAnsi" w:cstheme="minorHAnsi"/>
          <w:sz w:val="22"/>
          <w:szCs w:val="22"/>
        </w:rPr>
        <w:t>Challenges:</w:t>
      </w:r>
      <w:r w:rsidRPr="00923A36">
        <w:rPr>
          <w:rFonts w:cstheme="minorHAnsi"/>
        </w:rPr>
        <w:t xml:space="preserve"> Challenges include data accuracy concerns, model uncertainties, and the imperative to integrate social and economic factors into predictive models for a holistic understanding of climate change.</w:t>
      </w:r>
    </w:p>
    <w:p w14:paraId="50AD384E" w14:textId="77777777" w:rsidR="000542D6" w:rsidRPr="00923A36" w:rsidRDefault="000542D6" w:rsidP="000542D6">
      <w:pPr>
        <w:pStyle w:val="ListParagraph"/>
        <w:numPr>
          <w:ilvl w:val="0"/>
          <w:numId w:val="10"/>
        </w:numPr>
        <w:rPr>
          <w:rFonts w:cstheme="minorHAnsi"/>
        </w:rPr>
      </w:pPr>
      <w:r w:rsidRPr="00923A36">
        <w:rPr>
          <w:rStyle w:val="Heading3Char"/>
          <w:rFonts w:asciiTheme="minorHAnsi" w:hAnsiTheme="minorHAnsi" w:cstheme="minorHAnsi"/>
          <w:sz w:val="22"/>
          <w:szCs w:val="22"/>
        </w:rPr>
        <w:t>Solutions:</w:t>
      </w:r>
      <w:r w:rsidRPr="00923A36">
        <w:rPr>
          <w:rFonts w:cstheme="minorHAnsi"/>
        </w:rPr>
        <w:t xml:space="preserve"> Future advancements entail refining models to incorporate a broader spectrum of variables. This includes improving data accuracy through enhanced monitoring technologies, addressing uncertainties in modeling methodologies, and integrating social and economic dimensions. International collaboration for data sharing and leveraging emerging technologies like machine learning are key solutions.</w:t>
      </w:r>
    </w:p>
    <w:p w14:paraId="2055FBA7" w14:textId="4B91997A" w:rsidR="000542D6" w:rsidRPr="00923A36" w:rsidRDefault="000542D6" w:rsidP="000542D6">
      <w:pPr>
        <w:pStyle w:val="ListParagraph"/>
        <w:numPr>
          <w:ilvl w:val="0"/>
          <w:numId w:val="10"/>
        </w:numPr>
        <w:rPr>
          <w:rFonts w:cstheme="minorHAnsi"/>
        </w:rPr>
      </w:pPr>
      <w:r w:rsidRPr="00923A36">
        <w:rPr>
          <w:rStyle w:val="Heading3Char"/>
          <w:rFonts w:asciiTheme="minorHAnsi" w:hAnsiTheme="minorHAnsi" w:cstheme="minorHAnsi"/>
          <w:sz w:val="22"/>
          <w:szCs w:val="22"/>
        </w:rPr>
        <w:t>Future Direction:</w:t>
      </w:r>
      <w:r w:rsidRPr="00923A36">
        <w:rPr>
          <w:rFonts w:cstheme="minorHAnsi"/>
        </w:rPr>
        <w:t xml:space="preserve"> The trajectory involves refining models, fostering global collaboration for data sharing, and embracing technologies such as machine learning. The study by </w:t>
      </w:r>
      <w:sdt>
        <w:sdtPr>
          <w:rPr>
            <w:rFonts w:cstheme="minorHAnsi"/>
          </w:rPr>
          <w:id w:val="-1024093401"/>
          <w:citation/>
        </w:sdtPr>
        <w:sdtContent>
          <w:r w:rsidR="001F3B09" w:rsidRPr="00923A36">
            <w:rPr>
              <w:rFonts w:cstheme="minorHAnsi"/>
            </w:rPr>
            <w:fldChar w:fldCharType="begin"/>
          </w:r>
          <w:r w:rsidR="001F3B09" w:rsidRPr="00923A36">
            <w:rPr>
              <w:rFonts w:cstheme="minorHAnsi"/>
            </w:rPr>
            <w:instrText xml:space="preserve"> CITATION Wil23 \l 1033 </w:instrText>
          </w:r>
          <w:r w:rsidR="001F3B09" w:rsidRPr="00923A36">
            <w:rPr>
              <w:rFonts w:cstheme="minorHAnsi"/>
            </w:rPr>
            <w:fldChar w:fldCharType="separate"/>
          </w:r>
          <w:r w:rsidR="001F3B09" w:rsidRPr="00923A36">
            <w:rPr>
              <w:rFonts w:cstheme="minorHAnsi"/>
              <w:noProof/>
            </w:rPr>
            <w:t>(Wilson, 2023)</w:t>
          </w:r>
          <w:r w:rsidR="001F3B09" w:rsidRPr="00923A36">
            <w:rPr>
              <w:rFonts w:cstheme="minorHAnsi"/>
            </w:rPr>
            <w:fldChar w:fldCharType="end"/>
          </w:r>
        </w:sdtContent>
      </w:sdt>
      <w:r w:rsidR="001F3B09" w:rsidRPr="00923A36">
        <w:rPr>
          <w:rFonts w:cstheme="minorHAnsi"/>
        </w:rPr>
        <w:t xml:space="preserve">, </w:t>
      </w:r>
      <w:r w:rsidRPr="00923A36">
        <w:rPr>
          <w:rFonts w:cstheme="minorHAnsi"/>
        </w:rPr>
        <w:t>underscores the vital role of geospatial data in measuring, analyzing, and modeling the effects of climate change on human health and well-being.</w:t>
      </w:r>
    </w:p>
    <w:p w14:paraId="1183C5C5" w14:textId="77777777" w:rsidR="0045185D" w:rsidRPr="00923A36" w:rsidRDefault="0045185D" w:rsidP="000542D6">
      <w:pPr>
        <w:rPr>
          <w:rFonts w:cstheme="minorHAnsi"/>
        </w:rPr>
      </w:pPr>
    </w:p>
    <w:p w14:paraId="605BF77B" w14:textId="77777777" w:rsidR="007D3759" w:rsidRPr="00923A36" w:rsidRDefault="007D3759" w:rsidP="00C636D4">
      <w:pPr>
        <w:rPr>
          <w:rFonts w:cstheme="minorHAnsi"/>
        </w:rPr>
      </w:pPr>
    </w:p>
    <w:p w14:paraId="74BA6F70" w14:textId="77777777" w:rsidR="007D3759" w:rsidRPr="00923A36" w:rsidRDefault="007D3759" w:rsidP="00C636D4">
      <w:pPr>
        <w:rPr>
          <w:rFonts w:cstheme="minorHAnsi"/>
        </w:rPr>
      </w:pPr>
    </w:p>
    <w:p w14:paraId="55FF5688" w14:textId="77777777" w:rsidR="00F12AF3" w:rsidRPr="00923A36" w:rsidRDefault="00D93D29" w:rsidP="00C636D4">
      <w:pPr>
        <w:rPr>
          <w:rStyle w:val="Heading2Char"/>
          <w:rFonts w:asciiTheme="minorHAnsi" w:hAnsiTheme="minorHAnsi" w:cstheme="minorHAnsi"/>
          <w:sz w:val="22"/>
          <w:szCs w:val="22"/>
        </w:rPr>
      </w:pPr>
      <w:r w:rsidRPr="00923A36">
        <w:rPr>
          <w:rStyle w:val="Heading2Char"/>
          <w:rFonts w:asciiTheme="minorHAnsi" w:hAnsiTheme="minorHAnsi" w:cstheme="minorHAnsi"/>
          <w:sz w:val="22"/>
          <w:szCs w:val="22"/>
        </w:rPr>
        <w:t>Conclusion:</w:t>
      </w:r>
    </w:p>
    <w:p w14:paraId="3A77F328" w14:textId="0E205B84" w:rsidR="00D93D29" w:rsidRPr="00923A36" w:rsidRDefault="00D93D29" w:rsidP="00C636D4">
      <w:pPr>
        <w:rPr>
          <w:rFonts w:cstheme="minorHAnsi"/>
        </w:rPr>
      </w:pPr>
      <w:r w:rsidRPr="00923A36">
        <w:rPr>
          <w:rFonts w:cstheme="minorHAnsi"/>
        </w:rPr>
        <w:t xml:space="preserve"> In conclusion, the critical review </w:t>
      </w:r>
      <w:sdt>
        <w:sdtPr>
          <w:rPr>
            <w:rFonts w:cstheme="minorHAnsi"/>
          </w:rPr>
          <w:id w:val="1680617986"/>
          <w:citation/>
        </w:sdtPr>
        <w:sdtContent>
          <w:r w:rsidR="00D104FF" w:rsidRPr="00923A36">
            <w:rPr>
              <w:rFonts w:cstheme="minorHAnsi"/>
            </w:rPr>
            <w:fldChar w:fldCharType="begin"/>
          </w:r>
          <w:r w:rsidR="00D104FF" w:rsidRPr="00923A36">
            <w:rPr>
              <w:rFonts w:cstheme="minorHAnsi"/>
            </w:rPr>
            <w:instrText xml:space="preserve"> CITATION Tho22 \l 1033 </w:instrText>
          </w:r>
          <w:r w:rsidR="00D104FF" w:rsidRPr="00923A36">
            <w:rPr>
              <w:rFonts w:cstheme="minorHAnsi"/>
            </w:rPr>
            <w:fldChar w:fldCharType="separate"/>
          </w:r>
          <w:r w:rsidR="00D104FF" w:rsidRPr="00923A36">
            <w:rPr>
              <w:rFonts w:cstheme="minorHAnsi"/>
              <w:noProof/>
            </w:rPr>
            <w:t>(Thomas Verbeek, March 2022)</w:t>
          </w:r>
          <w:r w:rsidR="00D104FF" w:rsidRPr="00923A36">
            <w:rPr>
              <w:rFonts w:cstheme="minorHAnsi"/>
            </w:rPr>
            <w:fldChar w:fldCharType="end"/>
          </w:r>
        </w:sdtContent>
      </w:sdt>
      <w:r w:rsidR="00D104FF" w:rsidRPr="00923A36">
        <w:rPr>
          <w:rFonts w:cstheme="minorHAnsi"/>
        </w:rPr>
        <w:t xml:space="preserve">, </w:t>
      </w:r>
      <w:r w:rsidRPr="00923A36">
        <w:rPr>
          <w:rFonts w:cstheme="minorHAnsi"/>
        </w:rPr>
        <w:t xml:space="preserve">article on the 'just' management of urban air pollution highlights its methodological strengths, contributions, and areas for improvement. </w:t>
      </w:r>
      <w:r w:rsidR="00B34688" w:rsidRPr="00923A36">
        <w:rPr>
          <w:rFonts w:cstheme="minorHAnsi"/>
        </w:rPr>
        <w:t>The report underscores the importance of geospatial analysis across diverse domains, including transportation planning and climate change mitigation. As technology advances, geospatial analysis remains at the forefront of data-driven decision-making, offering unparalleled insights for shaping a sustainable and equitable future.</w:t>
      </w:r>
    </w:p>
    <w:p w14:paraId="5AD9BCD8" w14:textId="77777777" w:rsidR="008C31CE" w:rsidRPr="00923A36" w:rsidRDefault="008C31CE" w:rsidP="00C636D4">
      <w:pPr>
        <w:rPr>
          <w:rFonts w:cstheme="minorHAnsi"/>
        </w:rPr>
      </w:pPr>
    </w:p>
    <w:p w14:paraId="5585C8DC" w14:textId="77777777" w:rsidR="00AE1A2C" w:rsidRPr="00923A36" w:rsidRDefault="00AE1A2C" w:rsidP="00C636D4">
      <w:pPr>
        <w:rPr>
          <w:rFonts w:cstheme="minorHAnsi"/>
        </w:rPr>
      </w:pPr>
    </w:p>
    <w:p w14:paraId="6D3040DC" w14:textId="77777777" w:rsidR="00AE1A2C" w:rsidRPr="00923A36" w:rsidRDefault="00AE1A2C" w:rsidP="00C636D4">
      <w:pPr>
        <w:rPr>
          <w:rFonts w:cstheme="minorHAnsi"/>
        </w:rPr>
      </w:pPr>
    </w:p>
    <w:sdt>
      <w:sdtPr>
        <w:rPr>
          <w:rFonts w:asciiTheme="minorHAnsi" w:eastAsiaTheme="minorHAnsi" w:hAnsiTheme="minorHAnsi" w:cstheme="minorHAnsi"/>
          <w:color w:val="auto"/>
          <w:sz w:val="22"/>
          <w:szCs w:val="22"/>
        </w:rPr>
        <w:id w:val="562756170"/>
        <w:docPartObj>
          <w:docPartGallery w:val="Bibliographies"/>
          <w:docPartUnique/>
        </w:docPartObj>
      </w:sdtPr>
      <w:sdtContent>
        <w:p w14:paraId="7809785E" w14:textId="20CA6D06" w:rsidR="00AE1A2C" w:rsidRPr="00923A36" w:rsidRDefault="00AE1A2C">
          <w:pPr>
            <w:pStyle w:val="Heading1"/>
            <w:rPr>
              <w:rFonts w:asciiTheme="minorHAnsi" w:hAnsiTheme="minorHAnsi" w:cstheme="minorHAnsi"/>
              <w:sz w:val="22"/>
              <w:szCs w:val="22"/>
            </w:rPr>
          </w:pPr>
          <w:r w:rsidRPr="00923A36">
            <w:rPr>
              <w:rFonts w:asciiTheme="minorHAnsi" w:hAnsiTheme="minorHAnsi" w:cstheme="minorHAnsi"/>
              <w:sz w:val="22"/>
              <w:szCs w:val="22"/>
            </w:rPr>
            <w:t>References</w:t>
          </w:r>
        </w:p>
        <w:sdt>
          <w:sdtPr>
            <w:rPr>
              <w:rFonts w:cstheme="minorHAnsi"/>
            </w:rPr>
            <w:id w:val="-573587230"/>
            <w:bibliography/>
          </w:sdtPr>
          <w:sdtContent>
            <w:p w14:paraId="2B884599" w14:textId="77777777" w:rsidR="00AE1A2C" w:rsidRPr="00923A36" w:rsidRDefault="00AE1A2C" w:rsidP="00AE1A2C">
              <w:pPr>
                <w:pStyle w:val="Bibliography"/>
                <w:rPr>
                  <w:rFonts w:cstheme="minorHAnsi"/>
                  <w:noProof/>
                  <w:kern w:val="0"/>
                  <w14:ligatures w14:val="none"/>
                </w:rPr>
              </w:pPr>
              <w:r w:rsidRPr="00923A36">
                <w:rPr>
                  <w:rFonts w:cstheme="minorHAnsi"/>
                </w:rPr>
                <w:fldChar w:fldCharType="begin"/>
              </w:r>
              <w:r w:rsidRPr="00923A36">
                <w:rPr>
                  <w:rFonts w:cstheme="minorHAnsi"/>
                </w:rPr>
                <w:instrText xml:space="preserve"> BIBLIOGRAPHY </w:instrText>
              </w:r>
              <w:r w:rsidRPr="00923A36">
                <w:rPr>
                  <w:rFonts w:cstheme="minorHAnsi"/>
                </w:rPr>
                <w:fldChar w:fldCharType="separate"/>
              </w:r>
              <w:r w:rsidRPr="00923A36">
                <w:rPr>
                  <w:rFonts w:cstheme="minorHAnsi"/>
                  <w:noProof/>
                </w:rPr>
                <w:t xml:space="preserve">Sri Juari Santosa, T. O. S. T., 2008. Air Pollution and Urban Air Quality Management in Indonesia. </w:t>
              </w:r>
              <w:r w:rsidRPr="00923A36">
                <w:rPr>
                  <w:rFonts w:cstheme="minorHAnsi"/>
                  <w:i/>
                  <w:iCs/>
                  <w:noProof/>
                </w:rPr>
                <w:t xml:space="preserve">Special Issue: Green and Sustainable Chemistry and Technology in South and East Asia, </w:t>
              </w:r>
              <w:r w:rsidRPr="00923A36">
                <w:rPr>
                  <w:rFonts w:cstheme="minorHAnsi"/>
                  <w:noProof/>
                </w:rPr>
                <w:t>36(5-6), pp. 466-475.</w:t>
              </w:r>
            </w:p>
            <w:p w14:paraId="25E2CD2F" w14:textId="77777777" w:rsidR="00AE1A2C" w:rsidRPr="00923A36" w:rsidRDefault="00AE1A2C" w:rsidP="00AE1A2C">
              <w:pPr>
                <w:pStyle w:val="Bibliography"/>
                <w:rPr>
                  <w:rFonts w:cstheme="minorHAnsi"/>
                  <w:noProof/>
                </w:rPr>
              </w:pPr>
              <w:r w:rsidRPr="00923A36">
                <w:rPr>
                  <w:rFonts w:cstheme="minorHAnsi"/>
                  <w:noProof/>
                </w:rPr>
                <w:t xml:space="preserve">Thomas Verbeek, S. H., March 2022. The ‘just’ management of urban air pollution? A geospatial analysis of low emission zones in Brussels and London. </w:t>
              </w:r>
              <w:r w:rsidRPr="00923A36">
                <w:rPr>
                  <w:rFonts w:cstheme="minorHAnsi"/>
                  <w:i/>
                  <w:iCs/>
                  <w:noProof/>
                </w:rPr>
                <w:t xml:space="preserve">Applied Geography, </w:t>
              </w:r>
              <w:r w:rsidRPr="00923A36">
                <w:rPr>
                  <w:rFonts w:cstheme="minorHAnsi"/>
                  <w:noProof/>
                </w:rPr>
                <w:t>Volume 140.</w:t>
              </w:r>
            </w:p>
            <w:p w14:paraId="08E64C4F" w14:textId="77777777" w:rsidR="00AE1A2C" w:rsidRPr="00923A36" w:rsidRDefault="00AE1A2C" w:rsidP="00AE1A2C">
              <w:pPr>
                <w:pStyle w:val="Bibliography"/>
                <w:rPr>
                  <w:rFonts w:cstheme="minorHAnsi"/>
                  <w:noProof/>
                </w:rPr>
              </w:pPr>
              <w:r w:rsidRPr="00923A36">
                <w:rPr>
                  <w:rFonts w:cstheme="minorHAnsi"/>
                  <w:noProof/>
                </w:rPr>
                <w:t xml:space="preserve">Wilson, M. N. K. B. &amp;. J. P., 2023. Geospatial techniques for monitoring and mitigating climate change and its effects on human health. </w:t>
              </w:r>
              <w:r w:rsidRPr="00923A36">
                <w:rPr>
                  <w:rFonts w:cstheme="minorHAnsi"/>
                  <w:i/>
                  <w:iCs/>
                  <w:noProof/>
                </w:rPr>
                <w:t>International Journal of Health Geographics volume.</w:t>
              </w:r>
            </w:p>
            <w:p w14:paraId="1E5B9819" w14:textId="54DC4185" w:rsidR="00AE1A2C" w:rsidRPr="00923A36" w:rsidRDefault="00AE1A2C" w:rsidP="00AE1A2C">
              <w:pPr>
                <w:rPr>
                  <w:rFonts w:cstheme="minorHAnsi"/>
                </w:rPr>
              </w:pPr>
              <w:r w:rsidRPr="00923A36">
                <w:rPr>
                  <w:rFonts w:cstheme="minorHAnsi"/>
                  <w:b/>
                  <w:bCs/>
                  <w:noProof/>
                </w:rPr>
                <w:lastRenderedPageBreak/>
                <w:fldChar w:fldCharType="end"/>
              </w:r>
            </w:p>
          </w:sdtContent>
        </w:sdt>
      </w:sdtContent>
    </w:sdt>
    <w:sectPr w:rsidR="00AE1A2C" w:rsidRPr="00923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2AA"/>
    <w:multiLevelType w:val="hybridMultilevel"/>
    <w:tmpl w:val="A0B6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C47A0"/>
    <w:multiLevelType w:val="multilevel"/>
    <w:tmpl w:val="0FB2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86ACC"/>
    <w:multiLevelType w:val="multilevel"/>
    <w:tmpl w:val="C28C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139E1"/>
    <w:multiLevelType w:val="multilevel"/>
    <w:tmpl w:val="701E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45681"/>
    <w:multiLevelType w:val="hybridMultilevel"/>
    <w:tmpl w:val="BF90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5685C"/>
    <w:multiLevelType w:val="multilevel"/>
    <w:tmpl w:val="BFB0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666FD"/>
    <w:multiLevelType w:val="hybridMultilevel"/>
    <w:tmpl w:val="7EDC2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795312"/>
    <w:multiLevelType w:val="multilevel"/>
    <w:tmpl w:val="411A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A768E1"/>
    <w:multiLevelType w:val="multilevel"/>
    <w:tmpl w:val="B894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B781E"/>
    <w:multiLevelType w:val="hybridMultilevel"/>
    <w:tmpl w:val="0700EF8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2645810">
    <w:abstractNumId w:val="2"/>
  </w:num>
  <w:num w:numId="2" w16cid:durableId="301425418">
    <w:abstractNumId w:val="5"/>
  </w:num>
  <w:num w:numId="3" w16cid:durableId="1719206223">
    <w:abstractNumId w:val="7"/>
  </w:num>
  <w:num w:numId="4" w16cid:durableId="668607292">
    <w:abstractNumId w:val="8"/>
  </w:num>
  <w:num w:numId="5" w16cid:durableId="1721322621">
    <w:abstractNumId w:val="3"/>
  </w:num>
  <w:num w:numId="6" w16cid:durableId="682513870">
    <w:abstractNumId w:val="1"/>
  </w:num>
  <w:num w:numId="7" w16cid:durableId="1460563635">
    <w:abstractNumId w:val="0"/>
  </w:num>
  <w:num w:numId="8" w16cid:durableId="1780489218">
    <w:abstractNumId w:val="4"/>
  </w:num>
  <w:num w:numId="9" w16cid:durableId="1562668522">
    <w:abstractNumId w:val="9"/>
  </w:num>
  <w:num w:numId="10" w16cid:durableId="151455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50"/>
    <w:rsid w:val="000542D6"/>
    <w:rsid w:val="00065550"/>
    <w:rsid w:val="00071CBF"/>
    <w:rsid w:val="000B7357"/>
    <w:rsid w:val="0015403A"/>
    <w:rsid w:val="00190A89"/>
    <w:rsid w:val="001F3B09"/>
    <w:rsid w:val="002143A7"/>
    <w:rsid w:val="00250382"/>
    <w:rsid w:val="00257C7E"/>
    <w:rsid w:val="002962B2"/>
    <w:rsid w:val="00380AAB"/>
    <w:rsid w:val="003C3F65"/>
    <w:rsid w:val="004146DE"/>
    <w:rsid w:val="00431192"/>
    <w:rsid w:val="0045185D"/>
    <w:rsid w:val="004B4C0E"/>
    <w:rsid w:val="00507FCB"/>
    <w:rsid w:val="00513355"/>
    <w:rsid w:val="00651091"/>
    <w:rsid w:val="00693DD1"/>
    <w:rsid w:val="006C5FDD"/>
    <w:rsid w:val="007000F4"/>
    <w:rsid w:val="00707F0F"/>
    <w:rsid w:val="0073640D"/>
    <w:rsid w:val="0075436B"/>
    <w:rsid w:val="007D3759"/>
    <w:rsid w:val="00822CC0"/>
    <w:rsid w:val="008C31CE"/>
    <w:rsid w:val="00923A36"/>
    <w:rsid w:val="0093724B"/>
    <w:rsid w:val="00945566"/>
    <w:rsid w:val="009463FC"/>
    <w:rsid w:val="00961E94"/>
    <w:rsid w:val="009740CB"/>
    <w:rsid w:val="00A15B8A"/>
    <w:rsid w:val="00A43063"/>
    <w:rsid w:val="00AA0413"/>
    <w:rsid w:val="00AE1A2C"/>
    <w:rsid w:val="00B1493D"/>
    <w:rsid w:val="00B34688"/>
    <w:rsid w:val="00C306FA"/>
    <w:rsid w:val="00C636D4"/>
    <w:rsid w:val="00C8489A"/>
    <w:rsid w:val="00D104FF"/>
    <w:rsid w:val="00D12939"/>
    <w:rsid w:val="00D255B6"/>
    <w:rsid w:val="00D93D29"/>
    <w:rsid w:val="00DF573B"/>
    <w:rsid w:val="00E4292B"/>
    <w:rsid w:val="00F12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F601"/>
  <w15:chartTrackingRefBased/>
  <w15:docId w15:val="{83176940-925A-4892-BDB8-59A39BC8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F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1E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43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939"/>
    <w:rPr>
      <w:rFonts w:ascii="Times New Roman" w:hAnsi="Times New Roman" w:cs="Times New Roman"/>
      <w:sz w:val="24"/>
      <w:szCs w:val="24"/>
    </w:rPr>
  </w:style>
  <w:style w:type="character" w:customStyle="1" w:styleId="Heading1Char">
    <w:name w:val="Heading 1 Char"/>
    <w:basedOn w:val="DefaultParagraphFont"/>
    <w:link w:val="Heading1"/>
    <w:uiPriority w:val="9"/>
    <w:rsid w:val="00707F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1E9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143A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542D6"/>
    <w:pPr>
      <w:ind w:left="720"/>
      <w:contextualSpacing/>
    </w:pPr>
  </w:style>
  <w:style w:type="paragraph" w:styleId="Bibliography">
    <w:name w:val="Bibliography"/>
    <w:basedOn w:val="Normal"/>
    <w:next w:val="Normal"/>
    <w:uiPriority w:val="37"/>
    <w:unhideWhenUsed/>
    <w:rsid w:val="00AE1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2316">
      <w:bodyDiv w:val="1"/>
      <w:marLeft w:val="0"/>
      <w:marRight w:val="0"/>
      <w:marTop w:val="0"/>
      <w:marBottom w:val="0"/>
      <w:divBdr>
        <w:top w:val="none" w:sz="0" w:space="0" w:color="auto"/>
        <w:left w:val="none" w:sz="0" w:space="0" w:color="auto"/>
        <w:bottom w:val="none" w:sz="0" w:space="0" w:color="auto"/>
        <w:right w:val="none" w:sz="0" w:space="0" w:color="auto"/>
      </w:divBdr>
    </w:div>
    <w:div w:id="72626807">
      <w:bodyDiv w:val="1"/>
      <w:marLeft w:val="0"/>
      <w:marRight w:val="0"/>
      <w:marTop w:val="0"/>
      <w:marBottom w:val="0"/>
      <w:divBdr>
        <w:top w:val="none" w:sz="0" w:space="0" w:color="auto"/>
        <w:left w:val="none" w:sz="0" w:space="0" w:color="auto"/>
        <w:bottom w:val="none" w:sz="0" w:space="0" w:color="auto"/>
        <w:right w:val="none" w:sz="0" w:space="0" w:color="auto"/>
      </w:divBdr>
    </w:div>
    <w:div w:id="378240135">
      <w:bodyDiv w:val="1"/>
      <w:marLeft w:val="0"/>
      <w:marRight w:val="0"/>
      <w:marTop w:val="0"/>
      <w:marBottom w:val="0"/>
      <w:divBdr>
        <w:top w:val="none" w:sz="0" w:space="0" w:color="auto"/>
        <w:left w:val="none" w:sz="0" w:space="0" w:color="auto"/>
        <w:bottom w:val="none" w:sz="0" w:space="0" w:color="auto"/>
        <w:right w:val="none" w:sz="0" w:space="0" w:color="auto"/>
      </w:divBdr>
    </w:div>
    <w:div w:id="489176605">
      <w:bodyDiv w:val="1"/>
      <w:marLeft w:val="0"/>
      <w:marRight w:val="0"/>
      <w:marTop w:val="0"/>
      <w:marBottom w:val="0"/>
      <w:divBdr>
        <w:top w:val="none" w:sz="0" w:space="0" w:color="auto"/>
        <w:left w:val="none" w:sz="0" w:space="0" w:color="auto"/>
        <w:bottom w:val="none" w:sz="0" w:space="0" w:color="auto"/>
        <w:right w:val="none" w:sz="0" w:space="0" w:color="auto"/>
      </w:divBdr>
    </w:div>
    <w:div w:id="559707187">
      <w:bodyDiv w:val="1"/>
      <w:marLeft w:val="0"/>
      <w:marRight w:val="0"/>
      <w:marTop w:val="0"/>
      <w:marBottom w:val="0"/>
      <w:divBdr>
        <w:top w:val="none" w:sz="0" w:space="0" w:color="auto"/>
        <w:left w:val="none" w:sz="0" w:space="0" w:color="auto"/>
        <w:bottom w:val="none" w:sz="0" w:space="0" w:color="auto"/>
        <w:right w:val="none" w:sz="0" w:space="0" w:color="auto"/>
      </w:divBdr>
    </w:div>
    <w:div w:id="716702646">
      <w:bodyDiv w:val="1"/>
      <w:marLeft w:val="0"/>
      <w:marRight w:val="0"/>
      <w:marTop w:val="0"/>
      <w:marBottom w:val="0"/>
      <w:divBdr>
        <w:top w:val="none" w:sz="0" w:space="0" w:color="auto"/>
        <w:left w:val="none" w:sz="0" w:space="0" w:color="auto"/>
        <w:bottom w:val="none" w:sz="0" w:space="0" w:color="auto"/>
        <w:right w:val="none" w:sz="0" w:space="0" w:color="auto"/>
      </w:divBdr>
    </w:div>
    <w:div w:id="780564000">
      <w:bodyDiv w:val="1"/>
      <w:marLeft w:val="0"/>
      <w:marRight w:val="0"/>
      <w:marTop w:val="0"/>
      <w:marBottom w:val="0"/>
      <w:divBdr>
        <w:top w:val="none" w:sz="0" w:space="0" w:color="auto"/>
        <w:left w:val="none" w:sz="0" w:space="0" w:color="auto"/>
        <w:bottom w:val="none" w:sz="0" w:space="0" w:color="auto"/>
        <w:right w:val="none" w:sz="0" w:space="0" w:color="auto"/>
      </w:divBdr>
    </w:div>
    <w:div w:id="801659656">
      <w:bodyDiv w:val="1"/>
      <w:marLeft w:val="0"/>
      <w:marRight w:val="0"/>
      <w:marTop w:val="0"/>
      <w:marBottom w:val="0"/>
      <w:divBdr>
        <w:top w:val="none" w:sz="0" w:space="0" w:color="auto"/>
        <w:left w:val="none" w:sz="0" w:space="0" w:color="auto"/>
        <w:bottom w:val="none" w:sz="0" w:space="0" w:color="auto"/>
        <w:right w:val="none" w:sz="0" w:space="0" w:color="auto"/>
      </w:divBdr>
    </w:div>
    <w:div w:id="851453918">
      <w:bodyDiv w:val="1"/>
      <w:marLeft w:val="0"/>
      <w:marRight w:val="0"/>
      <w:marTop w:val="0"/>
      <w:marBottom w:val="0"/>
      <w:divBdr>
        <w:top w:val="none" w:sz="0" w:space="0" w:color="auto"/>
        <w:left w:val="none" w:sz="0" w:space="0" w:color="auto"/>
        <w:bottom w:val="none" w:sz="0" w:space="0" w:color="auto"/>
        <w:right w:val="none" w:sz="0" w:space="0" w:color="auto"/>
      </w:divBdr>
    </w:div>
    <w:div w:id="977997237">
      <w:bodyDiv w:val="1"/>
      <w:marLeft w:val="0"/>
      <w:marRight w:val="0"/>
      <w:marTop w:val="0"/>
      <w:marBottom w:val="0"/>
      <w:divBdr>
        <w:top w:val="none" w:sz="0" w:space="0" w:color="auto"/>
        <w:left w:val="none" w:sz="0" w:space="0" w:color="auto"/>
        <w:bottom w:val="none" w:sz="0" w:space="0" w:color="auto"/>
        <w:right w:val="none" w:sz="0" w:space="0" w:color="auto"/>
      </w:divBdr>
    </w:div>
    <w:div w:id="991442310">
      <w:bodyDiv w:val="1"/>
      <w:marLeft w:val="0"/>
      <w:marRight w:val="0"/>
      <w:marTop w:val="0"/>
      <w:marBottom w:val="0"/>
      <w:divBdr>
        <w:top w:val="none" w:sz="0" w:space="0" w:color="auto"/>
        <w:left w:val="none" w:sz="0" w:space="0" w:color="auto"/>
        <w:bottom w:val="none" w:sz="0" w:space="0" w:color="auto"/>
        <w:right w:val="none" w:sz="0" w:space="0" w:color="auto"/>
      </w:divBdr>
    </w:div>
    <w:div w:id="1006128111">
      <w:bodyDiv w:val="1"/>
      <w:marLeft w:val="0"/>
      <w:marRight w:val="0"/>
      <w:marTop w:val="0"/>
      <w:marBottom w:val="0"/>
      <w:divBdr>
        <w:top w:val="none" w:sz="0" w:space="0" w:color="auto"/>
        <w:left w:val="none" w:sz="0" w:space="0" w:color="auto"/>
        <w:bottom w:val="none" w:sz="0" w:space="0" w:color="auto"/>
        <w:right w:val="none" w:sz="0" w:space="0" w:color="auto"/>
      </w:divBdr>
    </w:div>
    <w:div w:id="1110393586">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266766787">
      <w:bodyDiv w:val="1"/>
      <w:marLeft w:val="0"/>
      <w:marRight w:val="0"/>
      <w:marTop w:val="0"/>
      <w:marBottom w:val="0"/>
      <w:divBdr>
        <w:top w:val="none" w:sz="0" w:space="0" w:color="auto"/>
        <w:left w:val="none" w:sz="0" w:space="0" w:color="auto"/>
        <w:bottom w:val="none" w:sz="0" w:space="0" w:color="auto"/>
        <w:right w:val="none" w:sz="0" w:space="0" w:color="auto"/>
      </w:divBdr>
    </w:div>
    <w:div w:id="1307970282">
      <w:bodyDiv w:val="1"/>
      <w:marLeft w:val="0"/>
      <w:marRight w:val="0"/>
      <w:marTop w:val="0"/>
      <w:marBottom w:val="0"/>
      <w:divBdr>
        <w:top w:val="none" w:sz="0" w:space="0" w:color="auto"/>
        <w:left w:val="none" w:sz="0" w:space="0" w:color="auto"/>
        <w:bottom w:val="none" w:sz="0" w:space="0" w:color="auto"/>
        <w:right w:val="none" w:sz="0" w:space="0" w:color="auto"/>
      </w:divBdr>
    </w:div>
    <w:div w:id="1396048749">
      <w:bodyDiv w:val="1"/>
      <w:marLeft w:val="0"/>
      <w:marRight w:val="0"/>
      <w:marTop w:val="0"/>
      <w:marBottom w:val="0"/>
      <w:divBdr>
        <w:top w:val="none" w:sz="0" w:space="0" w:color="auto"/>
        <w:left w:val="none" w:sz="0" w:space="0" w:color="auto"/>
        <w:bottom w:val="none" w:sz="0" w:space="0" w:color="auto"/>
        <w:right w:val="none" w:sz="0" w:space="0" w:color="auto"/>
      </w:divBdr>
    </w:div>
    <w:div w:id="1561209364">
      <w:bodyDiv w:val="1"/>
      <w:marLeft w:val="0"/>
      <w:marRight w:val="0"/>
      <w:marTop w:val="0"/>
      <w:marBottom w:val="0"/>
      <w:divBdr>
        <w:top w:val="none" w:sz="0" w:space="0" w:color="auto"/>
        <w:left w:val="none" w:sz="0" w:space="0" w:color="auto"/>
        <w:bottom w:val="none" w:sz="0" w:space="0" w:color="auto"/>
        <w:right w:val="none" w:sz="0" w:space="0" w:color="auto"/>
      </w:divBdr>
    </w:div>
    <w:div w:id="1608732167">
      <w:bodyDiv w:val="1"/>
      <w:marLeft w:val="0"/>
      <w:marRight w:val="0"/>
      <w:marTop w:val="0"/>
      <w:marBottom w:val="0"/>
      <w:divBdr>
        <w:top w:val="none" w:sz="0" w:space="0" w:color="auto"/>
        <w:left w:val="none" w:sz="0" w:space="0" w:color="auto"/>
        <w:bottom w:val="none" w:sz="0" w:space="0" w:color="auto"/>
        <w:right w:val="none" w:sz="0" w:space="0" w:color="auto"/>
      </w:divBdr>
    </w:div>
    <w:div w:id="1627544371">
      <w:bodyDiv w:val="1"/>
      <w:marLeft w:val="0"/>
      <w:marRight w:val="0"/>
      <w:marTop w:val="0"/>
      <w:marBottom w:val="0"/>
      <w:divBdr>
        <w:top w:val="none" w:sz="0" w:space="0" w:color="auto"/>
        <w:left w:val="none" w:sz="0" w:space="0" w:color="auto"/>
        <w:bottom w:val="none" w:sz="0" w:space="0" w:color="auto"/>
        <w:right w:val="none" w:sz="0" w:space="0" w:color="auto"/>
      </w:divBdr>
    </w:div>
    <w:div w:id="1695106643">
      <w:bodyDiv w:val="1"/>
      <w:marLeft w:val="0"/>
      <w:marRight w:val="0"/>
      <w:marTop w:val="0"/>
      <w:marBottom w:val="0"/>
      <w:divBdr>
        <w:top w:val="none" w:sz="0" w:space="0" w:color="auto"/>
        <w:left w:val="none" w:sz="0" w:space="0" w:color="auto"/>
        <w:bottom w:val="none" w:sz="0" w:space="0" w:color="auto"/>
        <w:right w:val="none" w:sz="0" w:space="0" w:color="auto"/>
      </w:divBdr>
    </w:div>
    <w:div w:id="1869098724">
      <w:bodyDiv w:val="1"/>
      <w:marLeft w:val="0"/>
      <w:marRight w:val="0"/>
      <w:marTop w:val="0"/>
      <w:marBottom w:val="0"/>
      <w:divBdr>
        <w:top w:val="none" w:sz="0" w:space="0" w:color="auto"/>
        <w:left w:val="none" w:sz="0" w:space="0" w:color="auto"/>
        <w:bottom w:val="none" w:sz="0" w:space="0" w:color="auto"/>
        <w:right w:val="none" w:sz="0" w:space="0" w:color="auto"/>
      </w:divBdr>
    </w:div>
    <w:div w:id="2072121000">
      <w:bodyDiv w:val="1"/>
      <w:marLeft w:val="0"/>
      <w:marRight w:val="0"/>
      <w:marTop w:val="0"/>
      <w:marBottom w:val="0"/>
      <w:divBdr>
        <w:top w:val="none" w:sz="0" w:space="0" w:color="auto"/>
        <w:left w:val="none" w:sz="0" w:space="0" w:color="auto"/>
        <w:bottom w:val="none" w:sz="0" w:space="0" w:color="auto"/>
        <w:right w:val="none" w:sz="0" w:space="0" w:color="auto"/>
      </w:divBdr>
    </w:div>
    <w:div w:id="2103527342">
      <w:bodyDiv w:val="1"/>
      <w:marLeft w:val="0"/>
      <w:marRight w:val="0"/>
      <w:marTop w:val="0"/>
      <w:marBottom w:val="0"/>
      <w:divBdr>
        <w:top w:val="none" w:sz="0" w:space="0" w:color="auto"/>
        <w:left w:val="none" w:sz="0" w:space="0" w:color="auto"/>
        <w:bottom w:val="none" w:sz="0" w:space="0" w:color="auto"/>
        <w:right w:val="none" w:sz="0" w:space="0" w:color="auto"/>
      </w:divBdr>
    </w:div>
    <w:div w:id="212526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Wil23</b:Tag>
    <b:SourceType>JournalArticle</b:SourceType>
    <b:Guid>{62D3DAD2-CECD-404E-9586-7EC8CB9BF703}</b:Guid>
    <b:Author>
      <b:Author>
        <b:NameList>
          <b:Person>
            <b:Last>Wilson</b:Last>
            <b:First>Maged</b:First>
            <b:Middle>N. Kamel Boulos &amp; John P.</b:Middle>
          </b:Person>
        </b:NameList>
      </b:Author>
    </b:Author>
    <b:Title>Geospatial techniques for monitoring and mitigating climate change and its effects on human health</b:Title>
    <b:Year>2023</b:Year>
    <b:JournalName>International Journal of Health Geographics volume</b:JournalName>
    <b:RefOrder>3</b:RefOrder>
  </b:Source>
  <b:Source>
    <b:Tag>Tho22</b:Tag>
    <b:SourceType>JournalArticle</b:SourceType>
    <b:Guid>{1A4BCD78-5C5B-40DB-8E62-3C065FD92AAC}</b:Guid>
    <b:Author>
      <b:Author>
        <b:NameList>
          <b:Person>
            <b:Last>Thomas Verbeek</b:Last>
            <b:First>Stephen</b:First>
            <b:Middle>Hincks</b:Middle>
          </b:Person>
        </b:NameList>
      </b:Author>
    </b:Author>
    <b:Title>The ‘just’ management of urban air pollution? A geospatial analysis of low emission zones in Brussels and London</b:Title>
    <b:JournalName>Applied Geography</b:JournalName>
    <b:Year>March 2022</b:Year>
    <b:Volume>140</b:Volume>
    <b:RefOrder>1</b:RefOrder>
  </b:Source>
  <b:Source>
    <b:Tag>Sri08</b:Tag>
    <b:SourceType>JournalArticle</b:SourceType>
    <b:Guid>{5A860ED1-3C17-4C49-A8FC-41C98FDFB79D}</b:Guid>
    <b:Author>
      <b:Author>
        <b:NameList>
          <b:Person>
            <b:Last>Sri Juari Santosa</b:Last>
            <b:First>Tomoaki</b:First>
            <b:Middle>Okuda, Shigeru Tanaka</b:Middle>
          </b:Person>
        </b:NameList>
      </b:Author>
    </b:Author>
    <b:Title>Air Pollution and Urban Air Quality Management in Indonesia</b:Title>
    <b:JournalName>Special Issue: Green and Sustainable Chemistry and Technology in South and East Asia</b:JournalName>
    <b:Year>2008</b:Year>
    <b:Pages>466-475</b:Pages>
    <b:Volume>36</b:Volume>
    <b:Issue>5-6</b:Issue>
    <b:RefOrder>2</b:RefOrder>
  </b:Source>
</b:Sources>
</file>

<file path=customXml/itemProps1.xml><?xml version="1.0" encoding="utf-8"?>
<ds:datastoreItem xmlns:ds="http://schemas.openxmlformats.org/officeDocument/2006/customXml" ds:itemID="{339D2DD3-C43E-42DA-9F44-CEA1B3F78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Bari</dc:creator>
  <cp:keywords/>
  <dc:description/>
  <cp:lastModifiedBy>fatima memon</cp:lastModifiedBy>
  <cp:revision>2</cp:revision>
  <dcterms:created xsi:type="dcterms:W3CDTF">2026-01-14T13:11:00Z</dcterms:created>
  <dcterms:modified xsi:type="dcterms:W3CDTF">2026-01-14T13:11:00Z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5f7ba027-31d8-4e2a-9f12-fe57af474090</vt:lpwstr>
  </property>
</Properties>
</file>