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13C8B" w14:textId="77777777" w:rsidR="00962C72" w:rsidRPr="00962C72" w:rsidRDefault="00962C72" w:rsidP="00962C72">
      <w:pPr>
        <w:pStyle w:val="Title"/>
        <w:jc w:val="center"/>
      </w:pPr>
      <w:r w:rsidRPr="00962C72">
        <w:t>Underwriting &amp; Risk Assessment Policies and Procedures Manual</w:t>
      </w:r>
    </w:p>
    <w:p w14:paraId="4B6C62CF" w14:textId="77777777" w:rsidR="00962C72" w:rsidRPr="00962C72" w:rsidRDefault="00962C72" w:rsidP="00962C72">
      <w:r w:rsidRPr="00962C72">
        <w:rPr>
          <w:b/>
          <w:bCs/>
        </w:rPr>
        <w:t>For:</w:t>
      </w:r>
      <w:r w:rsidRPr="00962C72">
        <w:t> ABC Reinsurance Company Limited, India</w:t>
      </w:r>
      <w:r w:rsidRPr="00962C72">
        <w:br/>
      </w:r>
      <w:r w:rsidRPr="00962C72">
        <w:rPr>
          <w:b/>
          <w:bCs/>
        </w:rPr>
        <w:t>Prepared by:</w:t>
      </w:r>
      <w:r w:rsidRPr="00962C72">
        <w:t> Process Expert – Reinsurance &amp; Cybersecurity Insurance Underwriting</w:t>
      </w:r>
      <w:r w:rsidRPr="00962C72">
        <w:br/>
      </w:r>
      <w:r w:rsidRPr="00962C72">
        <w:rPr>
          <w:b/>
          <w:bCs/>
        </w:rPr>
        <w:t>Version:</w:t>
      </w:r>
      <w:r w:rsidRPr="00962C72">
        <w:t> 1.0</w:t>
      </w:r>
      <w:r w:rsidRPr="00962C72">
        <w:br/>
      </w:r>
      <w:r w:rsidRPr="00962C72">
        <w:rPr>
          <w:b/>
          <w:bCs/>
        </w:rPr>
        <w:t>Date:</w:t>
      </w:r>
      <w:r w:rsidRPr="00962C72">
        <w:t> March 1, 2025</w:t>
      </w:r>
    </w:p>
    <w:p w14:paraId="18176F86" w14:textId="77777777" w:rsidR="00962C72" w:rsidRPr="00962C72" w:rsidRDefault="00962C72" w:rsidP="00962C72">
      <w:r w:rsidRPr="00962C72">
        <w:pict w14:anchorId="0ADB4A53">
          <v:rect id="_x0000_i1679" style="width:0;height:1.5pt" o:hralign="center" o:hrstd="t" o:hrnoshade="t" o:hr="t" fillcolor="#474747" stroked="f"/>
        </w:pict>
      </w:r>
    </w:p>
    <w:p w14:paraId="561E36BA" w14:textId="77777777" w:rsidR="00962C72" w:rsidRPr="00962C72" w:rsidRDefault="00962C72" w:rsidP="00962C72">
      <w:pPr>
        <w:rPr>
          <w:b/>
          <w:bCs/>
        </w:rPr>
      </w:pPr>
      <w:r w:rsidRPr="00962C72">
        <w:rPr>
          <w:b/>
          <w:bCs/>
        </w:rPr>
        <w:t>Table of Contents</w:t>
      </w:r>
    </w:p>
    <w:p w14:paraId="60266F9C" w14:textId="77777777" w:rsidR="00962C72" w:rsidRPr="00962C72" w:rsidRDefault="00962C72" w:rsidP="00962C72">
      <w:pPr>
        <w:numPr>
          <w:ilvl w:val="0"/>
          <w:numId w:val="83"/>
        </w:numPr>
      </w:pPr>
      <w:r w:rsidRPr="00962C72">
        <w:rPr>
          <w:b/>
          <w:bCs/>
        </w:rPr>
        <w:t>Introduction</w:t>
      </w:r>
    </w:p>
    <w:p w14:paraId="3D949F0B" w14:textId="77777777" w:rsidR="00962C72" w:rsidRPr="00962C72" w:rsidRDefault="00962C72" w:rsidP="00962C72">
      <w:pPr>
        <w:numPr>
          <w:ilvl w:val="0"/>
          <w:numId w:val="83"/>
        </w:numPr>
      </w:pPr>
      <w:r w:rsidRPr="00962C72">
        <w:rPr>
          <w:b/>
          <w:bCs/>
        </w:rPr>
        <w:t>Underwriting Philosophy &amp; Objectives</w:t>
      </w:r>
    </w:p>
    <w:p w14:paraId="09A64E01" w14:textId="77777777" w:rsidR="00962C72" w:rsidRPr="00962C72" w:rsidRDefault="00962C72" w:rsidP="00962C72">
      <w:pPr>
        <w:numPr>
          <w:ilvl w:val="0"/>
          <w:numId w:val="83"/>
        </w:numPr>
      </w:pPr>
      <w:r w:rsidRPr="00962C72">
        <w:rPr>
          <w:b/>
          <w:bCs/>
        </w:rPr>
        <w:t>Risk Classification Methodologies</w:t>
      </w:r>
    </w:p>
    <w:p w14:paraId="4C0B2A25" w14:textId="77777777" w:rsidR="00962C72" w:rsidRPr="00962C72" w:rsidRDefault="00962C72" w:rsidP="00962C72">
      <w:pPr>
        <w:numPr>
          <w:ilvl w:val="0"/>
          <w:numId w:val="83"/>
        </w:numPr>
      </w:pPr>
      <w:r w:rsidRPr="00962C72">
        <w:rPr>
          <w:b/>
          <w:bCs/>
        </w:rPr>
        <w:t>Use of Actuarial Models &amp; Historical Data Analytics</w:t>
      </w:r>
    </w:p>
    <w:p w14:paraId="635CA69B" w14:textId="77777777" w:rsidR="00962C72" w:rsidRPr="00962C72" w:rsidRDefault="00962C72" w:rsidP="00962C72">
      <w:pPr>
        <w:numPr>
          <w:ilvl w:val="0"/>
          <w:numId w:val="83"/>
        </w:numPr>
      </w:pPr>
      <w:r w:rsidRPr="00962C72">
        <w:rPr>
          <w:b/>
          <w:bCs/>
        </w:rPr>
        <w:t>Guidelines for Approving High-Risk Reinsurance &amp; Cybersecurity Policies</w:t>
      </w:r>
    </w:p>
    <w:p w14:paraId="747067FD" w14:textId="77777777" w:rsidR="00962C72" w:rsidRPr="00962C72" w:rsidRDefault="00962C72" w:rsidP="00962C72">
      <w:pPr>
        <w:numPr>
          <w:ilvl w:val="0"/>
          <w:numId w:val="83"/>
        </w:numPr>
      </w:pPr>
      <w:r w:rsidRPr="00962C72">
        <w:rPr>
          <w:b/>
          <w:bCs/>
        </w:rPr>
        <w:t>Automated Underwriting Systems &amp; Manual Underwriting Workflows</w:t>
      </w:r>
    </w:p>
    <w:p w14:paraId="17525364" w14:textId="77777777" w:rsidR="00962C72" w:rsidRPr="00962C72" w:rsidRDefault="00962C72" w:rsidP="00962C72">
      <w:pPr>
        <w:numPr>
          <w:ilvl w:val="0"/>
          <w:numId w:val="83"/>
        </w:numPr>
      </w:pPr>
      <w:r w:rsidRPr="00962C72">
        <w:rPr>
          <w:b/>
          <w:bCs/>
        </w:rPr>
        <w:t>Risk Evaluation &amp; Pricing Strategies</w:t>
      </w:r>
    </w:p>
    <w:p w14:paraId="4C55EE2E" w14:textId="77777777" w:rsidR="00962C72" w:rsidRPr="00962C72" w:rsidRDefault="00962C72" w:rsidP="00962C72">
      <w:pPr>
        <w:numPr>
          <w:ilvl w:val="0"/>
          <w:numId w:val="83"/>
        </w:numPr>
      </w:pPr>
      <w:r w:rsidRPr="00962C72">
        <w:rPr>
          <w:b/>
          <w:bCs/>
        </w:rPr>
        <w:t>Policy Approval Process</w:t>
      </w:r>
    </w:p>
    <w:p w14:paraId="179F4629" w14:textId="77777777" w:rsidR="00962C72" w:rsidRPr="00962C72" w:rsidRDefault="00962C72" w:rsidP="00962C72">
      <w:pPr>
        <w:numPr>
          <w:ilvl w:val="0"/>
          <w:numId w:val="83"/>
        </w:numPr>
      </w:pPr>
      <w:r w:rsidRPr="00962C72">
        <w:rPr>
          <w:b/>
          <w:bCs/>
        </w:rPr>
        <w:t>Compliance &amp; Regulatory Framework</w:t>
      </w:r>
    </w:p>
    <w:p w14:paraId="54535881" w14:textId="77777777" w:rsidR="00962C72" w:rsidRPr="00962C72" w:rsidRDefault="00962C72" w:rsidP="00962C72">
      <w:pPr>
        <w:numPr>
          <w:ilvl w:val="0"/>
          <w:numId w:val="83"/>
        </w:numPr>
      </w:pPr>
      <w:r w:rsidRPr="00962C72">
        <w:rPr>
          <w:b/>
          <w:bCs/>
        </w:rPr>
        <w:t>Fraud Detection &amp; Prevention in Reinsurance &amp; Cybersecurity Insurance</w:t>
      </w:r>
    </w:p>
    <w:p w14:paraId="1C771CE4" w14:textId="77777777" w:rsidR="00962C72" w:rsidRPr="00962C72" w:rsidRDefault="00962C72" w:rsidP="00962C72">
      <w:pPr>
        <w:numPr>
          <w:ilvl w:val="0"/>
          <w:numId w:val="83"/>
        </w:numPr>
      </w:pPr>
      <w:r w:rsidRPr="00962C72">
        <w:rPr>
          <w:b/>
          <w:bCs/>
        </w:rPr>
        <w:t>Technology Integration in Underwriting</w:t>
      </w:r>
    </w:p>
    <w:p w14:paraId="209C0A02" w14:textId="77777777" w:rsidR="00962C72" w:rsidRPr="00962C72" w:rsidRDefault="00962C72" w:rsidP="00962C72">
      <w:pPr>
        <w:numPr>
          <w:ilvl w:val="0"/>
          <w:numId w:val="83"/>
        </w:numPr>
      </w:pPr>
      <w:r w:rsidRPr="00962C72">
        <w:rPr>
          <w:b/>
          <w:bCs/>
        </w:rPr>
        <w:t>Training &amp; Development for Underwriters</w:t>
      </w:r>
    </w:p>
    <w:p w14:paraId="1D38A487" w14:textId="77777777" w:rsidR="00962C72" w:rsidRPr="00962C72" w:rsidRDefault="00962C72" w:rsidP="00962C72">
      <w:pPr>
        <w:numPr>
          <w:ilvl w:val="0"/>
          <w:numId w:val="83"/>
        </w:numPr>
      </w:pPr>
      <w:r w:rsidRPr="00962C72">
        <w:rPr>
          <w:b/>
          <w:bCs/>
        </w:rPr>
        <w:t>Monitoring, Audits &amp; Continuous Improvement</w:t>
      </w:r>
    </w:p>
    <w:p w14:paraId="210C928E" w14:textId="77777777" w:rsidR="00962C72" w:rsidRPr="00962C72" w:rsidRDefault="00962C72" w:rsidP="00962C72">
      <w:pPr>
        <w:numPr>
          <w:ilvl w:val="0"/>
          <w:numId w:val="83"/>
        </w:numPr>
      </w:pPr>
      <w:r w:rsidRPr="00962C72">
        <w:rPr>
          <w:b/>
          <w:bCs/>
        </w:rPr>
        <w:t>Appendices &amp; Supporting Documents</w:t>
      </w:r>
    </w:p>
    <w:p w14:paraId="7A5F1E4F" w14:textId="77777777" w:rsidR="00962C72" w:rsidRPr="00962C72" w:rsidRDefault="00962C72" w:rsidP="00962C72">
      <w:r w:rsidRPr="00962C72">
        <w:pict w14:anchorId="19BF0302">
          <v:rect id="_x0000_i1680" style="width:0;height:1.5pt" o:hralign="center" o:hrstd="t" o:hrnoshade="t" o:hr="t" fillcolor="#474747" stroked="f"/>
        </w:pict>
      </w:r>
    </w:p>
    <w:p w14:paraId="2E1ABCE7" w14:textId="77777777" w:rsidR="00962C72" w:rsidRPr="00962C72" w:rsidRDefault="00962C72" w:rsidP="00962C72">
      <w:pPr>
        <w:rPr>
          <w:b/>
          <w:bCs/>
        </w:rPr>
      </w:pPr>
      <w:r w:rsidRPr="00962C72">
        <w:rPr>
          <w:b/>
          <w:bCs/>
        </w:rPr>
        <w:t>1. Introduction</w:t>
      </w:r>
    </w:p>
    <w:p w14:paraId="52CDBBAA" w14:textId="77777777" w:rsidR="00962C72" w:rsidRPr="00962C72" w:rsidRDefault="00962C72" w:rsidP="00962C72">
      <w:pPr>
        <w:rPr>
          <w:b/>
          <w:bCs/>
        </w:rPr>
      </w:pPr>
      <w:r w:rsidRPr="00962C72">
        <w:rPr>
          <w:b/>
          <w:bCs/>
        </w:rPr>
        <w:t>1.1 Purpose of the Manual</w:t>
      </w:r>
    </w:p>
    <w:p w14:paraId="39A5491E" w14:textId="77777777" w:rsidR="00962C72" w:rsidRPr="00962C72" w:rsidRDefault="00962C72" w:rsidP="00962C72">
      <w:r w:rsidRPr="00962C72">
        <w:t>This manual is designed to provide a comprehensive framework for the underwriting and risk assessment of reinsurance and cybersecurity insurance policies at ABC Reinsurance Company Limited. As the landscape of cyber threats and reinsurance complexities evolves, this document outlines the methodologies, tools, and processes used to evaluate risks, determine premiums, and ensure compliance with regulatory standards. It serves as a guide for underwriters, risk analysts, actuaries, and senior executives involved in the underwriting process, ensuring a consistent and effective approach across the organization.</w:t>
      </w:r>
    </w:p>
    <w:p w14:paraId="14F2CE01" w14:textId="77777777" w:rsidR="00962C72" w:rsidRPr="00962C72" w:rsidRDefault="00962C72" w:rsidP="00962C72">
      <w:pPr>
        <w:numPr>
          <w:ilvl w:val="0"/>
          <w:numId w:val="84"/>
        </w:numPr>
      </w:pPr>
      <w:r w:rsidRPr="00962C72">
        <w:rPr>
          <w:b/>
          <w:bCs/>
        </w:rPr>
        <w:t>Objective:</w:t>
      </w:r>
      <w:r w:rsidRPr="00962C72">
        <w:t> To establish a robust, data-driven underwriting framework that aligns with industry best practices and regulatory requirements, supporting ABC Reinsurance's strategic objectives of sustainable growth and risk management excellence.</w:t>
      </w:r>
    </w:p>
    <w:p w14:paraId="41D5C87E" w14:textId="77777777" w:rsidR="00962C72" w:rsidRPr="00962C72" w:rsidRDefault="00962C72" w:rsidP="00962C72">
      <w:pPr>
        <w:rPr>
          <w:b/>
          <w:bCs/>
        </w:rPr>
      </w:pPr>
      <w:r w:rsidRPr="00962C72">
        <w:rPr>
          <w:b/>
          <w:bCs/>
        </w:rPr>
        <w:lastRenderedPageBreak/>
        <w:t>1.2 Scope &amp; Applicability</w:t>
      </w:r>
    </w:p>
    <w:p w14:paraId="4179523B" w14:textId="77777777" w:rsidR="00962C72" w:rsidRPr="00962C72" w:rsidRDefault="00962C72" w:rsidP="00962C72">
      <w:r w:rsidRPr="00962C72">
        <w:t>This manual applies to all underwriting teams, risk analysts, actuaries, and senior executives involved in assessing cybersecurity insurance and reinsurance policies. It covers:</w:t>
      </w:r>
    </w:p>
    <w:p w14:paraId="66546DB5" w14:textId="77777777" w:rsidR="00962C72" w:rsidRPr="00962C72" w:rsidRDefault="00962C72" w:rsidP="00962C72">
      <w:pPr>
        <w:numPr>
          <w:ilvl w:val="0"/>
          <w:numId w:val="85"/>
        </w:numPr>
      </w:pPr>
      <w:r w:rsidRPr="00962C72">
        <w:rPr>
          <w:b/>
          <w:bCs/>
        </w:rPr>
        <w:t>Cyber Risk Insurance:</w:t>
      </w:r>
      <w:r w:rsidRPr="00962C72">
        <w:t> For financial institutions, e-commerce firms, critical infrastructure organizations, and other sectors exposed to cyber threats. Special emphasis is placed on emerging threats such as ransomware attacks, data breaches, and supply chain vulnerabilities.</w:t>
      </w:r>
    </w:p>
    <w:p w14:paraId="5001B582" w14:textId="77777777" w:rsidR="00962C72" w:rsidRPr="00962C72" w:rsidRDefault="00962C72" w:rsidP="00962C72">
      <w:pPr>
        <w:numPr>
          <w:ilvl w:val="0"/>
          <w:numId w:val="85"/>
        </w:numPr>
      </w:pPr>
      <w:r w:rsidRPr="00962C72">
        <w:rPr>
          <w:b/>
          <w:bCs/>
        </w:rPr>
        <w:t>Reinsurance Treaties:</w:t>
      </w:r>
      <w:r w:rsidRPr="00962C72">
        <w:t> Including proportional and non-proportional reinsurance for insurers underwriting catastrophe, liability, and cybersecurity policies. The focus is on optimizing reinsurance structures to balance risk retention and transfer.</w:t>
      </w:r>
    </w:p>
    <w:p w14:paraId="6C9D269F" w14:textId="77777777" w:rsidR="00962C72" w:rsidRPr="00962C72" w:rsidRDefault="00962C72" w:rsidP="00962C72">
      <w:pPr>
        <w:numPr>
          <w:ilvl w:val="0"/>
          <w:numId w:val="85"/>
        </w:numPr>
      </w:pPr>
      <w:r w:rsidRPr="00962C72">
        <w:rPr>
          <w:b/>
          <w:bCs/>
        </w:rPr>
        <w:t>Regulatory Compliance:</w:t>
      </w:r>
      <w:r w:rsidRPr="00962C72">
        <w:t> Ensures adherence to IRDAI regulations and international cybersecurity insurance norms. The manual also addresses compliance with global standards such as GDPR and ISO 27001.</w:t>
      </w:r>
    </w:p>
    <w:p w14:paraId="63DF9F44" w14:textId="77777777" w:rsidR="00962C72" w:rsidRPr="00962C72" w:rsidRDefault="00962C72" w:rsidP="00962C72">
      <w:r w:rsidRPr="00962C72">
        <w:pict w14:anchorId="4FE327B0">
          <v:rect id="_x0000_i1681" style="width:0;height:1.5pt" o:hralign="center" o:hrstd="t" o:hrnoshade="t" o:hr="t" fillcolor="#474747" stroked="f"/>
        </w:pict>
      </w:r>
    </w:p>
    <w:p w14:paraId="14EDD723" w14:textId="77777777" w:rsidR="00962C72" w:rsidRPr="00962C72" w:rsidRDefault="00962C72" w:rsidP="00962C72">
      <w:pPr>
        <w:rPr>
          <w:b/>
          <w:bCs/>
        </w:rPr>
      </w:pPr>
      <w:r w:rsidRPr="00962C72">
        <w:rPr>
          <w:b/>
          <w:bCs/>
        </w:rPr>
        <w:t>2. Underwriting Philosophy &amp; Objectives</w:t>
      </w:r>
    </w:p>
    <w:p w14:paraId="03630E9E" w14:textId="77777777" w:rsidR="00962C72" w:rsidRPr="00962C72" w:rsidRDefault="00962C72" w:rsidP="00962C72">
      <w:pPr>
        <w:rPr>
          <w:b/>
          <w:bCs/>
        </w:rPr>
      </w:pPr>
      <w:r w:rsidRPr="00962C72">
        <w:rPr>
          <w:b/>
          <w:bCs/>
        </w:rPr>
        <w:t>2.1 Underwriting Philosophy</w:t>
      </w:r>
    </w:p>
    <w:p w14:paraId="0A348005" w14:textId="77777777" w:rsidR="00962C72" w:rsidRPr="00962C72" w:rsidRDefault="00962C72" w:rsidP="00962C72">
      <w:r w:rsidRPr="00962C72">
        <w:t>ABC Reinsurance follows a data-driven, risk-calibrated underwriting approach designed to balance risk exposure with premium adequacy and ensure long-term profitability. This philosophy is grounded in the following principles:</w:t>
      </w:r>
    </w:p>
    <w:p w14:paraId="1B1FF146" w14:textId="77777777" w:rsidR="00962C72" w:rsidRPr="00962C72" w:rsidRDefault="00962C72" w:rsidP="00962C72">
      <w:pPr>
        <w:numPr>
          <w:ilvl w:val="0"/>
          <w:numId w:val="86"/>
        </w:numPr>
      </w:pPr>
      <w:r w:rsidRPr="00962C72">
        <w:rPr>
          <w:b/>
          <w:bCs/>
        </w:rPr>
        <w:t>Data-Driven Decisions:</w:t>
      </w:r>
      <w:r w:rsidRPr="00962C72">
        <w:t> Utilize advanced risk modeling and actuarial analytics to assess cybersecurity vulnerabilities and determine appropriate premium levels. This involves leveraging data from multiple sources, including historical claims data, cyber threat intelligence, and industry benchmarks.</w:t>
      </w:r>
    </w:p>
    <w:p w14:paraId="3377B969" w14:textId="77777777" w:rsidR="00962C72" w:rsidRPr="00962C72" w:rsidRDefault="00962C72" w:rsidP="00962C72">
      <w:pPr>
        <w:numPr>
          <w:ilvl w:val="0"/>
          <w:numId w:val="86"/>
        </w:numPr>
      </w:pPr>
      <w:r w:rsidRPr="00962C72">
        <w:rPr>
          <w:b/>
          <w:bCs/>
        </w:rPr>
        <w:t>Collaborative Risk Assessment:</w:t>
      </w:r>
      <w:r w:rsidRPr="00962C72">
        <w:t> Work closely with cyber risk assessment firms to evaluate policyholder security frameworks and identify areas for improvement. This collaboration ensures that the company has a comprehensive understanding of the risks it underwrites.</w:t>
      </w:r>
    </w:p>
    <w:p w14:paraId="1310C6B7" w14:textId="77777777" w:rsidR="00962C72" w:rsidRPr="00962C72" w:rsidRDefault="00962C72" w:rsidP="00962C72">
      <w:pPr>
        <w:numPr>
          <w:ilvl w:val="0"/>
          <w:numId w:val="86"/>
        </w:numPr>
      </w:pPr>
      <w:r w:rsidRPr="00962C72">
        <w:rPr>
          <w:b/>
          <w:bCs/>
        </w:rPr>
        <w:t>Portfolio Diversification:</w:t>
      </w:r>
      <w:r w:rsidRPr="00962C72">
        <w:t> Maintain a diversified portfolio by underwriting multiple layers of cyber risk across industries, including manufacturing, healthcare, and technology. This diversification helps mitigate the impact of adverse events in any one sector.</w:t>
      </w:r>
    </w:p>
    <w:p w14:paraId="05A41E98" w14:textId="77777777" w:rsidR="00962C72" w:rsidRPr="00962C72" w:rsidRDefault="00962C72" w:rsidP="00962C72">
      <w:pPr>
        <w:numPr>
          <w:ilvl w:val="0"/>
          <w:numId w:val="86"/>
        </w:numPr>
      </w:pPr>
      <w:r w:rsidRPr="00962C72">
        <w:rPr>
          <w:b/>
          <w:bCs/>
        </w:rPr>
        <w:t>Regulatory Compliance:</w:t>
      </w:r>
      <w:r w:rsidRPr="00962C72">
        <w:t> Ensure strict adherence to IRDAI and international cybersecurity insurance standards, maintaining the company's reputation and trust with regulators and stakeholders.</w:t>
      </w:r>
    </w:p>
    <w:p w14:paraId="043664F8" w14:textId="77777777" w:rsidR="00962C72" w:rsidRPr="00962C72" w:rsidRDefault="00962C72" w:rsidP="00962C72">
      <w:pPr>
        <w:rPr>
          <w:b/>
          <w:bCs/>
        </w:rPr>
      </w:pPr>
      <w:r w:rsidRPr="00962C72">
        <w:rPr>
          <w:b/>
          <w:bCs/>
        </w:rPr>
        <w:t>2.2 Objectives</w:t>
      </w:r>
    </w:p>
    <w:p w14:paraId="35CC36F7" w14:textId="77777777" w:rsidR="00962C72" w:rsidRPr="00962C72" w:rsidRDefault="00962C72" w:rsidP="00962C72">
      <w:r w:rsidRPr="00962C72">
        <w:t>The objectives of ABC Reinsurance's underwriting practices are to:</w:t>
      </w:r>
    </w:p>
    <w:p w14:paraId="76657665" w14:textId="77777777" w:rsidR="00962C72" w:rsidRPr="00962C72" w:rsidRDefault="00962C72" w:rsidP="00962C72">
      <w:pPr>
        <w:numPr>
          <w:ilvl w:val="0"/>
          <w:numId w:val="87"/>
        </w:numPr>
      </w:pPr>
      <w:r w:rsidRPr="00962C72">
        <w:rPr>
          <w:b/>
          <w:bCs/>
        </w:rPr>
        <w:t>Develop Risk-Adjusted Premium Models:</w:t>
      </w:r>
      <w:r w:rsidRPr="00962C72">
        <w:t> Utilize industry-specific cyber threat data to develop risk-adjusted premium models that reflect the true cost of coverage. This ensures that premiums are competitive while adequately covering potential losses.</w:t>
      </w:r>
    </w:p>
    <w:p w14:paraId="2D7C0AA3" w14:textId="77777777" w:rsidR="00962C72" w:rsidRPr="00962C72" w:rsidRDefault="00962C72" w:rsidP="00962C72">
      <w:pPr>
        <w:numPr>
          <w:ilvl w:val="0"/>
          <w:numId w:val="87"/>
        </w:numPr>
      </w:pPr>
      <w:r w:rsidRPr="00962C72">
        <w:rPr>
          <w:b/>
          <w:bCs/>
        </w:rPr>
        <w:t>Implement Proactive Risk Mitigation Strategies:</w:t>
      </w:r>
      <w:r w:rsidRPr="00962C72">
        <w:t> In reinsurance contracts, establish proactive risk mitigation strategies that promote loss prevention and minimize the impact of adverse events. This includes working with primary insurers to enhance their risk management practices.</w:t>
      </w:r>
    </w:p>
    <w:p w14:paraId="0AB0D221" w14:textId="77777777" w:rsidR="00962C72" w:rsidRPr="00962C72" w:rsidRDefault="00962C72" w:rsidP="00962C72">
      <w:pPr>
        <w:numPr>
          <w:ilvl w:val="0"/>
          <w:numId w:val="87"/>
        </w:numPr>
      </w:pPr>
      <w:r w:rsidRPr="00962C72">
        <w:rPr>
          <w:b/>
          <w:bCs/>
        </w:rPr>
        <w:t>Establish Risk-Sharing Mechanisms:</w:t>
      </w:r>
      <w:r w:rsidRPr="00962C72">
        <w:t> Create risk-sharing mechanisms between primary insurers and reinsurers to distribute risk efficiently and encourage collaboration in risk management efforts.</w:t>
      </w:r>
    </w:p>
    <w:p w14:paraId="3C79F755" w14:textId="77777777" w:rsidR="00962C72" w:rsidRPr="00962C72" w:rsidRDefault="00962C72" w:rsidP="00962C72">
      <w:pPr>
        <w:numPr>
          <w:ilvl w:val="0"/>
          <w:numId w:val="87"/>
        </w:numPr>
      </w:pPr>
      <w:r w:rsidRPr="00962C72">
        <w:rPr>
          <w:b/>
          <w:bCs/>
        </w:rPr>
        <w:lastRenderedPageBreak/>
        <w:t>Monitor Cyber Threat Evolution:</w:t>
      </w:r>
      <w:r w:rsidRPr="00962C72">
        <w:t> Continuously monitor the evolution of cyber threats and adjust underwriting policies dynamically to address emerging risks. This involves staying informed about new attack vectors, regulatory changes, and industry developments.</w:t>
      </w:r>
    </w:p>
    <w:p w14:paraId="2E124C53" w14:textId="77777777" w:rsidR="00962C72" w:rsidRPr="00962C72" w:rsidRDefault="00962C72" w:rsidP="00962C72">
      <w:pPr>
        <w:numPr>
          <w:ilvl w:val="0"/>
          <w:numId w:val="87"/>
        </w:numPr>
      </w:pPr>
      <w:r w:rsidRPr="00962C72">
        <w:rPr>
          <w:b/>
          <w:bCs/>
        </w:rPr>
        <w:t>Improve Claims Assessment Accuracy:</w:t>
      </w:r>
      <w:r w:rsidRPr="00962C72">
        <w:t> Integrate forensic cybersecurity investigations into claims assessment processes to improve accuracy and ensure fair settlements.</w:t>
      </w:r>
    </w:p>
    <w:p w14:paraId="0F06DAD5" w14:textId="77777777" w:rsidR="00962C72" w:rsidRPr="00962C72" w:rsidRDefault="00962C72" w:rsidP="00962C72">
      <w:r w:rsidRPr="00962C72">
        <w:pict w14:anchorId="58765B1C">
          <v:rect id="_x0000_i1682" style="width:0;height:1.5pt" o:hralign="center" o:hrstd="t" o:hrnoshade="t" o:hr="t" fillcolor="#474747" stroked="f"/>
        </w:pict>
      </w:r>
    </w:p>
    <w:p w14:paraId="1505C638" w14:textId="77777777" w:rsidR="00962C72" w:rsidRPr="00962C72" w:rsidRDefault="00962C72" w:rsidP="00962C72">
      <w:pPr>
        <w:rPr>
          <w:b/>
          <w:bCs/>
        </w:rPr>
      </w:pPr>
      <w:r w:rsidRPr="00962C72">
        <w:rPr>
          <w:b/>
          <w:bCs/>
        </w:rPr>
        <w:t>3. Risk Classification Methodologies</w:t>
      </w:r>
    </w:p>
    <w:p w14:paraId="19920599" w14:textId="77777777" w:rsidR="00962C72" w:rsidRPr="00962C72" w:rsidRDefault="00962C72" w:rsidP="00962C72">
      <w:pPr>
        <w:rPr>
          <w:b/>
          <w:bCs/>
        </w:rPr>
      </w:pPr>
      <w:r w:rsidRPr="00962C72">
        <w:rPr>
          <w:b/>
          <w:bCs/>
        </w:rPr>
        <w:t>3.1 Purpose of Risk Classification</w:t>
      </w:r>
    </w:p>
    <w:p w14:paraId="11ED7B5A" w14:textId="77777777" w:rsidR="00962C72" w:rsidRPr="00962C72" w:rsidRDefault="00962C72" w:rsidP="00962C72">
      <w:r w:rsidRPr="00962C72">
        <w:t>Risk classification in cybersecurity insurance and reinsurance is critical for:</w:t>
      </w:r>
    </w:p>
    <w:p w14:paraId="5EA1EB15" w14:textId="77777777" w:rsidR="00962C72" w:rsidRPr="00962C72" w:rsidRDefault="00962C72" w:rsidP="00962C72">
      <w:pPr>
        <w:numPr>
          <w:ilvl w:val="0"/>
          <w:numId w:val="88"/>
        </w:numPr>
      </w:pPr>
      <w:r w:rsidRPr="00962C72">
        <w:rPr>
          <w:b/>
          <w:bCs/>
        </w:rPr>
        <w:t>Identifying High-Risk Policyholders:</w:t>
      </w:r>
      <w:r w:rsidRPr="00962C72">
        <w:t> Accurately classifying policyholders based on their cybersecurity posture helps identify those with weak measures, allowing for targeted risk management strategies.</w:t>
      </w:r>
    </w:p>
    <w:p w14:paraId="04C47819" w14:textId="77777777" w:rsidR="00962C72" w:rsidRPr="00962C72" w:rsidRDefault="00962C72" w:rsidP="00962C72">
      <w:pPr>
        <w:numPr>
          <w:ilvl w:val="0"/>
          <w:numId w:val="88"/>
        </w:numPr>
      </w:pPr>
      <w:r w:rsidRPr="00962C72">
        <w:rPr>
          <w:b/>
          <w:bCs/>
        </w:rPr>
        <w:t>Reducing Adverse Selection Risks:</w:t>
      </w:r>
      <w:r w:rsidRPr="00962C72">
        <w:t> By classifying risks accurately, the company can reduce adverse selection, where only high-risk entities seek coverage, potentially leading to disproportionate losses.</w:t>
      </w:r>
    </w:p>
    <w:p w14:paraId="0040070A" w14:textId="77777777" w:rsidR="00962C72" w:rsidRPr="00962C72" w:rsidRDefault="00962C72" w:rsidP="00962C72">
      <w:pPr>
        <w:numPr>
          <w:ilvl w:val="0"/>
          <w:numId w:val="88"/>
        </w:numPr>
      </w:pPr>
      <w:r w:rsidRPr="00962C72">
        <w:rPr>
          <w:b/>
          <w:bCs/>
        </w:rPr>
        <w:t>Establishing Risk-Based Pricing Tiers:</w:t>
      </w:r>
      <w:r w:rsidRPr="00962C72">
        <w:t> Create pricing tiers based on risk classification to ensure that premiums reflect the level of risk associated with each policyholder.</w:t>
      </w:r>
    </w:p>
    <w:p w14:paraId="335AC7B3" w14:textId="77777777" w:rsidR="00962C72" w:rsidRPr="00962C72" w:rsidRDefault="00962C72" w:rsidP="00962C72">
      <w:pPr>
        <w:numPr>
          <w:ilvl w:val="0"/>
          <w:numId w:val="88"/>
        </w:numPr>
      </w:pPr>
      <w:r w:rsidRPr="00962C72">
        <w:rPr>
          <w:b/>
          <w:bCs/>
        </w:rPr>
        <w:t>Enhancing Portfolio Diversification:</w:t>
      </w:r>
      <w:r w:rsidRPr="00962C72">
        <w:t> Balance low and high-risk policyholders within the portfolio to achieve diversification and reduce overall risk exposure.</w:t>
      </w:r>
    </w:p>
    <w:p w14:paraId="3CABF94B" w14:textId="77777777" w:rsidR="00962C72" w:rsidRPr="00962C72" w:rsidRDefault="00962C72" w:rsidP="00962C72">
      <w:pPr>
        <w:numPr>
          <w:ilvl w:val="0"/>
          <w:numId w:val="88"/>
        </w:numPr>
      </w:pPr>
      <w:r w:rsidRPr="00962C72">
        <w:rPr>
          <w:b/>
          <w:bCs/>
        </w:rPr>
        <w:t>Ensuring Capital Adequacy:</w:t>
      </w:r>
      <w:r w:rsidRPr="00962C72">
        <w:t> Maintain adequate capital reserves to absorb potential losses, especially in catastrophic cyber events, by accurately assessing risk exposure.</w:t>
      </w:r>
    </w:p>
    <w:p w14:paraId="2C877D40" w14:textId="77777777" w:rsidR="00962C72" w:rsidRPr="00962C72" w:rsidRDefault="00962C72" w:rsidP="00962C72">
      <w:pPr>
        <w:rPr>
          <w:b/>
          <w:bCs/>
        </w:rPr>
      </w:pPr>
      <w:r w:rsidRPr="00962C72">
        <w:rPr>
          <w:b/>
          <w:bCs/>
        </w:rPr>
        <w:t>3.2 Types of Risk Classification</w:t>
      </w:r>
    </w:p>
    <w:p w14:paraId="64DCD345" w14:textId="77777777" w:rsidR="00962C72" w:rsidRPr="00962C72" w:rsidRDefault="00962C72" w:rsidP="00962C72">
      <w:pPr>
        <w:numPr>
          <w:ilvl w:val="0"/>
          <w:numId w:val="89"/>
        </w:numPr>
      </w:pPr>
      <w:r w:rsidRPr="00962C72">
        <w:rPr>
          <w:b/>
          <w:bCs/>
        </w:rPr>
        <w:t>Standard Risk:</w:t>
      </w:r>
      <w:r w:rsidRPr="00962C72">
        <w:t> Organizations that have achieved ISO 27001 certification, implemented advanced threat detection systems, and maintained a low breach history. These entities are considered low risk and benefit from lower premiums.</w:t>
      </w:r>
    </w:p>
    <w:p w14:paraId="06A1E1CD" w14:textId="77777777" w:rsidR="00962C72" w:rsidRPr="00962C72" w:rsidRDefault="00962C72" w:rsidP="00962C72">
      <w:pPr>
        <w:numPr>
          <w:ilvl w:val="0"/>
          <w:numId w:val="89"/>
        </w:numPr>
      </w:pPr>
      <w:r w:rsidRPr="00962C72">
        <w:rPr>
          <w:b/>
          <w:bCs/>
        </w:rPr>
        <w:t>Substandard Risk:</w:t>
      </w:r>
      <w:r w:rsidRPr="00962C72">
        <w:t> Policyholders with known security vulnerabilities, high exposure to cyber threats, or a history of breaches. These entities may face higher premiums or require additional risk mitigation measures before coverage is provided.</w:t>
      </w:r>
    </w:p>
    <w:p w14:paraId="0B601FE3" w14:textId="77777777" w:rsidR="00962C72" w:rsidRPr="00962C72" w:rsidRDefault="00962C72" w:rsidP="00962C72">
      <w:pPr>
        <w:numPr>
          <w:ilvl w:val="0"/>
          <w:numId w:val="89"/>
        </w:numPr>
      </w:pPr>
      <w:r w:rsidRPr="00962C72">
        <w:rPr>
          <w:b/>
          <w:bCs/>
        </w:rPr>
        <w:t>Preferred Risk:</w:t>
      </w:r>
      <w:r w:rsidRPr="00962C72">
        <w:t> Entities with robust cybersecurity frameworks, real-time monitoring capabilities, and frequent security audits. These policyholders are rewarded with more favorable terms due to their proactive risk management practices.</w:t>
      </w:r>
    </w:p>
    <w:p w14:paraId="01B3F39A" w14:textId="77777777" w:rsidR="00962C72" w:rsidRPr="00962C72" w:rsidRDefault="00962C72" w:rsidP="00962C72">
      <w:pPr>
        <w:numPr>
          <w:ilvl w:val="0"/>
          <w:numId w:val="89"/>
        </w:numPr>
      </w:pPr>
      <w:r w:rsidRPr="00962C72">
        <w:rPr>
          <w:b/>
          <w:bCs/>
        </w:rPr>
        <w:t>Declined Risk:</w:t>
      </w:r>
      <w:r w:rsidRPr="00962C72">
        <w:t> High-risk sectors, such as cryptocurrency exchanges and darknet marketplaces, or organizations with repeated breaches and inadequate security measures. These entities may be declined coverage due to the high likelihood of loss.</w:t>
      </w:r>
    </w:p>
    <w:p w14:paraId="6F950DE5" w14:textId="77777777" w:rsidR="00962C72" w:rsidRPr="00962C72" w:rsidRDefault="00962C72" w:rsidP="00962C72">
      <w:pPr>
        <w:rPr>
          <w:b/>
          <w:bCs/>
        </w:rPr>
      </w:pPr>
      <w:r w:rsidRPr="00962C72">
        <w:rPr>
          <w:b/>
          <w:bCs/>
        </w:rPr>
        <w:t>3.3 Underwriting Factors Considered in Risk Classification</w:t>
      </w:r>
    </w:p>
    <w:tbl>
      <w:tblPr>
        <w:tblW w:w="17532" w:type="dxa"/>
        <w:tblCellSpacing w:w="15" w:type="dxa"/>
        <w:tblCellMar>
          <w:top w:w="15" w:type="dxa"/>
          <w:left w:w="15" w:type="dxa"/>
          <w:bottom w:w="15" w:type="dxa"/>
          <w:right w:w="15" w:type="dxa"/>
        </w:tblCellMar>
        <w:tblLook w:val="04A0" w:firstRow="1" w:lastRow="0" w:firstColumn="1" w:lastColumn="0" w:noHBand="0" w:noVBand="1"/>
      </w:tblPr>
      <w:tblGrid>
        <w:gridCol w:w="2600"/>
        <w:gridCol w:w="14932"/>
      </w:tblGrid>
      <w:tr w:rsidR="00962C72" w:rsidRPr="00962C72" w14:paraId="56BB2A96" w14:textId="77777777" w:rsidTr="00962C72">
        <w:trPr>
          <w:tblHeader/>
          <w:tblCellSpacing w:w="15" w:type="dxa"/>
        </w:trPr>
        <w:tc>
          <w:tcPr>
            <w:tcW w:w="0" w:type="auto"/>
            <w:tcBorders>
              <w:top w:val="nil"/>
              <w:left w:val="nil"/>
              <w:bottom w:val="nil"/>
              <w:right w:val="nil"/>
            </w:tcBorders>
            <w:noWrap/>
            <w:vAlign w:val="center"/>
            <w:hideMark/>
          </w:tcPr>
          <w:p w14:paraId="4442F7D0" w14:textId="77777777" w:rsidR="00962C72" w:rsidRPr="00962C72" w:rsidRDefault="00962C72" w:rsidP="00962C72">
            <w:pPr>
              <w:rPr>
                <w:b/>
                <w:bCs/>
              </w:rPr>
            </w:pPr>
            <w:r w:rsidRPr="00962C72">
              <w:rPr>
                <w:b/>
                <w:bCs/>
              </w:rPr>
              <w:t>Factor</w:t>
            </w:r>
          </w:p>
        </w:tc>
        <w:tc>
          <w:tcPr>
            <w:tcW w:w="0" w:type="auto"/>
            <w:tcBorders>
              <w:top w:val="nil"/>
              <w:left w:val="nil"/>
              <w:bottom w:val="nil"/>
              <w:right w:val="nil"/>
            </w:tcBorders>
            <w:noWrap/>
            <w:vAlign w:val="center"/>
            <w:hideMark/>
          </w:tcPr>
          <w:p w14:paraId="5829CD70" w14:textId="77777777" w:rsidR="00962C72" w:rsidRPr="00962C72" w:rsidRDefault="00962C72" w:rsidP="00962C72">
            <w:pPr>
              <w:rPr>
                <w:b/>
                <w:bCs/>
              </w:rPr>
            </w:pPr>
            <w:r w:rsidRPr="00962C72">
              <w:rPr>
                <w:b/>
                <w:bCs/>
              </w:rPr>
              <w:t>Impact on Risk Classification</w:t>
            </w:r>
          </w:p>
        </w:tc>
      </w:tr>
      <w:tr w:rsidR="00962C72" w:rsidRPr="00962C72" w14:paraId="508635FE" w14:textId="77777777" w:rsidTr="00962C72">
        <w:trPr>
          <w:tblCellSpacing w:w="15" w:type="dxa"/>
        </w:trPr>
        <w:tc>
          <w:tcPr>
            <w:tcW w:w="0" w:type="auto"/>
            <w:tcBorders>
              <w:top w:val="nil"/>
              <w:left w:val="nil"/>
              <w:bottom w:val="nil"/>
              <w:right w:val="nil"/>
            </w:tcBorders>
            <w:noWrap/>
            <w:vAlign w:val="center"/>
            <w:hideMark/>
          </w:tcPr>
          <w:p w14:paraId="655DA1B8" w14:textId="77777777" w:rsidR="00962C72" w:rsidRPr="00962C72" w:rsidRDefault="00962C72" w:rsidP="00962C72">
            <w:r w:rsidRPr="00962C72">
              <w:t>Cybersecurity Maturity</w:t>
            </w:r>
          </w:p>
        </w:tc>
        <w:tc>
          <w:tcPr>
            <w:tcW w:w="0" w:type="auto"/>
            <w:tcBorders>
              <w:top w:val="nil"/>
              <w:left w:val="nil"/>
              <w:bottom w:val="nil"/>
              <w:right w:val="nil"/>
            </w:tcBorders>
            <w:noWrap/>
            <w:vAlign w:val="center"/>
            <w:hideMark/>
          </w:tcPr>
          <w:p w14:paraId="5411F8E4" w14:textId="77777777" w:rsidR="00962C72" w:rsidRPr="00962C72" w:rsidRDefault="00962C72" w:rsidP="00962C72">
            <w:r w:rsidRPr="00962C72">
              <w:t>A poor security posture increases the likelihood of a breach, leading to higher premiums or declined coverage.</w:t>
            </w:r>
          </w:p>
        </w:tc>
      </w:tr>
      <w:tr w:rsidR="00962C72" w:rsidRPr="00962C72" w14:paraId="2EE4477A" w14:textId="77777777" w:rsidTr="00962C72">
        <w:trPr>
          <w:tblCellSpacing w:w="15" w:type="dxa"/>
        </w:trPr>
        <w:tc>
          <w:tcPr>
            <w:tcW w:w="0" w:type="auto"/>
            <w:tcBorders>
              <w:top w:val="nil"/>
              <w:left w:val="nil"/>
              <w:bottom w:val="nil"/>
              <w:right w:val="nil"/>
            </w:tcBorders>
            <w:noWrap/>
            <w:vAlign w:val="center"/>
            <w:hideMark/>
          </w:tcPr>
          <w:p w14:paraId="47D23215" w14:textId="77777777" w:rsidR="00962C72" w:rsidRPr="00962C72" w:rsidRDefault="00962C72" w:rsidP="00962C72">
            <w:r w:rsidRPr="00962C72">
              <w:t>Industry Exposure</w:t>
            </w:r>
          </w:p>
        </w:tc>
        <w:tc>
          <w:tcPr>
            <w:tcW w:w="0" w:type="auto"/>
            <w:tcBorders>
              <w:top w:val="nil"/>
              <w:left w:val="nil"/>
              <w:bottom w:val="nil"/>
              <w:right w:val="nil"/>
            </w:tcBorders>
            <w:noWrap/>
            <w:vAlign w:val="center"/>
            <w:hideMark/>
          </w:tcPr>
          <w:p w14:paraId="65D81D2D" w14:textId="77777777" w:rsidR="00962C72" w:rsidRPr="00962C72" w:rsidRDefault="00962C72" w:rsidP="00962C72">
            <w:r w:rsidRPr="00962C72">
              <w:t>Industries such as banking, fintech, and healthcare face higher cyber risks due to the sensitive nature of their data.</w:t>
            </w:r>
          </w:p>
        </w:tc>
      </w:tr>
      <w:tr w:rsidR="00962C72" w:rsidRPr="00962C72" w14:paraId="2A737927" w14:textId="77777777" w:rsidTr="00962C72">
        <w:trPr>
          <w:tblCellSpacing w:w="15" w:type="dxa"/>
        </w:trPr>
        <w:tc>
          <w:tcPr>
            <w:tcW w:w="0" w:type="auto"/>
            <w:tcBorders>
              <w:top w:val="nil"/>
              <w:left w:val="nil"/>
              <w:bottom w:val="nil"/>
              <w:right w:val="nil"/>
            </w:tcBorders>
            <w:noWrap/>
            <w:vAlign w:val="center"/>
            <w:hideMark/>
          </w:tcPr>
          <w:p w14:paraId="0696DE07" w14:textId="77777777" w:rsidR="00962C72" w:rsidRPr="00962C72" w:rsidRDefault="00962C72" w:rsidP="00962C72">
            <w:r w:rsidRPr="00962C72">
              <w:t>Historical Breaches</w:t>
            </w:r>
          </w:p>
        </w:tc>
        <w:tc>
          <w:tcPr>
            <w:tcW w:w="0" w:type="auto"/>
            <w:tcBorders>
              <w:top w:val="nil"/>
              <w:left w:val="nil"/>
              <w:bottom w:val="nil"/>
              <w:right w:val="nil"/>
            </w:tcBorders>
            <w:noWrap/>
            <w:vAlign w:val="center"/>
            <w:hideMark/>
          </w:tcPr>
          <w:p w14:paraId="64D069B0" w14:textId="77777777" w:rsidR="00962C72" w:rsidRPr="00962C72" w:rsidRDefault="00962C72" w:rsidP="00962C72">
            <w:r w:rsidRPr="00962C72">
              <w:t>Prior incidents indicate systemic weaknesses and may result in higher premiums or additional risk mitigation requirements.</w:t>
            </w:r>
          </w:p>
        </w:tc>
      </w:tr>
      <w:tr w:rsidR="00962C72" w:rsidRPr="00962C72" w14:paraId="476CD4DC" w14:textId="77777777" w:rsidTr="00962C72">
        <w:trPr>
          <w:tblCellSpacing w:w="15" w:type="dxa"/>
        </w:trPr>
        <w:tc>
          <w:tcPr>
            <w:tcW w:w="0" w:type="auto"/>
            <w:tcBorders>
              <w:top w:val="nil"/>
              <w:left w:val="nil"/>
              <w:bottom w:val="nil"/>
              <w:right w:val="nil"/>
            </w:tcBorders>
            <w:noWrap/>
            <w:vAlign w:val="center"/>
            <w:hideMark/>
          </w:tcPr>
          <w:p w14:paraId="2AFB9C72" w14:textId="77777777" w:rsidR="00962C72" w:rsidRPr="00962C72" w:rsidRDefault="00962C72" w:rsidP="00962C72">
            <w:r w:rsidRPr="00962C72">
              <w:lastRenderedPageBreak/>
              <w:t>Geographical Risk</w:t>
            </w:r>
          </w:p>
        </w:tc>
        <w:tc>
          <w:tcPr>
            <w:tcW w:w="0" w:type="auto"/>
            <w:tcBorders>
              <w:top w:val="nil"/>
              <w:left w:val="nil"/>
              <w:bottom w:val="nil"/>
              <w:right w:val="nil"/>
            </w:tcBorders>
            <w:noWrap/>
            <w:vAlign w:val="center"/>
            <w:hideMark/>
          </w:tcPr>
          <w:p w14:paraId="11AD7BA3" w14:textId="77777777" w:rsidR="00962C72" w:rsidRPr="00962C72" w:rsidRDefault="00962C72" w:rsidP="00962C72">
            <w:r w:rsidRPr="00962C72">
              <w:t>Operating in countries with weak cybersecurity laws increases risk exposure and may impact premium rates.</w:t>
            </w:r>
          </w:p>
        </w:tc>
      </w:tr>
      <w:tr w:rsidR="00962C72" w:rsidRPr="00962C72" w14:paraId="1C04300D" w14:textId="77777777" w:rsidTr="00962C72">
        <w:trPr>
          <w:tblCellSpacing w:w="15" w:type="dxa"/>
        </w:trPr>
        <w:tc>
          <w:tcPr>
            <w:tcW w:w="0" w:type="auto"/>
            <w:tcBorders>
              <w:top w:val="nil"/>
              <w:left w:val="nil"/>
              <w:bottom w:val="nil"/>
              <w:right w:val="nil"/>
            </w:tcBorders>
            <w:noWrap/>
            <w:vAlign w:val="center"/>
            <w:hideMark/>
          </w:tcPr>
          <w:p w14:paraId="352EE20D" w14:textId="77777777" w:rsidR="00962C72" w:rsidRPr="00962C72" w:rsidRDefault="00962C72" w:rsidP="00962C72">
            <w:r w:rsidRPr="00962C72">
              <w:t>Regulatory Compliance</w:t>
            </w:r>
          </w:p>
        </w:tc>
        <w:tc>
          <w:tcPr>
            <w:tcW w:w="0" w:type="auto"/>
            <w:tcBorders>
              <w:top w:val="nil"/>
              <w:left w:val="nil"/>
              <w:bottom w:val="nil"/>
              <w:right w:val="nil"/>
            </w:tcBorders>
            <w:noWrap/>
            <w:vAlign w:val="center"/>
            <w:hideMark/>
          </w:tcPr>
          <w:p w14:paraId="62A2D64D" w14:textId="77777777" w:rsidR="00962C72" w:rsidRPr="00962C72" w:rsidRDefault="00962C72" w:rsidP="00962C72">
            <w:r w:rsidRPr="00962C72">
              <w:t>Non-compliance with regulations such as GDPR or RBI guidelines increases liability and may lead to higher premiums or declined coverage.</w:t>
            </w:r>
          </w:p>
        </w:tc>
      </w:tr>
    </w:tbl>
    <w:p w14:paraId="67B421A9" w14:textId="77777777" w:rsidR="00962C72" w:rsidRPr="00962C72" w:rsidRDefault="00962C72" w:rsidP="00962C72">
      <w:r w:rsidRPr="00962C72">
        <w:pict w14:anchorId="4F9228A6">
          <v:rect id="_x0000_i1683" style="width:0;height:1.5pt" o:hralign="center" o:hrstd="t" o:hrnoshade="t" o:hr="t" fillcolor="#474747" stroked="f"/>
        </w:pict>
      </w:r>
    </w:p>
    <w:p w14:paraId="047C406B" w14:textId="77777777" w:rsidR="00962C72" w:rsidRPr="00962C72" w:rsidRDefault="00962C72" w:rsidP="00962C72">
      <w:pPr>
        <w:rPr>
          <w:b/>
          <w:bCs/>
        </w:rPr>
      </w:pPr>
      <w:r w:rsidRPr="00962C72">
        <w:rPr>
          <w:b/>
          <w:bCs/>
        </w:rPr>
        <w:t>4. Use of Actuarial Models &amp; Historical Data Analytics</w:t>
      </w:r>
    </w:p>
    <w:p w14:paraId="2DBFEB31" w14:textId="77777777" w:rsidR="00962C72" w:rsidRPr="00962C72" w:rsidRDefault="00962C72" w:rsidP="00962C72">
      <w:pPr>
        <w:rPr>
          <w:b/>
          <w:bCs/>
        </w:rPr>
      </w:pPr>
      <w:r w:rsidRPr="00962C72">
        <w:rPr>
          <w:b/>
          <w:bCs/>
        </w:rPr>
        <w:t>4.1 Role of Actuarial Models in Underwriting</w:t>
      </w:r>
    </w:p>
    <w:p w14:paraId="36AE719F" w14:textId="77777777" w:rsidR="00962C72" w:rsidRPr="00962C72" w:rsidRDefault="00962C72" w:rsidP="00962C72">
      <w:r w:rsidRPr="00962C72">
        <w:t>Actuarial models play a crucial role in the underwriting process for cybersecurity insurance and reinsurance by providing quantitative assessments of risk. They help in:</w:t>
      </w:r>
    </w:p>
    <w:p w14:paraId="5D49AACA" w14:textId="77777777" w:rsidR="00962C72" w:rsidRPr="00962C72" w:rsidRDefault="00962C72" w:rsidP="00962C72">
      <w:pPr>
        <w:numPr>
          <w:ilvl w:val="0"/>
          <w:numId w:val="90"/>
        </w:numPr>
      </w:pPr>
      <w:r w:rsidRPr="00962C72">
        <w:rPr>
          <w:b/>
          <w:bCs/>
        </w:rPr>
        <w:t>Predicting Frequency and Severity:</w:t>
      </w:r>
      <w:r w:rsidRPr="00962C72">
        <w:t xml:space="preserve"> Use historical data to predict the frequency and severity of </w:t>
      </w:r>
      <w:proofErr w:type="spellStart"/>
      <w:r w:rsidRPr="00962C72">
        <w:t>cyber attacks</w:t>
      </w:r>
      <w:proofErr w:type="spellEnd"/>
      <w:r w:rsidRPr="00962C72">
        <w:t>, allowing for more accurate premium pricing and risk management strategies.</w:t>
      </w:r>
    </w:p>
    <w:p w14:paraId="6E29F2E7" w14:textId="77777777" w:rsidR="00962C72" w:rsidRPr="00962C72" w:rsidRDefault="00962C72" w:rsidP="00962C72">
      <w:pPr>
        <w:numPr>
          <w:ilvl w:val="0"/>
          <w:numId w:val="90"/>
        </w:numPr>
      </w:pPr>
      <w:r w:rsidRPr="00962C72">
        <w:rPr>
          <w:b/>
          <w:bCs/>
        </w:rPr>
        <w:t>Developing Catastrophe Scenarios:</w:t>
      </w:r>
      <w:r w:rsidRPr="00962C72">
        <w:t> Create cyber catastrophe risk scenarios to assess the potential impact of large-scale events on the company's portfolio and capital reserves.</w:t>
      </w:r>
    </w:p>
    <w:p w14:paraId="5A587ADB" w14:textId="77777777" w:rsidR="00962C72" w:rsidRPr="00962C72" w:rsidRDefault="00962C72" w:rsidP="00962C72">
      <w:pPr>
        <w:numPr>
          <w:ilvl w:val="0"/>
          <w:numId w:val="90"/>
        </w:numPr>
      </w:pPr>
      <w:r w:rsidRPr="00962C72">
        <w:rPr>
          <w:b/>
          <w:bCs/>
        </w:rPr>
        <w:t>Financial Impact Modeling:</w:t>
      </w:r>
      <w:r w:rsidRPr="00962C72">
        <w:t> Analyze the financial impact of various cyber breach scenarios to determine potential losses and inform risk mitigation strategies.</w:t>
      </w:r>
    </w:p>
    <w:p w14:paraId="0F6E15FA" w14:textId="77777777" w:rsidR="00962C72" w:rsidRPr="00962C72" w:rsidRDefault="00962C72" w:rsidP="00962C72">
      <w:pPr>
        <w:numPr>
          <w:ilvl w:val="0"/>
          <w:numId w:val="90"/>
        </w:numPr>
      </w:pPr>
      <w:r w:rsidRPr="00962C72">
        <w:rPr>
          <w:b/>
          <w:bCs/>
        </w:rPr>
        <w:t>Loss Ratio Adjustments:</w:t>
      </w:r>
      <w:r w:rsidRPr="00962C72">
        <w:t> Implement data-driven loss ratio adjustments for cybersecurity policies based on emerging trends and historical performance.</w:t>
      </w:r>
    </w:p>
    <w:p w14:paraId="0D4DD950" w14:textId="77777777" w:rsidR="00962C72" w:rsidRPr="00962C72" w:rsidRDefault="00962C72" w:rsidP="00962C72">
      <w:pPr>
        <w:numPr>
          <w:ilvl w:val="0"/>
          <w:numId w:val="90"/>
        </w:numPr>
      </w:pPr>
      <w:r w:rsidRPr="00962C72">
        <w:rPr>
          <w:b/>
          <w:bCs/>
        </w:rPr>
        <w:t>Monte Carlo Simulations:</w:t>
      </w:r>
      <w:r w:rsidRPr="00962C72">
        <w:t> Utilize Monte Carlo simulations to model a wide range of possible outcomes and assess risk correlations across industries.</w:t>
      </w:r>
    </w:p>
    <w:p w14:paraId="7E967C18" w14:textId="77777777" w:rsidR="00962C72" w:rsidRPr="00962C72" w:rsidRDefault="00962C72" w:rsidP="00962C72">
      <w:pPr>
        <w:rPr>
          <w:b/>
          <w:bCs/>
        </w:rPr>
      </w:pPr>
      <w:r w:rsidRPr="00962C72">
        <w:rPr>
          <w:b/>
          <w:bCs/>
        </w:rPr>
        <w:t>4.2 Types of Actuarial Models Used</w:t>
      </w:r>
    </w:p>
    <w:p w14:paraId="6E23A119" w14:textId="77777777" w:rsidR="00962C72" w:rsidRPr="00962C72" w:rsidRDefault="00962C72" w:rsidP="00962C72">
      <w:pPr>
        <w:numPr>
          <w:ilvl w:val="0"/>
          <w:numId w:val="91"/>
        </w:numPr>
      </w:pPr>
      <w:r w:rsidRPr="00962C72">
        <w:rPr>
          <w:b/>
          <w:bCs/>
        </w:rPr>
        <w:t>Breach Probability Models:</w:t>
      </w:r>
      <w:r w:rsidRPr="00962C72">
        <w:t> Analyze historical cyber incident frequency to estimate the likelihood of future breaches and inform underwriting decisions.</w:t>
      </w:r>
    </w:p>
    <w:p w14:paraId="67E82A00" w14:textId="77777777" w:rsidR="00962C72" w:rsidRPr="00962C72" w:rsidRDefault="00962C72" w:rsidP="00962C72">
      <w:pPr>
        <w:numPr>
          <w:ilvl w:val="0"/>
          <w:numId w:val="91"/>
        </w:numPr>
      </w:pPr>
      <w:r w:rsidRPr="00962C72">
        <w:rPr>
          <w:b/>
          <w:bCs/>
        </w:rPr>
        <w:t>Loss Distribution Models:</w:t>
      </w:r>
      <w:r w:rsidRPr="00962C72">
        <w:t> Predict expected financial losses per breach event, helping to establish appropriate premium levels and risk management strategies.</w:t>
      </w:r>
    </w:p>
    <w:p w14:paraId="50A02DD2" w14:textId="77777777" w:rsidR="00962C72" w:rsidRPr="00962C72" w:rsidRDefault="00962C72" w:rsidP="00962C72">
      <w:pPr>
        <w:numPr>
          <w:ilvl w:val="0"/>
          <w:numId w:val="91"/>
        </w:numPr>
      </w:pPr>
      <w:r w:rsidRPr="00962C72">
        <w:rPr>
          <w:b/>
          <w:bCs/>
        </w:rPr>
        <w:t>Catastrophic Risk Models:</w:t>
      </w:r>
      <w:r w:rsidRPr="00962C72">
        <w:t> Assess the potential impact of large-scale cyber warfare events on the company's portfolio and capital reserves.</w:t>
      </w:r>
    </w:p>
    <w:p w14:paraId="2C0AB9BE" w14:textId="77777777" w:rsidR="00962C72" w:rsidRPr="00962C72" w:rsidRDefault="00962C72" w:rsidP="00962C72">
      <w:pPr>
        <w:numPr>
          <w:ilvl w:val="0"/>
          <w:numId w:val="91"/>
        </w:numPr>
      </w:pPr>
      <w:r w:rsidRPr="00962C72">
        <w:rPr>
          <w:b/>
          <w:bCs/>
        </w:rPr>
        <w:t>Stochastic Simulation Models:</w:t>
      </w:r>
      <w:r w:rsidRPr="00962C72">
        <w:t> Calculate risk correlations across industries and assess the impact of interconnected risks on the company's overall exposure.</w:t>
      </w:r>
    </w:p>
    <w:p w14:paraId="32846971" w14:textId="77777777" w:rsidR="00962C72" w:rsidRPr="00962C72" w:rsidRDefault="00962C72" w:rsidP="00962C72">
      <w:pPr>
        <w:numPr>
          <w:ilvl w:val="0"/>
          <w:numId w:val="91"/>
        </w:numPr>
      </w:pPr>
      <w:r w:rsidRPr="00962C72">
        <w:rPr>
          <w:b/>
          <w:bCs/>
        </w:rPr>
        <w:t>Blockchain-based Risk Scoring Models:</w:t>
      </w:r>
      <w:r w:rsidRPr="00962C72">
        <w:t> Use immutable transaction logs to enhance fraud detection and improve the accuracy of risk assessments.</w:t>
      </w:r>
    </w:p>
    <w:p w14:paraId="1CCDEF77" w14:textId="77777777" w:rsidR="00962C72" w:rsidRPr="00962C72" w:rsidRDefault="00962C72" w:rsidP="00962C72">
      <w:r w:rsidRPr="00962C72">
        <w:pict w14:anchorId="352E3C3A">
          <v:rect id="_x0000_i1684" style="width:0;height:1.5pt" o:hralign="center" o:hrstd="t" o:hrnoshade="t" o:hr="t" fillcolor="#474747" stroked="f"/>
        </w:pict>
      </w:r>
    </w:p>
    <w:p w14:paraId="236872C9" w14:textId="77777777" w:rsidR="00962C72" w:rsidRPr="00962C72" w:rsidRDefault="00962C72" w:rsidP="00962C72">
      <w:pPr>
        <w:rPr>
          <w:b/>
          <w:bCs/>
        </w:rPr>
      </w:pPr>
      <w:r w:rsidRPr="00962C72">
        <w:rPr>
          <w:b/>
          <w:bCs/>
        </w:rPr>
        <w:t>5. Guidelines for Approving High-Risk Reinsurance &amp; Cybersecurity Policies</w:t>
      </w:r>
    </w:p>
    <w:p w14:paraId="79085897" w14:textId="77777777" w:rsidR="00962C72" w:rsidRPr="00962C72" w:rsidRDefault="00962C72" w:rsidP="00962C72">
      <w:pPr>
        <w:rPr>
          <w:b/>
          <w:bCs/>
        </w:rPr>
      </w:pPr>
      <w:r w:rsidRPr="00962C72">
        <w:rPr>
          <w:b/>
          <w:bCs/>
        </w:rPr>
        <w:t>5.1 Definition of High-Risk Policies</w:t>
      </w:r>
    </w:p>
    <w:p w14:paraId="503B9550" w14:textId="77777777" w:rsidR="00962C72" w:rsidRPr="00962C72" w:rsidRDefault="00962C72" w:rsidP="00962C72">
      <w:r w:rsidRPr="00962C72">
        <w:t>High-risk reinsurance and cybersecurity policies are those that present a significant level of risk due to:</w:t>
      </w:r>
    </w:p>
    <w:p w14:paraId="18DBECAA" w14:textId="77777777" w:rsidR="00962C72" w:rsidRPr="00962C72" w:rsidRDefault="00962C72" w:rsidP="00962C72">
      <w:pPr>
        <w:numPr>
          <w:ilvl w:val="0"/>
          <w:numId w:val="92"/>
        </w:numPr>
      </w:pPr>
      <w:r w:rsidRPr="00962C72">
        <w:rPr>
          <w:b/>
          <w:bCs/>
        </w:rPr>
        <w:t>Insurers Providing Coverage for High-Risk Sectors:</w:t>
      </w:r>
      <w:r w:rsidRPr="00962C72">
        <w:t> Such as cryptocurrency firms, which face elevated cyber threats and regulatory scrutiny.</w:t>
      </w:r>
    </w:p>
    <w:p w14:paraId="4812FDFD" w14:textId="77777777" w:rsidR="00962C72" w:rsidRPr="00962C72" w:rsidRDefault="00962C72" w:rsidP="00962C72">
      <w:pPr>
        <w:numPr>
          <w:ilvl w:val="0"/>
          <w:numId w:val="92"/>
        </w:numPr>
      </w:pPr>
      <w:r w:rsidRPr="00962C72">
        <w:rPr>
          <w:b/>
          <w:bCs/>
        </w:rPr>
        <w:lastRenderedPageBreak/>
        <w:t>High-Exposure Reinsurers:</w:t>
      </w:r>
      <w:r w:rsidRPr="00962C72">
        <w:t xml:space="preserve"> Covering large corporations, including Fortune 500 technology companies, which may be targeted by sophisticated </w:t>
      </w:r>
      <w:proofErr w:type="spellStart"/>
      <w:r w:rsidRPr="00962C72">
        <w:t>cyber attacks</w:t>
      </w:r>
      <w:proofErr w:type="spellEnd"/>
      <w:r w:rsidRPr="00962C72">
        <w:t>.</w:t>
      </w:r>
    </w:p>
    <w:p w14:paraId="1BA6B0A6" w14:textId="77777777" w:rsidR="00962C72" w:rsidRPr="00962C72" w:rsidRDefault="00962C72" w:rsidP="00962C72">
      <w:pPr>
        <w:numPr>
          <w:ilvl w:val="0"/>
          <w:numId w:val="92"/>
        </w:numPr>
      </w:pPr>
      <w:r w:rsidRPr="00962C72">
        <w:rPr>
          <w:b/>
          <w:bCs/>
        </w:rPr>
        <w:t>Cyber Risk Aggregations:</w:t>
      </w:r>
      <w:r w:rsidRPr="00962C72">
        <w:t> With exposure above INR 500 Crores per policy, requiring careful risk management and capital allocation.</w:t>
      </w:r>
    </w:p>
    <w:p w14:paraId="64D38CB2" w14:textId="77777777" w:rsidR="00962C72" w:rsidRPr="00962C72" w:rsidRDefault="00962C72" w:rsidP="00962C72">
      <w:pPr>
        <w:numPr>
          <w:ilvl w:val="0"/>
          <w:numId w:val="92"/>
        </w:numPr>
      </w:pPr>
      <w:r w:rsidRPr="00962C72">
        <w:rPr>
          <w:b/>
          <w:bCs/>
        </w:rPr>
        <w:t>Large-Scale Liability Risks:</w:t>
      </w:r>
      <w:r w:rsidRPr="00962C72">
        <w:t> Such as ransomware insurance policies with coverage limits above INR 100 Crores, necessitating thorough risk assessment and mitigation.</w:t>
      </w:r>
    </w:p>
    <w:p w14:paraId="22C971F1" w14:textId="77777777" w:rsidR="00962C72" w:rsidRPr="00962C72" w:rsidRDefault="00962C72" w:rsidP="00962C72">
      <w:pPr>
        <w:numPr>
          <w:ilvl w:val="0"/>
          <w:numId w:val="92"/>
        </w:numPr>
      </w:pPr>
      <w:r w:rsidRPr="00962C72">
        <w:rPr>
          <w:b/>
          <w:bCs/>
        </w:rPr>
        <w:t>Non-Compliant Organizations:</w:t>
      </w:r>
      <w:r w:rsidRPr="00962C72">
        <w:t> Entities with a history of regulatory fines, such as GDPR violations, which may pose elevated risk due to inadequate compliance measures.</w:t>
      </w:r>
    </w:p>
    <w:p w14:paraId="2524E5E5" w14:textId="77777777" w:rsidR="00962C72" w:rsidRPr="00962C72" w:rsidRDefault="00962C72" w:rsidP="00962C72">
      <w:pPr>
        <w:rPr>
          <w:b/>
          <w:bCs/>
        </w:rPr>
      </w:pPr>
      <w:r w:rsidRPr="00962C72">
        <w:rPr>
          <w:b/>
          <w:bCs/>
        </w:rPr>
        <w:t>5.2 Approval Process for High-Risk Policies</w:t>
      </w:r>
    </w:p>
    <w:p w14:paraId="139456A3" w14:textId="77777777" w:rsidR="00962C72" w:rsidRPr="00962C72" w:rsidRDefault="00962C72" w:rsidP="00962C72">
      <w:pPr>
        <w:numPr>
          <w:ilvl w:val="0"/>
          <w:numId w:val="93"/>
        </w:numPr>
      </w:pPr>
      <w:r w:rsidRPr="00962C72">
        <w:rPr>
          <w:b/>
          <w:bCs/>
        </w:rPr>
        <w:t>Step 1:</w:t>
      </w:r>
      <w:r w:rsidRPr="00962C72">
        <w:t> Conduct a comprehensive cybersecurity risk audit by underwriting analysts to assess the policyholder's risk profile and identify potential vulnerabilities.</w:t>
      </w:r>
    </w:p>
    <w:p w14:paraId="3CCC79E4" w14:textId="77777777" w:rsidR="00962C72" w:rsidRPr="00962C72" w:rsidRDefault="00962C72" w:rsidP="00962C72">
      <w:pPr>
        <w:numPr>
          <w:ilvl w:val="0"/>
          <w:numId w:val="93"/>
        </w:numPr>
      </w:pPr>
      <w:r w:rsidRPr="00962C72">
        <w:rPr>
          <w:b/>
          <w:bCs/>
        </w:rPr>
        <w:t>Step 2:</w:t>
      </w:r>
      <w:r w:rsidRPr="00962C72">
        <w:t> Utilize AI-driven cyber risk prediction models to evaluate the likelihood and potential impact of cyber incidents, providing a data-driven basis for underwriting decisions.</w:t>
      </w:r>
    </w:p>
    <w:p w14:paraId="0B6CEF08" w14:textId="77777777" w:rsidR="00962C72" w:rsidRPr="00962C72" w:rsidRDefault="00962C72" w:rsidP="00962C72">
      <w:pPr>
        <w:numPr>
          <w:ilvl w:val="0"/>
          <w:numId w:val="93"/>
        </w:numPr>
      </w:pPr>
      <w:r w:rsidRPr="00962C72">
        <w:rPr>
          <w:b/>
          <w:bCs/>
        </w:rPr>
        <w:t>Step 3:</w:t>
      </w:r>
      <w:r w:rsidRPr="00962C72">
        <w:t> Negotiate risk-sharing arrangements between primary insurers and reinsurers to distribute risk efficiently and encourage collaboration in risk management efforts.</w:t>
      </w:r>
    </w:p>
    <w:p w14:paraId="6D1AB928" w14:textId="77777777" w:rsidR="00962C72" w:rsidRPr="00962C72" w:rsidRDefault="00962C72" w:rsidP="00962C72">
      <w:pPr>
        <w:numPr>
          <w:ilvl w:val="0"/>
          <w:numId w:val="93"/>
        </w:numPr>
      </w:pPr>
      <w:r w:rsidRPr="00962C72">
        <w:rPr>
          <w:b/>
          <w:bCs/>
        </w:rPr>
        <w:t>Step 4:</w:t>
      </w:r>
      <w:r w:rsidRPr="00962C72">
        <w:t> Obtain approval from the Senior Risk Committee (SRC) and Chief Risk Officer (CRO), ensuring alignment with the company's risk appetite and strategic objectives.</w:t>
      </w:r>
    </w:p>
    <w:p w14:paraId="353E16AA" w14:textId="77777777" w:rsidR="00962C72" w:rsidRPr="00962C72" w:rsidRDefault="00962C72" w:rsidP="00962C72">
      <w:pPr>
        <w:numPr>
          <w:ilvl w:val="0"/>
          <w:numId w:val="93"/>
        </w:numPr>
      </w:pPr>
      <w:r w:rsidRPr="00962C72">
        <w:rPr>
          <w:b/>
          <w:bCs/>
        </w:rPr>
        <w:t>Step 5:</w:t>
      </w:r>
      <w:r w:rsidRPr="00962C72">
        <w:t> Implement regular monitoring and risk reassessment every six months to ensure that the policyholder's risk profile remains aligned with the company's underwriting criteria.</w:t>
      </w:r>
    </w:p>
    <w:p w14:paraId="29F83739" w14:textId="77777777" w:rsidR="00962C72" w:rsidRPr="00962C72" w:rsidRDefault="00962C72" w:rsidP="00962C72">
      <w:r w:rsidRPr="00962C72">
        <w:pict w14:anchorId="49C94154">
          <v:rect id="_x0000_i1685" style="width:0;height:1.5pt" o:hralign="center" o:hrstd="t" o:hrnoshade="t" o:hr="t" fillcolor="#474747" stroked="f"/>
        </w:pict>
      </w:r>
    </w:p>
    <w:p w14:paraId="326B59C7" w14:textId="77777777" w:rsidR="00962C72" w:rsidRPr="00962C72" w:rsidRDefault="00962C72" w:rsidP="00962C72">
      <w:pPr>
        <w:rPr>
          <w:b/>
          <w:bCs/>
        </w:rPr>
      </w:pPr>
      <w:r w:rsidRPr="00962C72">
        <w:rPr>
          <w:b/>
          <w:bCs/>
        </w:rPr>
        <w:t>6. Automated Underwriting Systems &amp; Manual Underwriting Workflows</w:t>
      </w:r>
    </w:p>
    <w:p w14:paraId="5B5FF97D" w14:textId="77777777" w:rsidR="00962C72" w:rsidRPr="00962C72" w:rsidRDefault="00962C72" w:rsidP="00962C72">
      <w:pPr>
        <w:rPr>
          <w:b/>
          <w:bCs/>
        </w:rPr>
      </w:pPr>
      <w:r w:rsidRPr="00962C72">
        <w:rPr>
          <w:b/>
          <w:bCs/>
        </w:rPr>
        <w:t>6.1 Automated Underwriting Systems (AUS)</w:t>
      </w:r>
    </w:p>
    <w:p w14:paraId="0BF31438" w14:textId="77777777" w:rsidR="00962C72" w:rsidRPr="00962C72" w:rsidRDefault="00962C72" w:rsidP="00962C72">
      <w:r w:rsidRPr="00962C72">
        <w:t>Automated underwriting systems (AUS) leverage advanced technologies to streamline the underwriting process and enhance efficiency. Key features include:</w:t>
      </w:r>
    </w:p>
    <w:p w14:paraId="075B59BA" w14:textId="77777777" w:rsidR="00962C72" w:rsidRPr="00962C72" w:rsidRDefault="00962C72" w:rsidP="00962C72">
      <w:pPr>
        <w:numPr>
          <w:ilvl w:val="0"/>
          <w:numId w:val="94"/>
        </w:numPr>
      </w:pPr>
      <w:r w:rsidRPr="00962C72">
        <w:rPr>
          <w:b/>
          <w:bCs/>
        </w:rPr>
        <w:t>Machine Learning Algorithms:</w:t>
      </w:r>
      <w:r w:rsidRPr="00962C72">
        <w:t> Use machine learning algorithms to perform real-time cyber risk scoring, allowing for rapid assessment and decision-making.</w:t>
      </w:r>
    </w:p>
    <w:p w14:paraId="568DDC95" w14:textId="77777777" w:rsidR="00962C72" w:rsidRPr="00962C72" w:rsidRDefault="00962C72" w:rsidP="00962C72">
      <w:pPr>
        <w:numPr>
          <w:ilvl w:val="0"/>
          <w:numId w:val="94"/>
        </w:numPr>
      </w:pPr>
      <w:r w:rsidRPr="00962C72">
        <w:rPr>
          <w:b/>
          <w:bCs/>
        </w:rPr>
        <w:t>Policy Approvals:</w:t>
      </w:r>
      <w:r w:rsidRPr="00962C72">
        <w:t> Automate policy approvals for standard risk profiles, reducing turnaround time and improving customer satisfaction.</w:t>
      </w:r>
    </w:p>
    <w:p w14:paraId="1B5419D2" w14:textId="77777777" w:rsidR="00962C72" w:rsidRPr="00962C72" w:rsidRDefault="00962C72" w:rsidP="00962C72">
      <w:pPr>
        <w:numPr>
          <w:ilvl w:val="0"/>
          <w:numId w:val="94"/>
        </w:numPr>
      </w:pPr>
      <w:r w:rsidRPr="00962C72">
        <w:rPr>
          <w:b/>
          <w:bCs/>
        </w:rPr>
        <w:t>Threat Intelligence Integration:</w:t>
      </w:r>
      <w:r w:rsidRPr="00962C72">
        <w:t> Integrate with threat intelligence databases to provide live risk assessments and enable dynamic pricing adjustments based on emerging threats.</w:t>
      </w:r>
    </w:p>
    <w:p w14:paraId="046F5107" w14:textId="77777777" w:rsidR="00962C72" w:rsidRPr="00962C72" w:rsidRDefault="00962C72" w:rsidP="00962C72">
      <w:pPr>
        <w:numPr>
          <w:ilvl w:val="0"/>
          <w:numId w:val="94"/>
        </w:numPr>
      </w:pPr>
      <w:r w:rsidRPr="00962C72">
        <w:rPr>
          <w:b/>
          <w:bCs/>
        </w:rPr>
        <w:t>Efficiency Gains:</w:t>
      </w:r>
      <w:r w:rsidRPr="00962C72">
        <w:t> Reduce underwriting turnaround time by 50%, allowing underwriters to focus on more complex risks and strategic initiatives.</w:t>
      </w:r>
    </w:p>
    <w:p w14:paraId="3D8434D0" w14:textId="77777777" w:rsidR="00962C72" w:rsidRPr="00962C72" w:rsidRDefault="00962C72" w:rsidP="00962C72">
      <w:pPr>
        <w:numPr>
          <w:ilvl w:val="0"/>
          <w:numId w:val="94"/>
        </w:numPr>
      </w:pPr>
      <w:r w:rsidRPr="00962C72">
        <w:rPr>
          <w:b/>
          <w:bCs/>
        </w:rPr>
        <w:t>Applications:</w:t>
      </w:r>
      <w:r w:rsidRPr="00962C72">
        <w:t> Applied to SME cybersecurity insurance, personal cyber liability, and mid-tier corporate policies, where standardized risk assessments can be effectively automated.</w:t>
      </w:r>
    </w:p>
    <w:p w14:paraId="13EADD0B" w14:textId="77777777" w:rsidR="00962C72" w:rsidRPr="00962C72" w:rsidRDefault="00962C72" w:rsidP="00962C72">
      <w:pPr>
        <w:rPr>
          <w:b/>
          <w:bCs/>
        </w:rPr>
      </w:pPr>
      <w:r w:rsidRPr="00962C72">
        <w:rPr>
          <w:b/>
          <w:bCs/>
        </w:rPr>
        <w:t>6.2 Manual Underwriting Workflows</w:t>
      </w:r>
    </w:p>
    <w:p w14:paraId="342E9B6E" w14:textId="77777777" w:rsidR="00962C72" w:rsidRPr="00962C72" w:rsidRDefault="00962C72" w:rsidP="00962C72">
      <w:r w:rsidRPr="00962C72">
        <w:t>Manual underwriting workflows are necessary for complex risks that require human judgment and expertise. Key elements include:</w:t>
      </w:r>
    </w:p>
    <w:p w14:paraId="7B0D99C8" w14:textId="77777777" w:rsidR="00962C72" w:rsidRPr="00962C72" w:rsidRDefault="00962C72" w:rsidP="00962C72">
      <w:pPr>
        <w:numPr>
          <w:ilvl w:val="0"/>
          <w:numId w:val="95"/>
        </w:numPr>
      </w:pPr>
      <w:r w:rsidRPr="00962C72">
        <w:rPr>
          <w:b/>
          <w:bCs/>
        </w:rPr>
        <w:lastRenderedPageBreak/>
        <w:t>Complex Risk Evaluation:</w:t>
      </w:r>
      <w:r w:rsidRPr="00962C72">
        <w:t> Evaluate large enterprise cybersecurity frameworks, considering unique risk factors and industry-specific challenges.</w:t>
      </w:r>
    </w:p>
    <w:p w14:paraId="53D19128" w14:textId="77777777" w:rsidR="00962C72" w:rsidRPr="00962C72" w:rsidRDefault="00962C72" w:rsidP="00962C72">
      <w:pPr>
        <w:numPr>
          <w:ilvl w:val="0"/>
          <w:numId w:val="95"/>
        </w:numPr>
      </w:pPr>
      <w:r w:rsidRPr="00962C72">
        <w:rPr>
          <w:b/>
          <w:bCs/>
        </w:rPr>
        <w:t>Cross-Validation:</w:t>
      </w:r>
      <w:r w:rsidRPr="00962C72">
        <w:t> Require cross-validation from forensic cybersecurity teams to ensure that risk assessments are thorough and accurate.</w:t>
      </w:r>
    </w:p>
    <w:p w14:paraId="29BA7CFB" w14:textId="77777777" w:rsidR="00962C72" w:rsidRPr="00962C72" w:rsidRDefault="00962C72" w:rsidP="00962C72">
      <w:pPr>
        <w:numPr>
          <w:ilvl w:val="0"/>
          <w:numId w:val="95"/>
        </w:numPr>
      </w:pPr>
      <w:r w:rsidRPr="00962C72">
        <w:rPr>
          <w:b/>
          <w:bCs/>
        </w:rPr>
        <w:t>Tailored Coverage:</w:t>
      </w:r>
      <w:r w:rsidRPr="00962C72">
        <w:t> Develop tailored cyber insurance coverage for policies above INR 250 Crores, accommodating the specific needs and risk profiles of large organizations.</w:t>
      </w:r>
    </w:p>
    <w:p w14:paraId="72596DAA" w14:textId="77777777" w:rsidR="00962C72" w:rsidRPr="00962C72" w:rsidRDefault="00962C72" w:rsidP="00962C72">
      <w:pPr>
        <w:numPr>
          <w:ilvl w:val="0"/>
          <w:numId w:val="95"/>
        </w:numPr>
      </w:pPr>
      <w:r w:rsidRPr="00962C72">
        <w:rPr>
          <w:b/>
          <w:bCs/>
        </w:rPr>
        <w:t>Board-Level Approval:</w:t>
      </w:r>
      <w:r w:rsidRPr="00962C72">
        <w:t> Include board-level approval for catastrophic cyber event coverage, ensuring alignment with the company's risk management strategy and capital allocation.</w:t>
      </w:r>
    </w:p>
    <w:p w14:paraId="6BD113B5" w14:textId="77777777" w:rsidR="00962C72" w:rsidRPr="00962C72" w:rsidRDefault="00962C72" w:rsidP="00962C72">
      <w:pPr>
        <w:numPr>
          <w:ilvl w:val="0"/>
          <w:numId w:val="95"/>
        </w:numPr>
      </w:pPr>
      <w:r w:rsidRPr="00962C72">
        <w:rPr>
          <w:b/>
          <w:bCs/>
        </w:rPr>
        <w:t>Collaboration:</w:t>
      </w:r>
      <w:r w:rsidRPr="00962C72">
        <w:t> Foster collaboration between underwriters, risk analysts, and external experts to develop comprehensive risk mitigation strategies and ensure robust policy terms.</w:t>
      </w:r>
    </w:p>
    <w:p w14:paraId="4EEDF7D2" w14:textId="77777777" w:rsidR="00962C72" w:rsidRPr="00962C72" w:rsidRDefault="00962C72" w:rsidP="00962C72">
      <w:r w:rsidRPr="00962C72">
        <w:pict w14:anchorId="48DC1F90">
          <v:rect id="_x0000_i1686" style="width:0;height:1.5pt" o:hralign="center" o:hrstd="t" o:hrnoshade="t" o:hr="t" fillcolor="#474747" stroked="f"/>
        </w:pict>
      </w:r>
    </w:p>
    <w:p w14:paraId="1A4910E1" w14:textId="77777777" w:rsidR="00962C72" w:rsidRPr="00962C72" w:rsidRDefault="00962C72" w:rsidP="00962C72">
      <w:pPr>
        <w:rPr>
          <w:b/>
          <w:bCs/>
        </w:rPr>
      </w:pPr>
      <w:r w:rsidRPr="00962C72">
        <w:rPr>
          <w:b/>
          <w:bCs/>
        </w:rPr>
        <w:t>7. Risk Evaluation &amp; Pricing Strategies</w:t>
      </w:r>
    </w:p>
    <w:p w14:paraId="00193633" w14:textId="77777777" w:rsidR="00962C72" w:rsidRPr="00962C72" w:rsidRDefault="00962C72" w:rsidP="00962C72">
      <w:r w:rsidRPr="00962C72">
        <w:t>Effective risk evaluation and pricing strategies are critical to maintaining competitiveness and profitability in the cybersecurity insurance and reinsurance markets. Key components include:</w:t>
      </w:r>
    </w:p>
    <w:p w14:paraId="6240E751" w14:textId="77777777" w:rsidR="00962C72" w:rsidRPr="00962C72" w:rsidRDefault="00962C72" w:rsidP="00962C72">
      <w:pPr>
        <w:numPr>
          <w:ilvl w:val="0"/>
          <w:numId w:val="96"/>
        </w:numPr>
      </w:pPr>
      <w:r w:rsidRPr="00962C72">
        <w:rPr>
          <w:b/>
          <w:bCs/>
        </w:rPr>
        <w:t>Risk-Based Pricing:</w:t>
      </w:r>
      <w:r w:rsidRPr="00962C72">
        <w:t> Develop pricing models based on the assessed risk level, ensuring premium adequacy and competitiveness. This involves analyzing industry benchmarks, historical claims data, and emerging threat intelligence.</w:t>
      </w:r>
    </w:p>
    <w:p w14:paraId="6EF6EF62" w14:textId="77777777" w:rsidR="00962C72" w:rsidRPr="00962C72" w:rsidRDefault="00962C72" w:rsidP="00962C72">
      <w:pPr>
        <w:numPr>
          <w:ilvl w:val="0"/>
          <w:numId w:val="96"/>
        </w:numPr>
      </w:pPr>
      <w:r w:rsidRPr="00962C72">
        <w:rPr>
          <w:b/>
          <w:bCs/>
        </w:rPr>
        <w:t>Market Analysis:</w:t>
      </w:r>
      <w:r w:rsidRPr="00962C72">
        <w:t> Conduct regular market analysis to adjust pricing strategies and remain competitive. This includes monitoring industry trends, regulatory changes, and competitor pricing strategies.</w:t>
      </w:r>
    </w:p>
    <w:p w14:paraId="124A6BBB" w14:textId="77777777" w:rsidR="00962C72" w:rsidRPr="00962C72" w:rsidRDefault="00962C72" w:rsidP="00962C72">
      <w:pPr>
        <w:numPr>
          <w:ilvl w:val="0"/>
          <w:numId w:val="96"/>
        </w:numPr>
      </w:pPr>
      <w:r w:rsidRPr="00962C72">
        <w:rPr>
          <w:b/>
          <w:bCs/>
        </w:rPr>
        <w:t>Dynamic Pricing:</w:t>
      </w:r>
      <w:r w:rsidRPr="00962C72">
        <w:t> Implement dynamic pricing models that adjust based on real-time cyber threat intelligence and risk assessments. This allows the company to respond quickly to changes in the risk environment and maintain pricing relevance.</w:t>
      </w:r>
    </w:p>
    <w:p w14:paraId="4C13926A" w14:textId="77777777" w:rsidR="00962C72" w:rsidRPr="00962C72" w:rsidRDefault="00962C72" w:rsidP="00962C72">
      <w:pPr>
        <w:numPr>
          <w:ilvl w:val="0"/>
          <w:numId w:val="96"/>
        </w:numPr>
      </w:pPr>
      <w:r w:rsidRPr="00962C72">
        <w:rPr>
          <w:b/>
          <w:bCs/>
        </w:rPr>
        <w:t>Loss Ratio Targets:</w:t>
      </w:r>
      <w:r w:rsidRPr="00962C72">
        <w:t> Set loss ratio targets to maintain profitability while offering competitive pricing. This involves regularly reviewing underwriting performance and adjusting pricing models as needed to achieve desired financial outcomes.</w:t>
      </w:r>
    </w:p>
    <w:p w14:paraId="25E4D02A" w14:textId="77777777" w:rsidR="00962C72" w:rsidRPr="00962C72" w:rsidRDefault="00962C72" w:rsidP="00962C72">
      <w:pPr>
        <w:numPr>
          <w:ilvl w:val="0"/>
          <w:numId w:val="96"/>
        </w:numPr>
      </w:pPr>
      <w:r w:rsidRPr="00962C72">
        <w:rPr>
          <w:b/>
          <w:bCs/>
        </w:rPr>
        <w:t>Continuous Improvement:</w:t>
      </w:r>
      <w:r w:rsidRPr="00962C72">
        <w:t> Use insights from risk evaluation and pricing strategies to continuously improve underwriting practices and enhance the company's competitive position.</w:t>
      </w:r>
    </w:p>
    <w:p w14:paraId="5612A510" w14:textId="77777777" w:rsidR="00962C72" w:rsidRPr="00962C72" w:rsidRDefault="00962C72" w:rsidP="00962C72">
      <w:r w:rsidRPr="00962C72">
        <w:pict w14:anchorId="3FB3AE4E">
          <v:rect id="_x0000_i1687" style="width:0;height:1.5pt" o:hralign="center" o:hrstd="t" o:hrnoshade="t" o:hr="t" fillcolor="#474747" stroked="f"/>
        </w:pict>
      </w:r>
    </w:p>
    <w:p w14:paraId="24532D6E" w14:textId="77777777" w:rsidR="00962C72" w:rsidRPr="00962C72" w:rsidRDefault="00962C72" w:rsidP="00962C72">
      <w:pPr>
        <w:rPr>
          <w:b/>
          <w:bCs/>
        </w:rPr>
      </w:pPr>
      <w:r w:rsidRPr="00962C72">
        <w:rPr>
          <w:b/>
          <w:bCs/>
        </w:rPr>
        <w:t>8. Policy Approval Process</w:t>
      </w:r>
    </w:p>
    <w:p w14:paraId="2602ADE7" w14:textId="77777777" w:rsidR="00962C72" w:rsidRPr="00962C72" w:rsidRDefault="00962C72" w:rsidP="00962C72">
      <w:r w:rsidRPr="00962C72">
        <w:t>The policy approval process ensures that all underwriting decisions align with ABC Reinsurance's risk management strategy and regulatory requirements. Key steps include:</w:t>
      </w:r>
    </w:p>
    <w:p w14:paraId="4FD641B2" w14:textId="77777777" w:rsidR="00962C72" w:rsidRPr="00962C72" w:rsidRDefault="00962C72" w:rsidP="00962C72">
      <w:pPr>
        <w:numPr>
          <w:ilvl w:val="0"/>
          <w:numId w:val="97"/>
        </w:numPr>
      </w:pPr>
      <w:r w:rsidRPr="00962C72">
        <w:rPr>
          <w:b/>
          <w:bCs/>
        </w:rPr>
        <w:t>Initial Assessment:</w:t>
      </w:r>
      <w:r w:rsidRPr="00962C72">
        <w:t> Conduct an initial risk assessment to determine eligibility and risk classification. This involves reviewing the policyholder's cybersecurity framework, historical claims data, and industry exposure.</w:t>
      </w:r>
    </w:p>
    <w:p w14:paraId="69A32E24" w14:textId="77777777" w:rsidR="00962C72" w:rsidRPr="00962C72" w:rsidRDefault="00962C72" w:rsidP="00962C72">
      <w:pPr>
        <w:numPr>
          <w:ilvl w:val="0"/>
          <w:numId w:val="97"/>
        </w:numPr>
      </w:pPr>
      <w:r w:rsidRPr="00962C72">
        <w:rPr>
          <w:b/>
          <w:bCs/>
        </w:rPr>
        <w:t>Documentation Review:</w:t>
      </w:r>
      <w:r w:rsidRPr="00962C72">
        <w:t> Ensure all necessary documentation is provided and reviewed by the underwriting team. This includes policyholder applications, risk assessments, and any additional information required for informed decision-making.</w:t>
      </w:r>
    </w:p>
    <w:p w14:paraId="342E0B2C" w14:textId="77777777" w:rsidR="00962C72" w:rsidRPr="00962C72" w:rsidRDefault="00962C72" w:rsidP="00962C72">
      <w:pPr>
        <w:numPr>
          <w:ilvl w:val="0"/>
          <w:numId w:val="97"/>
        </w:numPr>
      </w:pPr>
      <w:r w:rsidRPr="00962C72">
        <w:rPr>
          <w:b/>
          <w:bCs/>
        </w:rPr>
        <w:lastRenderedPageBreak/>
        <w:t>Risk Mitigation Measures:</w:t>
      </w:r>
      <w:r w:rsidRPr="00962C72">
        <w:t> Evaluate the policyholder's risk mitigation measures and recommend improvements if necessary. This may involve working with the policyholder to enhance their cybersecurity posture and reduce risk exposure.</w:t>
      </w:r>
    </w:p>
    <w:p w14:paraId="656F66A2" w14:textId="77777777" w:rsidR="00962C72" w:rsidRPr="00962C72" w:rsidRDefault="00962C72" w:rsidP="00962C72">
      <w:pPr>
        <w:numPr>
          <w:ilvl w:val="0"/>
          <w:numId w:val="97"/>
        </w:numPr>
      </w:pPr>
      <w:r w:rsidRPr="00962C72">
        <w:rPr>
          <w:b/>
          <w:bCs/>
        </w:rPr>
        <w:t>Final Approval:</w:t>
      </w:r>
      <w:r w:rsidRPr="00962C72">
        <w:t> Obtain final approval from the Senior Risk Committee and Chief Risk Officer, ensuring alignment with the company's risk appetite and strategic objectives.</w:t>
      </w:r>
    </w:p>
    <w:p w14:paraId="7DC131E9" w14:textId="77777777" w:rsidR="00962C72" w:rsidRPr="00962C72" w:rsidRDefault="00962C72" w:rsidP="00962C72">
      <w:pPr>
        <w:numPr>
          <w:ilvl w:val="0"/>
          <w:numId w:val="97"/>
        </w:numPr>
      </w:pPr>
      <w:r w:rsidRPr="00962C72">
        <w:rPr>
          <w:b/>
          <w:bCs/>
        </w:rPr>
        <w:t>Policy Issuance:</w:t>
      </w:r>
      <w:r w:rsidRPr="00962C72">
        <w:t> Issue policy documents and communicate terms and conditions to the policyholder, ensuring that they fully understand their coverage and any applicable exclusions or limitations.</w:t>
      </w:r>
    </w:p>
    <w:p w14:paraId="77A4A869" w14:textId="77777777" w:rsidR="00962C72" w:rsidRPr="00962C72" w:rsidRDefault="00962C72" w:rsidP="00962C72">
      <w:r w:rsidRPr="00962C72">
        <w:pict w14:anchorId="6B32BBC0">
          <v:rect id="_x0000_i1688" style="width:0;height:1.5pt" o:hralign="center" o:hrstd="t" o:hrnoshade="t" o:hr="t" fillcolor="#474747" stroked="f"/>
        </w:pict>
      </w:r>
    </w:p>
    <w:p w14:paraId="02DDAC39" w14:textId="77777777" w:rsidR="00962C72" w:rsidRPr="00962C72" w:rsidRDefault="00962C72" w:rsidP="00962C72">
      <w:pPr>
        <w:rPr>
          <w:b/>
          <w:bCs/>
        </w:rPr>
      </w:pPr>
      <w:r w:rsidRPr="00962C72">
        <w:rPr>
          <w:b/>
          <w:bCs/>
        </w:rPr>
        <w:t>9. Compliance &amp; Regulatory Framework</w:t>
      </w:r>
    </w:p>
    <w:p w14:paraId="0D24C5BA" w14:textId="77777777" w:rsidR="00962C72" w:rsidRPr="00962C72" w:rsidRDefault="00962C72" w:rsidP="00962C72">
      <w:r w:rsidRPr="00962C72">
        <w:t>ABC Reinsurance is committed to maintaining compliance with all relevant regulations and industry standards. Key elements of the compliance and regulatory framework include:</w:t>
      </w:r>
    </w:p>
    <w:p w14:paraId="56C21AD5" w14:textId="77777777" w:rsidR="00962C72" w:rsidRPr="00962C72" w:rsidRDefault="00962C72" w:rsidP="00962C72">
      <w:pPr>
        <w:numPr>
          <w:ilvl w:val="0"/>
          <w:numId w:val="98"/>
        </w:numPr>
      </w:pPr>
      <w:r w:rsidRPr="00962C72">
        <w:rPr>
          <w:b/>
          <w:bCs/>
        </w:rPr>
        <w:t>IRDAI Compliance:</w:t>
      </w:r>
      <w:r w:rsidRPr="00962C72">
        <w:t> Ensure all underwriting practices comply with IRDAI regulations, maintaining the company's license to operate and building trust with regulators and stakeholders.</w:t>
      </w:r>
    </w:p>
    <w:p w14:paraId="6F8C38EE" w14:textId="77777777" w:rsidR="00962C72" w:rsidRPr="00962C72" w:rsidRDefault="00962C72" w:rsidP="00962C72">
      <w:pPr>
        <w:numPr>
          <w:ilvl w:val="0"/>
          <w:numId w:val="98"/>
        </w:numPr>
      </w:pPr>
      <w:r w:rsidRPr="00962C72">
        <w:rPr>
          <w:b/>
          <w:bCs/>
        </w:rPr>
        <w:t>Data Protection:</w:t>
      </w:r>
      <w:r w:rsidRPr="00962C72">
        <w:t> Adhere to data protection laws, including GDPR and Indian data privacy regulations, to protect sensitive information and maintain customer trust.</w:t>
      </w:r>
    </w:p>
    <w:p w14:paraId="7170F207" w14:textId="77777777" w:rsidR="00962C72" w:rsidRPr="00962C72" w:rsidRDefault="00962C72" w:rsidP="00962C72">
      <w:pPr>
        <w:numPr>
          <w:ilvl w:val="0"/>
          <w:numId w:val="98"/>
        </w:numPr>
      </w:pPr>
      <w:r w:rsidRPr="00962C72">
        <w:rPr>
          <w:b/>
          <w:bCs/>
        </w:rPr>
        <w:t>Anti-Money Laundering (AML):</w:t>
      </w:r>
      <w:r w:rsidRPr="00962C72">
        <w:t> Implement AML procedures to prevent financial crimes and ensure compliance with relevant regulations. This includes conducting due diligence on policyholders and monitoring transactions for suspicious activity.</w:t>
      </w:r>
    </w:p>
    <w:p w14:paraId="1501E238" w14:textId="77777777" w:rsidR="00962C72" w:rsidRPr="00962C72" w:rsidRDefault="00962C72" w:rsidP="00962C72">
      <w:pPr>
        <w:numPr>
          <w:ilvl w:val="0"/>
          <w:numId w:val="98"/>
        </w:numPr>
      </w:pPr>
      <w:r w:rsidRPr="00962C72">
        <w:rPr>
          <w:b/>
          <w:bCs/>
        </w:rPr>
        <w:t>Regulatory Reporting:</w:t>
      </w:r>
      <w:r w:rsidRPr="00962C72">
        <w:t> Submit required reports to regulatory authorities in a timely manner, ensuring accuracy and compliance with reporting standards. This includes regular submissions to IRDAI and any other relevant regulatory bodies.</w:t>
      </w:r>
    </w:p>
    <w:p w14:paraId="04503293" w14:textId="77777777" w:rsidR="00962C72" w:rsidRPr="00962C72" w:rsidRDefault="00962C72" w:rsidP="00962C72">
      <w:r w:rsidRPr="00962C72">
        <w:pict w14:anchorId="1459B7A7">
          <v:rect id="_x0000_i1689" style="width:0;height:1.5pt" o:hralign="center" o:hrstd="t" o:hrnoshade="t" o:hr="t" fillcolor="#474747" stroked="f"/>
        </w:pict>
      </w:r>
    </w:p>
    <w:p w14:paraId="13B0D5AC" w14:textId="77777777" w:rsidR="00962C72" w:rsidRPr="00962C72" w:rsidRDefault="00962C72" w:rsidP="00962C72">
      <w:pPr>
        <w:rPr>
          <w:b/>
          <w:bCs/>
        </w:rPr>
      </w:pPr>
      <w:r w:rsidRPr="00962C72">
        <w:rPr>
          <w:b/>
          <w:bCs/>
        </w:rPr>
        <w:t>10. Fraud Detection &amp; Prevention in Reinsurance &amp; Cybersecurity Insurance</w:t>
      </w:r>
    </w:p>
    <w:p w14:paraId="0201D7AB" w14:textId="77777777" w:rsidR="00962C72" w:rsidRPr="00962C72" w:rsidRDefault="00962C72" w:rsidP="00962C72">
      <w:r w:rsidRPr="00962C72">
        <w:t>Fraud detection and prevention are critical components of ABC Reinsurance's risk management strategy. Key initiatives include:</w:t>
      </w:r>
    </w:p>
    <w:p w14:paraId="1BBB66BB" w14:textId="77777777" w:rsidR="00962C72" w:rsidRPr="00962C72" w:rsidRDefault="00962C72" w:rsidP="00962C72">
      <w:pPr>
        <w:numPr>
          <w:ilvl w:val="0"/>
          <w:numId w:val="99"/>
        </w:numPr>
      </w:pPr>
      <w:r w:rsidRPr="00962C72">
        <w:rPr>
          <w:b/>
          <w:bCs/>
        </w:rPr>
        <w:t>Fraud Detection Systems:</w:t>
      </w:r>
      <w:r w:rsidRPr="00962C72">
        <w:t> Implement advanced fraud detection systems using AI and machine learning to identify potentially fraudulent claims and underwriting practices.</w:t>
      </w:r>
    </w:p>
    <w:p w14:paraId="7F60E2D5" w14:textId="77777777" w:rsidR="00962C72" w:rsidRPr="00962C72" w:rsidRDefault="00962C72" w:rsidP="00962C72">
      <w:pPr>
        <w:numPr>
          <w:ilvl w:val="0"/>
          <w:numId w:val="99"/>
        </w:numPr>
      </w:pPr>
      <w:r w:rsidRPr="00962C72">
        <w:rPr>
          <w:b/>
          <w:bCs/>
        </w:rPr>
        <w:t>Red Flags:</w:t>
      </w:r>
      <w:r w:rsidRPr="00962C72">
        <w:t xml:space="preserve"> Identify common red flags associated with fraudulent claims, such as inconsistencies in documentation or unusual patterns in claims </w:t>
      </w:r>
      <w:proofErr w:type="gramStart"/>
      <w:r w:rsidRPr="00962C72">
        <w:t>data, and</w:t>
      </w:r>
      <w:proofErr w:type="gramEnd"/>
      <w:r w:rsidRPr="00962C72">
        <w:t xml:space="preserve"> use these indicators to guide investigations.</w:t>
      </w:r>
    </w:p>
    <w:p w14:paraId="42EB007C" w14:textId="77777777" w:rsidR="00962C72" w:rsidRPr="00962C72" w:rsidRDefault="00962C72" w:rsidP="00962C72">
      <w:pPr>
        <w:numPr>
          <w:ilvl w:val="0"/>
          <w:numId w:val="99"/>
        </w:numPr>
      </w:pPr>
      <w:r w:rsidRPr="00962C72">
        <w:rPr>
          <w:b/>
          <w:bCs/>
        </w:rPr>
        <w:t>Training Programs:</w:t>
      </w:r>
      <w:r w:rsidRPr="00962C72">
        <w:t> Conduct regular training programs for underwriters to recognize and prevent fraud, ensuring that they are equipped with the knowledge and skills needed to identify suspicious activity.</w:t>
      </w:r>
    </w:p>
    <w:p w14:paraId="4C7E7FAB" w14:textId="77777777" w:rsidR="00962C72" w:rsidRPr="00962C72" w:rsidRDefault="00962C72" w:rsidP="00962C72">
      <w:pPr>
        <w:numPr>
          <w:ilvl w:val="0"/>
          <w:numId w:val="99"/>
        </w:numPr>
      </w:pPr>
      <w:r w:rsidRPr="00962C72">
        <w:rPr>
          <w:b/>
          <w:bCs/>
        </w:rPr>
        <w:t>Collaboration:</w:t>
      </w:r>
      <w:r w:rsidRPr="00962C72">
        <w:t> Collaborate with industry associations and regulatory bodies to share insights and best practices in fraud detection and prevention. This includes participating in industry forums and working with law enforcement agencies to address fraudulent activities.</w:t>
      </w:r>
    </w:p>
    <w:p w14:paraId="2BF4AF2B" w14:textId="77777777" w:rsidR="00962C72" w:rsidRPr="00962C72" w:rsidRDefault="00962C72" w:rsidP="00962C72">
      <w:r w:rsidRPr="00962C72">
        <w:pict w14:anchorId="50E741BB">
          <v:rect id="_x0000_i1690" style="width:0;height:1.5pt" o:hralign="center" o:hrstd="t" o:hrnoshade="t" o:hr="t" fillcolor="#474747" stroked="f"/>
        </w:pict>
      </w:r>
    </w:p>
    <w:p w14:paraId="64F0DB9C" w14:textId="77777777" w:rsidR="00962C72" w:rsidRPr="00962C72" w:rsidRDefault="00962C72" w:rsidP="00962C72">
      <w:pPr>
        <w:rPr>
          <w:b/>
          <w:bCs/>
        </w:rPr>
      </w:pPr>
      <w:r w:rsidRPr="00962C72">
        <w:rPr>
          <w:b/>
          <w:bCs/>
        </w:rPr>
        <w:t>11. Technology Integration in Underwriting</w:t>
      </w:r>
    </w:p>
    <w:p w14:paraId="0725EB75" w14:textId="77777777" w:rsidR="00962C72" w:rsidRPr="00962C72" w:rsidRDefault="00962C72" w:rsidP="00962C72">
      <w:r w:rsidRPr="00962C72">
        <w:t>Technology integration is essential to enhancing underwriting efficiency and effectiveness at ABC Reinsurance. Key initiatives include:</w:t>
      </w:r>
    </w:p>
    <w:p w14:paraId="54C69DAD" w14:textId="77777777" w:rsidR="00962C72" w:rsidRPr="00962C72" w:rsidRDefault="00962C72" w:rsidP="00962C72">
      <w:pPr>
        <w:numPr>
          <w:ilvl w:val="0"/>
          <w:numId w:val="100"/>
        </w:numPr>
      </w:pPr>
      <w:r w:rsidRPr="00962C72">
        <w:rPr>
          <w:b/>
          <w:bCs/>
        </w:rPr>
        <w:lastRenderedPageBreak/>
        <w:t>Digital Platforms:</w:t>
      </w:r>
      <w:r w:rsidRPr="00962C72">
        <w:t> Utilize digital platforms for seamless policy management and customer interactions, streamlining processes and improving the customer experience.</w:t>
      </w:r>
    </w:p>
    <w:p w14:paraId="629BDC33" w14:textId="77777777" w:rsidR="00962C72" w:rsidRPr="00962C72" w:rsidRDefault="00962C72" w:rsidP="00962C72">
      <w:pPr>
        <w:numPr>
          <w:ilvl w:val="0"/>
          <w:numId w:val="100"/>
        </w:numPr>
      </w:pPr>
      <w:r w:rsidRPr="00962C72">
        <w:rPr>
          <w:b/>
          <w:bCs/>
        </w:rPr>
        <w:t>Data Analytics:</w:t>
      </w:r>
      <w:r w:rsidRPr="00962C72">
        <w:t> Leverage data analytics to enhance underwriting decisions and risk assessments, using insights from historical data and emerging trends to inform pricing and risk management strategies.</w:t>
      </w:r>
    </w:p>
    <w:p w14:paraId="105B6F04" w14:textId="77777777" w:rsidR="00962C72" w:rsidRPr="00962C72" w:rsidRDefault="00962C72" w:rsidP="00962C72">
      <w:pPr>
        <w:numPr>
          <w:ilvl w:val="0"/>
          <w:numId w:val="100"/>
        </w:numPr>
      </w:pPr>
      <w:r w:rsidRPr="00962C72">
        <w:rPr>
          <w:b/>
          <w:bCs/>
        </w:rPr>
        <w:t>Cloud Technology:</w:t>
      </w:r>
      <w:r w:rsidRPr="00962C72">
        <w:t> Integrate cloud technology for scalable and secure data management, ensuring that sensitive information is protected and accessible to authorized users.</w:t>
      </w:r>
    </w:p>
    <w:p w14:paraId="1EBEA1CE" w14:textId="77777777" w:rsidR="00962C72" w:rsidRPr="00962C72" w:rsidRDefault="00962C72" w:rsidP="00962C72">
      <w:pPr>
        <w:numPr>
          <w:ilvl w:val="0"/>
          <w:numId w:val="100"/>
        </w:numPr>
      </w:pPr>
      <w:r w:rsidRPr="00962C72">
        <w:rPr>
          <w:b/>
          <w:bCs/>
        </w:rPr>
        <w:t>Cybersecurity Tools:</w:t>
      </w:r>
      <w:r w:rsidRPr="00962C72">
        <w:t> Implement cybersecurity tools to protect sensitive data and systems, ensuring that the company's technology infrastructure is resilient to cyber threats.</w:t>
      </w:r>
    </w:p>
    <w:p w14:paraId="12521BE7" w14:textId="77777777" w:rsidR="00962C72" w:rsidRPr="00962C72" w:rsidRDefault="00962C72" w:rsidP="00962C72">
      <w:r w:rsidRPr="00962C72">
        <w:pict w14:anchorId="52D18863">
          <v:rect id="_x0000_i1691" style="width:0;height:1.5pt" o:hralign="center" o:hrstd="t" o:hrnoshade="t" o:hr="t" fillcolor="#474747" stroked="f"/>
        </w:pict>
      </w:r>
    </w:p>
    <w:p w14:paraId="73052C01" w14:textId="77777777" w:rsidR="00962C72" w:rsidRPr="00962C72" w:rsidRDefault="00962C72" w:rsidP="00962C72">
      <w:pPr>
        <w:rPr>
          <w:b/>
          <w:bCs/>
        </w:rPr>
      </w:pPr>
      <w:r w:rsidRPr="00962C72">
        <w:rPr>
          <w:b/>
          <w:bCs/>
        </w:rPr>
        <w:t>12. Training &amp; Development for Underwriters</w:t>
      </w:r>
    </w:p>
    <w:p w14:paraId="28762052" w14:textId="77777777" w:rsidR="00962C72" w:rsidRPr="00962C72" w:rsidRDefault="00962C72" w:rsidP="00962C72">
      <w:r w:rsidRPr="00962C72">
        <w:t>ABC Reinsurance is committed to fostering a culture of continuous learning and professional development for its underwriters. Key initiatives include:</w:t>
      </w:r>
    </w:p>
    <w:p w14:paraId="56C2AA4D" w14:textId="77777777" w:rsidR="00962C72" w:rsidRPr="00962C72" w:rsidRDefault="00962C72" w:rsidP="00962C72">
      <w:pPr>
        <w:numPr>
          <w:ilvl w:val="0"/>
          <w:numId w:val="101"/>
        </w:numPr>
      </w:pPr>
      <w:r w:rsidRPr="00962C72">
        <w:rPr>
          <w:b/>
          <w:bCs/>
        </w:rPr>
        <w:t>Continuous Learning:</w:t>
      </w:r>
      <w:r w:rsidRPr="00962C72">
        <w:t> Encourage continuous learning and professional development for underwriters, ensuring that they stay informed about industry trends and best practices.</w:t>
      </w:r>
    </w:p>
    <w:p w14:paraId="050C34E0" w14:textId="77777777" w:rsidR="00962C72" w:rsidRPr="00962C72" w:rsidRDefault="00962C72" w:rsidP="00962C72">
      <w:pPr>
        <w:numPr>
          <w:ilvl w:val="0"/>
          <w:numId w:val="101"/>
        </w:numPr>
      </w:pPr>
      <w:r w:rsidRPr="00962C72">
        <w:rPr>
          <w:b/>
          <w:bCs/>
        </w:rPr>
        <w:t>Certification Programs:</w:t>
      </w:r>
      <w:r w:rsidRPr="00962C72">
        <w:t> Support participation in certification programs related to reinsurance and cybersecurity, providing underwriters with the knowledge and credentials needed to excel in their roles.</w:t>
      </w:r>
    </w:p>
    <w:p w14:paraId="4055343D" w14:textId="77777777" w:rsidR="00962C72" w:rsidRPr="00962C72" w:rsidRDefault="00962C72" w:rsidP="00962C72">
      <w:pPr>
        <w:numPr>
          <w:ilvl w:val="0"/>
          <w:numId w:val="101"/>
        </w:numPr>
      </w:pPr>
      <w:r w:rsidRPr="00962C72">
        <w:rPr>
          <w:b/>
          <w:bCs/>
        </w:rPr>
        <w:t>Workshops:</w:t>
      </w:r>
      <w:r w:rsidRPr="00962C72">
        <w:t> Organize workshops and seminars to keep underwriters informed about industry trends, regulatory changes, and emerging risks. These events provide opportunities for underwriters to learn from experts and share insights with peers.</w:t>
      </w:r>
    </w:p>
    <w:p w14:paraId="1FC1F136" w14:textId="77777777" w:rsidR="00962C72" w:rsidRPr="00962C72" w:rsidRDefault="00962C72" w:rsidP="00962C72">
      <w:pPr>
        <w:numPr>
          <w:ilvl w:val="0"/>
          <w:numId w:val="101"/>
        </w:numPr>
      </w:pPr>
      <w:r w:rsidRPr="00962C72">
        <w:rPr>
          <w:b/>
          <w:bCs/>
        </w:rPr>
        <w:t>Performance Reviews:</w:t>
      </w:r>
      <w:r w:rsidRPr="00962C72">
        <w:t> Conduct regular performance reviews to identify areas for improvement and provide feedback, supporting underwriters in their professional growth and development.</w:t>
      </w:r>
    </w:p>
    <w:p w14:paraId="6E4F716B" w14:textId="77777777" w:rsidR="00962C72" w:rsidRPr="00962C72" w:rsidRDefault="00962C72" w:rsidP="00962C72">
      <w:r w:rsidRPr="00962C72">
        <w:pict w14:anchorId="4B6A158E">
          <v:rect id="_x0000_i1692" style="width:0;height:1.5pt" o:hralign="center" o:hrstd="t" o:hrnoshade="t" o:hr="t" fillcolor="#474747" stroked="f"/>
        </w:pict>
      </w:r>
    </w:p>
    <w:p w14:paraId="78BEF6AD" w14:textId="77777777" w:rsidR="00962C72" w:rsidRPr="00962C72" w:rsidRDefault="00962C72" w:rsidP="00962C72">
      <w:pPr>
        <w:rPr>
          <w:b/>
          <w:bCs/>
        </w:rPr>
      </w:pPr>
      <w:r w:rsidRPr="00962C72">
        <w:rPr>
          <w:b/>
          <w:bCs/>
        </w:rPr>
        <w:t>13. Monitoring, Audits &amp; Continuous Improvement</w:t>
      </w:r>
    </w:p>
    <w:p w14:paraId="510A3EC3" w14:textId="77777777" w:rsidR="00962C72" w:rsidRPr="00962C72" w:rsidRDefault="00962C72" w:rsidP="00962C72">
      <w:r w:rsidRPr="00962C72">
        <w:t>Monitoring, audits, and continuous improvement are integral to ABC Reinsurance's commitment to excellence in underwriting. Key initiatives include:</w:t>
      </w:r>
    </w:p>
    <w:p w14:paraId="111698AF" w14:textId="77777777" w:rsidR="00962C72" w:rsidRPr="00962C72" w:rsidRDefault="00962C72" w:rsidP="00962C72">
      <w:pPr>
        <w:numPr>
          <w:ilvl w:val="0"/>
          <w:numId w:val="102"/>
        </w:numPr>
      </w:pPr>
      <w:r w:rsidRPr="00962C72">
        <w:rPr>
          <w:b/>
          <w:bCs/>
        </w:rPr>
        <w:t>Regular Audits:</w:t>
      </w:r>
      <w:r w:rsidRPr="00962C72">
        <w:t> Conduct regular audits to ensure compliance with underwriting policies and procedures, identifying areas for improvement and ensuring that practices align with industry standards and regulatory requirements.</w:t>
      </w:r>
    </w:p>
    <w:p w14:paraId="2AEC1CE2" w14:textId="77777777" w:rsidR="00962C72" w:rsidRPr="00962C72" w:rsidRDefault="00962C72" w:rsidP="00962C72">
      <w:pPr>
        <w:numPr>
          <w:ilvl w:val="0"/>
          <w:numId w:val="102"/>
        </w:numPr>
      </w:pPr>
      <w:r w:rsidRPr="00962C72">
        <w:rPr>
          <w:b/>
          <w:bCs/>
        </w:rPr>
        <w:t>Performance Metrics:</w:t>
      </w:r>
      <w:r w:rsidRPr="00962C72">
        <w:t> Track performance metrics to evaluate the effectiveness of underwriting strategies, using insights from these metrics to inform decision-making and drive improvements.</w:t>
      </w:r>
    </w:p>
    <w:p w14:paraId="3F1CE37E" w14:textId="77777777" w:rsidR="00962C72" w:rsidRPr="00962C72" w:rsidRDefault="00962C72" w:rsidP="00962C72">
      <w:pPr>
        <w:numPr>
          <w:ilvl w:val="0"/>
          <w:numId w:val="102"/>
        </w:numPr>
      </w:pPr>
      <w:r w:rsidRPr="00962C72">
        <w:rPr>
          <w:b/>
          <w:bCs/>
        </w:rPr>
        <w:t>Feedback Loops:</w:t>
      </w:r>
      <w:r w:rsidRPr="00962C72">
        <w:t> Establish feedback loops to gather insights from policyholders and other stakeholders, using this feedback to adjust practices and enhance the customer experience.</w:t>
      </w:r>
    </w:p>
    <w:p w14:paraId="525026FF" w14:textId="77777777" w:rsidR="00962C72" w:rsidRPr="00962C72" w:rsidRDefault="00962C72" w:rsidP="00962C72">
      <w:pPr>
        <w:numPr>
          <w:ilvl w:val="0"/>
          <w:numId w:val="102"/>
        </w:numPr>
      </w:pPr>
      <w:r w:rsidRPr="00962C72">
        <w:rPr>
          <w:b/>
          <w:bCs/>
        </w:rPr>
        <w:t>Continuous Improvement:</w:t>
      </w:r>
      <w:r w:rsidRPr="00962C72">
        <w:t> Foster a culture of continuous improvement to enhance processes and outcomes, ensuring that the company remains responsive to emerging risks and regulatory changes.</w:t>
      </w:r>
    </w:p>
    <w:p w14:paraId="67F4F6C0" w14:textId="77777777" w:rsidR="00962C72" w:rsidRPr="00962C72" w:rsidRDefault="00962C72" w:rsidP="00962C72">
      <w:r w:rsidRPr="00962C72">
        <w:pict w14:anchorId="3FC9CF63">
          <v:rect id="_x0000_i1693" style="width:0;height:1.5pt" o:hralign="center" o:hrstd="t" o:hrnoshade="t" o:hr="t" fillcolor="#474747" stroked="f"/>
        </w:pict>
      </w:r>
    </w:p>
    <w:p w14:paraId="3BAB1617" w14:textId="77777777" w:rsidR="00962C72" w:rsidRPr="00962C72" w:rsidRDefault="00962C72" w:rsidP="00962C72">
      <w:pPr>
        <w:rPr>
          <w:b/>
          <w:bCs/>
        </w:rPr>
      </w:pPr>
      <w:r w:rsidRPr="00962C72">
        <w:rPr>
          <w:b/>
          <w:bCs/>
        </w:rPr>
        <w:t>14. Appendices &amp; Supporting Documents</w:t>
      </w:r>
    </w:p>
    <w:p w14:paraId="2D7B513D" w14:textId="77777777" w:rsidR="00962C72" w:rsidRPr="00962C72" w:rsidRDefault="00962C72" w:rsidP="00962C72">
      <w:r w:rsidRPr="00962C72">
        <w:lastRenderedPageBreak/>
        <w:t>The appendices and supporting documents section provides additional resources and information to support the implementation of the underwriting and risk assessment policies and procedures outlined in this manual. This includes:</w:t>
      </w:r>
    </w:p>
    <w:p w14:paraId="6EE865AD" w14:textId="77777777" w:rsidR="00962C72" w:rsidRPr="00962C72" w:rsidRDefault="00962C72" w:rsidP="00962C72">
      <w:pPr>
        <w:numPr>
          <w:ilvl w:val="0"/>
          <w:numId w:val="103"/>
        </w:numPr>
      </w:pPr>
      <w:r w:rsidRPr="00962C72">
        <w:rPr>
          <w:b/>
          <w:bCs/>
        </w:rPr>
        <w:t>Glossary:</w:t>
      </w:r>
      <w:r w:rsidRPr="00962C72">
        <w:t> Define key terms used in the manual to ensure clarity and understanding among all stakeholders.</w:t>
      </w:r>
    </w:p>
    <w:p w14:paraId="649199DA" w14:textId="77777777" w:rsidR="00962C72" w:rsidRPr="00962C72" w:rsidRDefault="00962C72" w:rsidP="00962C72">
      <w:pPr>
        <w:numPr>
          <w:ilvl w:val="0"/>
          <w:numId w:val="103"/>
        </w:numPr>
      </w:pPr>
      <w:r w:rsidRPr="00962C72">
        <w:rPr>
          <w:b/>
          <w:bCs/>
        </w:rPr>
        <w:t>Templates:</w:t>
      </w:r>
      <w:r w:rsidRPr="00962C72">
        <w:t> Provide templates for underwriting reports, risk assessments, and policy documents, streamlining processes and ensuring consistency in documentation.</w:t>
      </w:r>
    </w:p>
    <w:p w14:paraId="40C831B6" w14:textId="77777777" w:rsidR="00962C72" w:rsidRPr="00962C72" w:rsidRDefault="00962C72" w:rsidP="00962C72">
      <w:pPr>
        <w:numPr>
          <w:ilvl w:val="0"/>
          <w:numId w:val="103"/>
        </w:numPr>
      </w:pPr>
      <w:r w:rsidRPr="00962C72">
        <w:rPr>
          <w:b/>
          <w:bCs/>
        </w:rPr>
        <w:t>Case Studies:</w:t>
      </w:r>
      <w:r w:rsidRPr="00962C72">
        <w:t> Include case studies to illustrate best practices and lessons learned, providing real-world examples of successful underwriting and risk management strategies.</w:t>
      </w:r>
    </w:p>
    <w:p w14:paraId="5B27F413" w14:textId="77777777" w:rsidR="00962C72" w:rsidRPr="00962C72" w:rsidRDefault="00962C72" w:rsidP="00962C72">
      <w:pPr>
        <w:numPr>
          <w:ilvl w:val="0"/>
          <w:numId w:val="103"/>
        </w:numPr>
      </w:pPr>
      <w:r w:rsidRPr="00962C72">
        <w:rPr>
          <w:b/>
          <w:bCs/>
        </w:rPr>
        <w:t>References:</w:t>
      </w:r>
      <w:r w:rsidRPr="00962C72">
        <w:t> List references and resources for further reading and research, supporting underwriters and risk analysts in their professional development and continuous learning.</w:t>
      </w:r>
    </w:p>
    <w:p w14:paraId="26CB5864" w14:textId="77777777" w:rsidR="00962C72" w:rsidRPr="00962C72" w:rsidRDefault="00962C72" w:rsidP="00962C72">
      <w:r w:rsidRPr="00962C72">
        <w:pict w14:anchorId="3C25EAE6">
          <v:rect id="_x0000_i1694" style="width:0;height:1.5pt" o:hralign="center" o:hrstd="t" o:hrnoshade="t" o:hr="t" fillcolor="#474747" stroked="f"/>
        </w:pict>
      </w:r>
    </w:p>
    <w:p w14:paraId="620AC5D9" w14:textId="77777777" w:rsidR="00962C72" w:rsidRPr="00962C72" w:rsidRDefault="00962C72" w:rsidP="00962C72">
      <w:r w:rsidRPr="00962C72">
        <w:t>This comprehensive manual serves as a guide for ABC Reinsurance Company Limited to effectively underwrite and assess risks in reinsurance and cybersecurity insurance, ensuring compliance with regulatory standards and promoting sustainable growth. By implementing the policies and procedures outlined in this manual, the company can achieve its strategic objectives, enhance its competitive position, and maintain its reputation as a trusted leader in the insurance industry.</w:t>
      </w:r>
    </w:p>
    <w:p w14:paraId="525507A6" w14:textId="77777777" w:rsidR="00962C72" w:rsidRPr="00962C72" w:rsidRDefault="00962C72" w:rsidP="00962C72">
      <w:r w:rsidRPr="00962C72">
        <w:t>This detailed document should provide a thorough and exhaustive guide for underwriting and risk assessment in the context of reinsurance and cybersecurity insurance, aligning with industry standards and best practices.</w:t>
      </w:r>
    </w:p>
    <w:p w14:paraId="5C2A54AA" w14:textId="32BA750C" w:rsidR="00CA759C" w:rsidRPr="00962C72" w:rsidRDefault="00CA759C" w:rsidP="00962C72"/>
    <w:sectPr w:rsidR="00CA759C" w:rsidRPr="00962C72" w:rsidSect="0083046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31E4"/>
    <w:multiLevelType w:val="multilevel"/>
    <w:tmpl w:val="8330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F4D0A"/>
    <w:multiLevelType w:val="multilevel"/>
    <w:tmpl w:val="71BE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75490"/>
    <w:multiLevelType w:val="multilevel"/>
    <w:tmpl w:val="C012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C3923"/>
    <w:multiLevelType w:val="multilevel"/>
    <w:tmpl w:val="58C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24D5F"/>
    <w:multiLevelType w:val="multilevel"/>
    <w:tmpl w:val="0D94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22DA4"/>
    <w:multiLevelType w:val="multilevel"/>
    <w:tmpl w:val="6310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11D0B"/>
    <w:multiLevelType w:val="multilevel"/>
    <w:tmpl w:val="B2D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00244"/>
    <w:multiLevelType w:val="multilevel"/>
    <w:tmpl w:val="307E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A62B4"/>
    <w:multiLevelType w:val="multilevel"/>
    <w:tmpl w:val="E1E8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F6253"/>
    <w:multiLevelType w:val="multilevel"/>
    <w:tmpl w:val="CF58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37FF2"/>
    <w:multiLevelType w:val="multilevel"/>
    <w:tmpl w:val="5AAA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E52FC"/>
    <w:multiLevelType w:val="multilevel"/>
    <w:tmpl w:val="ADD8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27D06"/>
    <w:multiLevelType w:val="multilevel"/>
    <w:tmpl w:val="5C20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05D84"/>
    <w:multiLevelType w:val="multilevel"/>
    <w:tmpl w:val="D03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93889"/>
    <w:multiLevelType w:val="multilevel"/>
    <w:tmpl w:val="1A8E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C6F09"/>
    <w:multiLevelType w:val="multilevel"/>
    <w:tmpl w:val="EA1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129C1"/>
    <w:multiLevelType w:val="multilevel"/>
    <w:tmpl w:val="1062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211BD1"/>
    <w:multiLevelType w:val="multilevel"/>
    <w:tmpl w:val="9C388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4F06BD"/>
    <w:multiLevelType w:val="multilevel"/>
    <w:tmpl w:val="41FC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0F2378"/>
    <w:multiLevelType w:val="multilevel"/>
    <w:tmpl w:val="BB92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3026CB"/>
    <w:multiLevelType w:val="multilevel"/>
    <w:tmpl w:val="DCD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912F2"/>
    <w:multiLevelType w:val="multilevel"/>
    <w:tmpl w:val="E578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E352B"/>
    <w:multiLevelType w:val="multilevel"/>
    <w:tmpl w:val="CCF0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910D99"/>
    <w:multiLevelType w:val="multilevel"/>
    <w:tmpl w:val="CD0E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68261C"/>
    <w:multiLevelType w:val="multilevel"/>
    <w:tmpl w:val="6068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8543B7"/>
    <w:multiLevelType w:val="multilevel"/>
    <w:tmpl w:val="F2B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C91F9A"/>
    <w:multiLevelType w:val="multilevel"/>
    <w:tmpl w:val="3D98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CB4F96"/>
    <w:multiLevelType w:val="multilevel"/>
    <w:tmpl w:val="E81A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E54E39"/>
    <w:multiLevelType w:val="multilevel"/>
    <w:tmpl w:val="336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F74343"/>
    <w:multiLevelType w:val="multilevel"/>
    <w:tmpl w:val="270E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A322C4"/>
    <w:multiLevelType w:val="multilevel"/>
    <w:tmpl w:val="C752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165838"/>
    <w:multiLevelType w:val="multilevel"/>
    <w:tmpl w:val="2EF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A95973"/>
    <w:multiLevelType w:val="multilevel"/>
    <w:tmpl w:val="AB764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3332B9"/>
    <w:multiLevelType w:val="multilevel"/>
    <w:tmpl w:val="503E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3D1090"/>
    <w:multiLevelType w:val="multilevel"/>
    <w:tmpl w:val="39E6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310FE2"/>
    <w:multiLevelType w:val="multilevel"/>
    <w:tmpl w:val="2042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B25F27"/>
    <w:multiLevelType w:val="multilevel"/>
    <w:tmpl w:val="4D82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4319CC"/>
    <w:multiLevelType w:val="multilevel"/>
    <w:tmpl w:val="D7DE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0538AC"/>
    <w:multiLevelType w:val="multilevel"/>
    <w:tmpl w:val="A1E4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ED552A"/>
    <w:multiLevelType w:val="multilevel"/>
    <w:tmpl w:val="07D23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4C1FF7"/>
    <w:multiLevelType w:val="multilevel"/>
    <w:tmpl w:val="FD0A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9444AF"/>
    <w:multiLevelType w:val="multilevel"/>
    <w:tmpl w:val="69A6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C04B31"/>
    <w:multiLevelType w:val="multilevel"/>
    <w:tmpl w:val="C3F6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E45283"/>
    <w:multiLevelType w:val="multilevel"/>
    <w:tmpl w:val="557E4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CF0C87"/>
    <w:multiLevelType w:val="multilevel"/>
    <w:tmpl w:val="78FC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92331C"/>
    <w:multiLevelType w:val="multilevel"/>
    <w:tmpl w:val="D972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941C55"/>
    <w:multiLevelType w:val="multilevel"/>
    <w:tmpl w:val="1C8A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781C5E"/>
    <w:multiLevelType w:val="multilevel"/>
    <w:tmpl w:val="FD30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120C7F"/>
    <w:multiLevelType w:val="multilevel"/>
    <w:tmpl w:val="50C2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B92AE8"/>
    <w:multiLevelType w:val="multilevel"/>
    <w:tmpl w:val="958A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A41E2B"/>
    <w:multiLevelType w:val="multilevel"/>
    <w:tmpl w:val="241C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55C19C9"/>
    <w:multiLevelType w:val="multilevel"/>
    <w:tmpl w:val="F2A8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D757F7"/>
    <w:multiLevelType w:val="multilevel"/>
    <w:tmpl w:val="DF3C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012169"/>
    <w:multiLevelType w:val="multilevel"/>
    <w:tmpl w:val="DD54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695E9D"/>
    <w:multiLevelType w:val="multilevel"/>
    <w:tmpl w:val="126A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BF5F4A"/>
    <w:multiLevelType w:val="multilevel"/>
    <w:tmpl w:val="C440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D074B9"/>
    <w:multiLevelType w:val="multilevel"/>
    <w:tmpl w:val="72B89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ECC23EF"/>
    <w:multiLevelType w:val="multilevel"/>
    <w:tmpl w:val="5D86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EB5B97"/>
    <w:multiLevelType w:val="multilevel"/>
    <w:tmpl w:val="F6DA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B75C0A"/>
    <w:multiLevelType w:val="multilevel"/>
    <w:tmpl w:val="675E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5C1121"/>
    <w:multiLevelType w:val="multilevel"/>
    <w:tmpl w:val="BBEC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9E686C"/>
    <w:multiLevelType w:val="multilevel"/>
    <w:tmpl w:val="6B7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C50D61"/>
    <w:multiLevelType w:val="multilevel"/>
    <w:tmpl w:val="039CC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0E5C1B"/>
    <w:multiLevelType w:val="multilevel"/>
    <w:tmpl w:val="9864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2D7EF1"/>
    <w:multiLevelType w:val="multilevel"/>
    <w:tmpl w:val="57A4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23726"/>
    <w:multiLevelType w:val="multilevel"/>
    <w:tmpl w:val="BBB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8116FF"/>
    <w:multiLevelType w:val="multilevel"/>
    <w:tmpl w:val="BFDC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A11FE"/>
    <w:multiLevelType w:val="multilevel"/>
    <w:tmpl w:val="06FA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876FDD"/>
    <w:multiLevelType w:val="multilevel"/>
    <w:tmpl w:val="6A3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963B77"/>
    <w:multiLevelType w:val="multilevel"/>
    <w:tmpl w:val="F4A63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F44F46"/>
    <w:multiLevelType w:val="multilevel"/>
    <w:tmpl w:val="CAFA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AAA0059"/>
    <w:multiLevelType w:val="multilevel"/>
    <w:tmpl w:val="F7B21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E8B5474"/>
    <w:multiLevelType w:val="multilevel"/>
    <w:tmpl w:val="46B4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B72969"/>
    <w:multiLevelType w:val="multilevel"/>
    <w:tmpl w:val="B2E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13034A"/>
    <w:multiLevelType w:val="multilevel"/>
    <w:tmpl w:val="CAF0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5F359F"/>
    <w:multiLevelType w:val="multilevel"/>
    <w:tmpl w:val="9E68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BF2B3F"/>
    <w:multiLevelType w:val="multilevel"/>
    <w:tmpl w:val="B312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B42D73"/>
    <w:multiLevelType w:val="multilevel"/>
    <w:tmpl w:val="8B60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DE0011"/>
    <w:multiLevelType w:val="multilevel"/>
    <w:tmpl w:val="90CE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824AE8"/>
    <w:multiLevelType w:val="multilevel"/>
    <w:tmpl w:val="D864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434EEA"/>
    <w:multiLevelType w:val="multilevel"/>
    <w:tmpl w:val="365C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24581D"/>
    <w:multiLevelType w:val="multilevel"/>
    <w:tmpl w:val="0FB0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015B7C"/>
    <w:multiLevelType w:val="multilevel"/>
    <w:tmpl w:val="EB72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75414E"/>
    <w:multiLevelType w:val="multilevel"/>
    <w:tmpl w:val="3C88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1D5746"/>
    <w:multiLevelType w:val="multilevel"/>
    <w:tmpl w:val="DC44D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D786F66"/>
    <w:multiLevelType w:val="multilevel"/>
    <w:tmpl w:val="E3E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B9297C"/>
    <w:multiLevelType w:val="multilevel"/>
    <w:tmpl w:val="87F4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673082"/>
    <w:multiLevelType w:val="multilevel"/>
    <w:tmpl w:val="4E90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685BB8"/>
    <w:multiLevelType w:val="multilevel"/>
    <w:tmpl w:val="B16CE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FC6433C"/>
    <w:multiLevelType w:val="multilevel"/>
    <w:tmpl w:val="098A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441421"/>
    <w:multiLevelType w:val="multilevel"/>
    <w:tmpl w:val="B358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B9138D"/>
    <w:multiLevelType w:val="multilevel"/>
    <w:tmpl w:val="8008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4B6737"/>
    <w:multiLevelType w:val="multilevel"/>
    <w:tmpl w:val="EC52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BF2B6C"/>
    <w:multiLevelType w:val="multilevel"/>
    <w:tmpl w:val="FC98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354AD4"/>
    <w:multiLevelType w:val="multilevel"/>
    <w:tmpl w:val="C63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7A2EE1"/>
    <w:multiLevelType w:val="multilevel"/>
    <w:tmpl w:val="381E5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968608A"/>
    <w:multiLevelType w:val="multilevel"/>
    <w:tmpl w:val="A9E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2B0618"/>
    <w:multiLevelType w:val="multilevel"/>
    <w:tmpl w:val="0794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2E1A92"/>
    <w:multiLevelType w:val="multilevel"/>
    <w:tmpl w:val="EC8E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210577"/>
    <w:multiLevelType w:val="multilevel"/>
    <w:tmpl w:val="8768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443478"/>
    <w:multiLevelType w:val="multilevel"/>
    <w:tmpl w:val="3D6E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F1BD1"/>
    <w:multiLevelType w:val="multilevel"/>
    <w:tmpl w:val="D036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E14C33"/>
    <w:multiLevelType w:val="multilevel"/>
    <w:tmpl w:val="0A5E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577883">
    <w:abstractNumId w:val="51"/>
  </w:num>
  <w:num w:numId="2" w16cid:durableId="1999260693">
    <w:abstractNumId w:val="101"/>
  </w:num>
  <w:num w:numId="3" w16cid:durableId="1719471794">
    <w:abstractNumId w:val="0"/>
  </w:num>
  <w:num w:numId="4" w16cid:durableId="1495074152">
    <w:abstractNumId w:val="96"/>
  </w:num>
  <w:num w:numId="5" w16cid:durableId="2131896829">
    <w:abstractNumId w:val="26"/>
  </w:num>
  <w:num w:numId="6" w16cid:durableId="950433381">
    <w:abstractNumId w:val="5"/>
  </w:num>
  <w:num w:numId="7" w16cid:durableId="2032563075">
    <w:abstractNumId w:val="50"/>
  </w:num>
  <w:num w:numId="8" w16cid:durableId="1352874712">
    <w:abstractNumId w:val="79"/>
  </w:num>
  <w:num w:numId="9" w16cid:durableId="121196814">
    <w:abstractNumId w:val="32"/>
  </w:num>
  <w:num w:numId="10" w16cid:durableId="535779167">
    <w:abstractNumId w:val="53"/>
  </w:num>
  <w:num w:numId="11" w16cid:durableId="1035042435">
    <w:abstractNumId w:val="21"/>
  </w:num>
  <w:num w:numId="12" w16cid:durableId="838160614">
    <w:abstractNumId w:val="55"/>
  </w:num>
  <w:num w:numId="13" w16cid:durableId="1211654783">
    <w:abstractNumId w:val="63"/>
  </w:num>
  <w:num w:numId="14" w16cid:durableId="1181774335">
    <w:abstractNumId w:val="74"/>
  </w:num>
  <w:num w:numId="15" w16cid:durableId="1994792333">
    <w:abstractNumId w:val="23"/>
  </w:num>
  <w:num w:numId="16" w16cid:durableId="1053046787">
    <w:abstractNumId w:val="91"/>
  </w:num>
  <w:num w:numId="17" w16cid:durableId="1218468782">
    <w:abstractNumId w:val="10"/>
  </w:num>
  <w:num w:numId="18" w16cid:durableId="1260597683">
    <w:abstractNumId w:val="78"/>
  </w:num>
  <w:num w:numId="19" w16cid:durableId="10182496">
    <w:abstractNumId w:val="75"/>
  </w:num>
  <w:num w:numId="20" w16cid:durableId="779834647">
    <w:abstractNumId w:val="41"/>
  </w:num>
  <w:num w:numId="21" w16cid:durableId="901255989">
    <w:abstractNumId w:val="33"/>
  </w:num>
  <w:num w:numId="22" w16cid:durableId="1276863592">
    <w:abstractNumId w:val="62"/>
  </w:num>
  <w:num w:numId="23" w16cid:durableId="962268932">
    <w:abstractNumId w:val="45"/>
  </w:num>
  <w:num w:numId="24" w16cid:durableId="591858555">
    <w:abstractNumId w:val="42"/>
  </w:num>
  <w:num w:numId="25" w16cid:durableId="1401514935">
    <w:abstractNumId w:val="29"/>
  </w:num>
  <w:num w:numId="26" w16cid:durableId="473907970">
    <w:abstractNumId w:val="31"/>
  </w:num>
  <w:num w:numId="27" w16cid:durableId="2016226997">
    <w:abstractNumId w:val="66"/>
  </w:num>
  <w:num w:numId="28" w16cid:durableId="617420149">
    <w:abstractNumId w:val="17"/>
  </w:num>
  <w:num w:numId="29" w16cid:durableId="1728332229">
    <w:abstractNumId w:val="46"/>
  </w:num>
  <w:num w:numId="30" w16cid:durableId="460273866">
    <w:abstractNumId w:val="71"/>
  </w:num>
  <w:num w:numId="31" w16cid:durableId="141697449">
    <w:abstractNumId w:val="59"/>
  </w:num>
  <w:num w:numId="32" w16cid:durableId="1166213791">
    <w:abstractNumId w:val="99"/>
  </w:num>
  <w:num w:numId="33" w16cid:durableId="1439792725">
    <w:abstractNumId w:val="57"/>
  </w:num>
  <w:num w:numId="34" w16cid:durableId="870457198">
    <w:abstractNumId w:val="68"/>
  </w:num>
  <w:num w:numId="35" w16cid:durableId="2051805530">
    <w:abstractNumId w:val="1"/>
  </w:num>
  <w:num w:numId="36" w16cid:durableId="1017851207">
    <w:abstractNumId w:val="77"/>
  </w:num>
  <w:num w:numId="37" w16cid:durableId="2036803252">
    <w:abstractNumId w:val="36"/>
  </w:num>
  <w:num w:numId="38" w16cid:durableId="1165820913">
    <w:abstractNumId w:val="98"/>
  </w:num>
  <w:num w:numId="39" w16cid:durableId="2094663254">
    <w:abstractNumId w:val="85"/>
  </w:num>
  <w:num w:numId="40" w16cid:durableId="1621180635">
    <w:abstractNumId w:val="40"/>
  </w:num>
  <w:num w:numId="41" w16cid:durableId="117913416">
    <w:abstractNumId w:val="48"/>
  </w:num>
  <w:num w:numId="42" w16cid:durableId="1162433801">
    <w:abstractNumId w:val="11"/>
  </w:num>
  <w:num w:numId="43" w16cid:durableId="7996385">
    <w:abstractNumId w:val="70"/>
  </w:num>
  <w:num w:numId="44" w16cid:durableId="999309101">
    <w:abstractNumId w:val="3"/>
  </w:num>
  <w:num w:numId="45" w16cid:durableId="1461604400">
    <w:abstractNumId w:val="87"/>
  </w:num>
  <w:num w:numId="46" w16cid:durableId="49622752">
    <w:abstractNumId w:val="19"/>
  </w:num>
  <w:num w:numId="47" w16cid:durableId="931006833">
    <w:abstractNumId w:val="90"/>
  </w:num>
  <w:num w:numId="48" w16cid:durableId="427236906">
    <w:abstractNumId w:val="69"/>
  </w:num>
  <w:num w:numId="49" w16cid:durableId="1201044679">
    <w:abstractNumId w:val="12"/>
  </w:num>
  <w:num w:numId="50" w16cid:durableId="715853645">
    <w:abstractNumId w:val="39"/>
  </w:num>
  <w:num w:numId="51" w16cid:durableId="945238537">
    <w:abstractNumId w:val="35"/>
  </w:num>
  <w:num w:numId="52" w16cid:durableId="1749839399">
    <w:abstractNumId w:val="61"/>
  </w:num>
  <w:num w:numId="53" w16cid:durableId="1857648981">
    <w:abstractNumId w:val="30"/>
  </w:num>
  <w:num w:numId="54" w16cid:durableId="1034765709">
    <w:abstractNumId w:val="92"/>
  </w:num>
  <w:num w:numId="55" w16cid:durableId="1154687427">
    <w:abstractNumId w:val="2"/>
  </w:num>
  <w:num w:numId="56" w16cid:durableId="25066898">
    <w:abstractNumId w:val="94"/>
  </w:num>
  <w:num w:numId="57" w16cid:durableId="2006929661">
    <w:abstractNumId w:val="6"/>
  </w:num>
  <w:num w:numId="58" w16cid:durableId="890457128">
    <w:abstractNumId w:val="44"/>
  </w:num>
  <w:num w:numId="59" w16cid:durableId="1204251538">
    <w:abstractNumId w:val="73"/>
  </w:num>
  <w:num w:numId="60" w16cid:durableId="1441417058">
    <w:abstractNumId w:val="9"/>
  </w:num>
  <w:num w:numId="61" w16cid:durableId="1650745286">
    <w:abstractNumId w:val="37"/>
  </w:num>
  <w:num w:numId="62" w16cid:durableId="419640760">
    <w:abstractNumId w:val="93"/>
  </w:num>
  <w:num w:numId="63" w16cid:durableId="2142183055">
    <w:abstractNumId w:val="88"/>
  </w:num>
  <w:num w:numId="64" w16cid:durableId="728960985">
    <w:abstractNumId w:val="18"/>
  </w:num>
  <w:num w:numId="65" w16cid:durableId="241570814">
    <w:abstractNumId w:val="20"/>
  </w:num>
  <w:num w:numId="66" w16cid:durableId="1313875172">
    <w:abstractNumId w:val="24"/>
  </w:num>
  <w:num w:numId="67" w16cid:durableId="173957889">
    <w:abstractNumId w:val="97"/>
  </w:num>
  <w:num w:numId="68" w16cid:durableId="1756318297">
    <w:abstractNumId w:val="84"/>
  </w:num>
  <w:num w:numId="69" w16cid:durableId="1031568765">
    <w:abstractNumId w:val="60"/>
  </w:num>
  <w:num w:numId="70" w16cid:durableId="271673708">
    <w:abstractNumId w:val="83"/>
  </w:num>
  <w:num w:numId="71" w16cid:durableId="714817225">
    <w:abstractNumId w:val="34"/>
  </w:num>
  <w:num w:numId="72" w16cid:durableId="289283117">
    <w:abstractNumId w:val="65"/>
  </w:num>
  <w:num w:numId="73" w16cid:durableId="1772552333">
    <w:abstractNumId w:val="14"/>
  </w:num>
  <w:num w:numId="74" w16cid:durableId="600602970">
    <w:abstractNumId w:val="67"/>
  </w:num>
  <w:num w:numId="75" w16cid:durableId="234975536">
    <w:abstractNumId w:val="64"/>
  </w:num>
  <w:num w:numId="76" w16cid:durableId="1615285906">
    <w:abstractNumId w:val="22"/>
  </w:num>
  <w:num w:numId="77" w16cid:durableId="1395200630">
    <w:abstractNumId w:val="7"/>
  </w:num>
  <w:num w:numId="78" w16cid:durableId="1038503967">
    <w:abstractNumId w:val="100"/>
  </w:num>
  <w:num w:numId="79" w16cid:durableId="824080590">
    <w:abstractNumId w:val="102"/>
  </w:num>
  <w:num w:numId="80" w16cid:durableId="526254316">
    <w:abstractNumId w:val="47"/>
  </w:num>
  <w:num w:numId="81" w16cid:durableId="559559115">
    <w:abstractNumId w:val="13"/>
  </w:num>
  <w:num w:numId="82" w16cid:durableId="2142503924">
    <w:abstractNumId w:val="86"/>
  </w:num>
  <w:num w:numId="83" w16cid:durableId="462624774">
    <w:abstractNumId w:val="56"/>
  </w:num>
  <w:num w:numId="84" w16cid:durableId="1215658838">
    <w:abstractNumId w:val="49"/>
  </w:num>
  <w:num w:numId="85" w16cid:durableId="528757684">
    <w:abstractNumId w:val="80"/>
  </w:num>
  <w:num w:numId="86" w16cid:durableId="1952127262">
    <w:abstractNumId w:val="52"/>
  </w:num>
  <w:num w:numId="87" w16cid:durableId="128596617">
    <w:abstractNumId w:val="58"/>
  </w:num>
  <w:num w:numId="88" w16cid:durableId="766578291">
    <w:abstractNumId w:val="82"/>
  </w:num>
  <w:num w:numId="89" w16cid:durableId="1362588380">
    <w:abstractNumId w:val="95"/>
  </w:num>
  <w:num w:numId="90" w16cid:durableId="703138320">
    <w:abstractNumId w:val="54"/>
  </w:num>
  <w:num w:numId="91" w16cid:durableId="297340091">
    <w:abstractNumId w:val="43"/>
  </w:num>
  <w:num w:numId="92" w16cid:durableId="1741252533">
    <w:abstractNumId w:val="4"/>
  </w:num>
  <w:num w:numId="93" w16cid:durableId="1433235210">
    <w:abstractNumId w:val="81"/>
  </w:num>
  <w:num w:numId="94" w16cid:durableId="1495298559">
    <w:abstractNumId w:val="25"/>
  </w:num>
  <w:num w:numId="95" w16cid:durableId="1248811564">
    <w:abstractNumId w:val="15"/>
  </w:num>
  <w:num w:numId="96" w16cid:durableId="300813578">
    <w:abstractNumId w:val="16"/>
  </w:num>
  <w:num w:numId="97" w16cid:durableId="2093619799">
    <w:abstractNumId w:val="72"/>
  </w:num>
  <w:num w:numId="98" w16cid:durableId="426073838">
    <w:abstractNumId w:val="28"/>
  </w:num>
  <w:num w:numId="99" w16cid:durableId="19859176">
    <w:abstractNumId w:val="8"/>
  </w:num>
  <w:num w:numId="100" w16cid:durableId="1715889691">
    <w:abstractNumId w:val="27"/>
  </w:num>
  <w:num w:numId="101" w16cid:durableId="1326935581">
    <w:abstractNumId w:val="89"/>
  </w:num>
  <w:num w:numId="102" w16cid:durableId="518275585">
    <w:abstractNumId w:val="38"/>
  </w:num>
  <w:num w:numId="103" w16cid:durableId="100801791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466"/>
    <w:rsid w:val="00064AE4"/>
    <w:rsid w:val="00214FC3"/>
    <w:rsid w:val="00743BDD"/>
    <w:rsid w:val="007A1F74"/>
    <w:rsid w:val="00830466"/>
    <w:rsid w:val="00962C72"/>
    <w:rsid w:val="00CA759C"/>
    <w:rsid w:val="00CD3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91F1A"/>
  <w15:chartTrackingRefBased/>
  <w15:docId w15:val="{FE72775B-B23D-49CD-B5EB-60C0D17FA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466"/>
    <w:rPr>
      <w:rFonts w:eastAsiaTheme="majorEastAsia" w:cstheme="majorBidi"/>
      <w:color w:val="272727" w:themeColor="text1" w:themeTint="D8"/>
    </w:rPr>
  </w:style>
  <w:style w:type="paragraph" w:styleId="Title">
    <w:name w:val="Title"/>
    <w:basedOn w:val="Normal"/>
    <w:next w:val="Normal"/>
    <w:link w:val="TitleChar"/>
    <w:uiPriority w:val="10"/>
    <w:qFormat/>
    <w:rsid w:val="00830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466"/>
    <w:pPr>
      <w:spacing w:before="160"/>
      <w:jc w:val="center"/>
    </w:pPr>
    <w:rPr>
      <w:i/>
      <w:iCs/>
      <w:color w:val="404040" w:themeColor="text1" w:themeTint="BF"/>
    </w:rPr>
  </w:style>
  <w:style w:type="character" w:customStyle="1" w:styleId="QuoteChar">
    <w:name w:val="Quote Char"/>
    <w:basedOn w:val="DefaultParagraphFont"/>
    <w:link w:val="Quote"/>
    <w:uiPriority w:val="29"/>
    <w:rsid w:val="00830466"/>
    <w:rPr>
      <w:i/>
      <w:iCs/>
      <w:color w:val="404040" w:themeColor="text1" w:themeTint="BF"/>
    </w:rPr>
  </w:style>
  <w:style w:type="paragraph" w:styleId="ListParagraph">
    <w:name w:val="List Paragraph"/>
    <w:basedOn w:val="Normal"/>
    <w:uiPriority w:val="34"/>
    <w:qFormat/>
    <w:rsid w:val="00830466"/>
    <w:pPr>
      <w:ind w:left="720"/>
      <w:contextualSpacing/>
    </w:pPr>
  </w:style>
  <w:style w:type="character" w:styleId="IntenseEmphasis">
    <w:name w:val="Intense Emphasis"/>
    <w:basedOn w:val="DefaultParagraphFont"/>
    <w:uiPriority w:val="21"/>
    <w:qFormat/>
    <w:rsid w:val="00830466"/>
    <w:rPr>
      <w:i/>
      <w:iCs/>
      <w:color w:val="0F4761" w:themeColor="accent1" w:themeShade="BF"/>
    </w:rPr>
  </w:style>
  <w:style w:type="paragraph" w:styleId="IntenseQuote">
    <w:name w:val="Intense Quote"/>
    <w:basedOn w:val="Normal"/>
    <w:next w:val="Normal"/>
    <w:link w:val="IntenseQuoteChar"/>
    <w:uiPriority w:val="30"/>
    <w:qFormat/>
    <w:rsid w:val="00830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466"/>
    <w:rPr>
      <w:i/>
      <w:iCs/>
      <w:color w:val="0F4761" w:themeColor="accent1" w:themeShade="BF"/>
    </w:rPr>
  </w:style>
  <w:style w:type="character" w:styleId="IntenseReference">
    <w:name w:val="Intense Reference"/>
    <w:basedOn w:val="DefaultParagraphFont"/>
    <w:uiPriority w:val="32"/>
    <w:qFormat/>
    <w:rsid w:val="008304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4442">
      <w:bodyDiv w:val="1"/>
      <w:marLeft w:val="0"/>
      <w:marRight w:val="0"/>
      <w:marTop w:val="0"/>
      <w:marBottom w:val="0"/>
      <w:divBdr>
        <w:top w:val="none" w:sz="0" w:space="0" w:color="auto"/>
        <w:left w:val="none" w:sz="0" w:space="0" w:color="auto"/>
        <w:bottom w:val="none" w:sz="0" w:space="0" w:color="auto"/>
        <w:right w:val="none" w:sz="0" w:space="0" w:color="auto"/>
      </w:divBdr>
      <w:divsChild>
        <w:div w:id="1252739012">
          <w:marLeft w:val="0"/>
          <w:marRight w:val="0"/>
          <w:marTop w:val="0"/>
          <w:marBottom w:val="0"/>
          <w:divBdr>
            <w:top w:val="none" w:sz="0" w:space="0" w:color="auto"/>
            <w:left w:val="none" w:sz="0" w:space="0" w:color="auto"/>
            <w:bottom w:val="none" w:sz="0" w:space="0" w:color="auto"/>
            <w:right w:val="none" w:sz="0" w:space="0" w:color="auto"/>
          </w:divBdr>
          <w:divsChild>
            <w:div w:id="8511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4977">
      <w:bodyDiv w:val="1"/>
      <w:marLeft w:val="0"/>
      <w:marRight w:val="0"/>
      <w:marTop w:val="0"/>
      <w:marBottom w:val="0"/>
      <w:divBdr>
        <w:top w:val="none" w:sz="0" w:space="0" w:color="auto"/>
        <w:left w:val="none" w:sz="0" w:space="0" w:color="auto"/>
        <w:bottom w:val="none" w:sz="0" w:space="0" w:color="auto"/>
        <w:right w:val="none" w:sz="0" w:space="0" w:color="auto"/>
      </w:divBdr>
      <w:divsChild>
        <w:div w:id="828251654">
          <w:marLeft w:val="0"/>
          <w:marRight w:val="0"/>
          <w:marTop w:val="0"/>
          <w:marBottom w:val="0"/>
          <w:divBdr>
            <w:top w:val="none" w:sz="0" w:space="0" w:color="auto"/>
            <w:left w:val="none" w:sz="0" w:space="0" w:color="auto"/>
            <w:bottom w:val="none" w:sz="0" w:space="0" w:color="auto"/>
            <w:right w:val="none" w:sz="0" w:space="0" w:color="auto"/>
          </w:divBdr>
          <w:divsChild>
            <w:div w:id="173319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47757">
      <w:bodyDiv w:val="1"/>
      <w:marLeft w:val="0"/>
      <w:marRight w:val="0"/>
      <w:marTop w:val="0"/>
      <w:marBottom w:val="0"/>
      <w:divBdr>
        <w:top w:val="none" w:sz="0" w:space="0" w:color="auto"/>
        <w:left w:val="none" w:sz="0" w:space="0" w:color="auto"/>
        <w:bottom w:val="none" w:sz="0" w:space="0" w:color="auto"/>
        <w:right w:val="none" w:sz="0" w:space="0" w:color="auto"/>
      </w:divBdr>
      <w:divsChild>
        <w:div w:id="138496224">
          <w:marLeft w:val="0"/>
          <w:marRight w:val="0"/>
          <w:marTop w:val="0"/>
          <w:marBottom w:val="0"/>
          <w:divBdr>
            <w:top w:val="none" w:sz="0" w:space="0" w:color="auto"/>
            <w:left w:val="none" w:sz="0" w:space="0" w:color="auto"/>
            <w:bottom w:val="none" w:sz="0" w:space="0" w:color="auto"/>
            <w:right w:val="none" w:sz="0" w:space="0" w:color="auto"/>
          </w:divBdr>
          <w:divsChild>
            <w:div w:id="586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22840">
      <w:bodyDiv w:val="1"/>
      <w:marLeft w:val="0"/>
      <w:marRight w:val="0"/>
      <w:marTop w:val="0"/>
      <w:marBottom w:val="0"/>
      <w:divBdr>
        <w:top w:val="none" w:sz="0" w:space="0" w:color="auto"/>
        <w:left w:val="none" w:sz="0" w:space="0" w:color="auto"/>
        <w:bottom w:val="none" w:sz="0" w:space="0" w:color="auto"/>
        <w:right w:val="none" w:sz="0" w:space="0" w:color="auto"/>
      </w:divBdr>
      <w:divsChild>
        <w:div w:id="1164974954">
          <w:marLeft w:val="0"/>
          <w:marRight w:val="0"/>
          <w:marTop w:val="0"/>
          <w:marBottom w:val="0"/>
          <w:divBdr>
            <w:top w:val="none" w:sz="0" w:space="0" w:color="auto"/>
            <w:left w:val="none" w:sz="0" w:space="0" w:color="auto"/>
            <w:bottom w:val="none" w:sz="0" w:space="0" w:color="auto"/>
            <w:right w:val="none" w:sz="0" w:space="0" w:color="auto"/>
          </w:divBdr>
          <w:divsChild>
            <w:div w:id="20972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5066">
      <w:bodyDiv w:val="1"/>
      <w:marLeft w:val="0"/>
      <w:marRight w:val="0"/>
      <w:marTop w:val="0"/>
      <w:marBottom w:val="0"/>
      <w:divBdr>
        <w:top w:val="none" w:sz="0" w:space="0" w:color="auto"/>
        <w:left w:val="none" w:sz="0" w:space="0" w:color="auto"/>
        <w:bottom w:val="none" w:sz="0" w:space="0" w:color="auto"/>
        <w:right w:val="none" w:sz="0" w:space="0" w:color="auto"/>
      </w:divBdr>
      <w:divsChild>
        <w:div w:id="690111336">
          <w:marLeft w:val="0"/>
          <w:marRight w:val="0"/>
          <w:marTop w:val="0"/>
          <w:marBottom w:val="0"/>
          <w:divBdr>
            <w:top w:val="none" w:sz="0" w:space="0" w:color="auto"/>
            <w:left w:val="none" w:sz="0" w:space="0" w:color="auto"/>
            <w:bottom w:val="none" w:sz="0" w:space="0" w:color="auto"/>
            <w:right w:val="none" w:sz="0" w:space="0" w:color="auto"/>
          </w:divBdr>
          <w:divsChild>
            <w:div w:id="95841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52686">
      <w:bodyDiv w:val="1"/>
      <w:marLeft w:val="0"/>
      <w:marRight w:val="0"/>
      <w:marTop w:val="0"/>
      <w:marBottom w:val="0"/>
      <w:divBdr>
        <w:top w:val="none" w:sz="0" w:space="0" w:color="auto"/>
        <w:left w:val="none" w:sz="0" w:space="0" w:color="auto"/>
        <w:bottom w:val="none" w:sz="0" w:space="0" w:color="auto"/>
        <w:right w:val="none" w:sz="0" w:space="0" w:color="auto"/>
      </w:divBdr>
      <w:divsChild>
        <w:div w:id="1796019884">
          <w:marLeft w:val="0"/>
          <w:marRight w:val="0"/>
          <w:marTop w:val="0"/>
          <w:marBottom w:val="0"/>
          <w:divBdr>
            <w:top w:val="none" w:sz="0" w:space="0" w:color="auto"/>
            <w:left w:val="none" w:sz="0" w:space="0" w:color="auto"/>
            <w:bottom w:val="none" w:sz="0" w:space="0" w:color="auto"/>
            <w:right w:val="none" w:sz="0" w:space="0" w:color="auto"/>
          </w:divBdr>
          <w:divsChild>
            <w:div w:id="13858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30924">
      <w:bodyDiv w:val="1"/>
      <w:marLeft w:val="0"/>
      <w:marRight w:val="0"/>
      <w:marTop w:val="0"/>
      <w:marBottom w:val="0"/>
      <w:divBdr>
        <w:top w:val="none" w:sz="0" w:space="0" w:color="auto"/>
        <w:left w:val="none" w:sz="0" w:space="0" w:color="auto"/>
        <w:bottom w:val="none" w:sz="0" w:space="0" w:color="auto"/>
        <w:right w:val="none" w:sz="0" w:space="0" w:color="auto"/>
      </w:divBdr>
      <w:divsChild>
        <w:div w:id="2133480219">
          <w:marLeft w:val="0"/>
          <w:marRight w:val="0"/>
          <w:marTop w:val="0"/>
          <w:marBottom w:val="0"/>
          <w:divBdr>
            <w:top w:val="none" w:sz="0" w:space="0" w:color="auto"/>
            <w:left w:val="none" w:sz="0" w:space="0" w:color="auto"/>
            <w:bottom w:val="none" w:sz="0" w:space="0" w:color="auto"/>
            <w:right w:val="none" w:sz="0" w:space="0" w:color="auto"/>
          </w:divBdr>
          <w:divsChild>
            <w:div w:id="2020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11310">
      <w:bodyDiv w:val="1"/>
      <w:marLeft w:val="0"/>
      <w:marRight w:val="0"/>
      <w:marTop w:val="0"/>
      <w:marBottom w:val="0"/>
      <w:divBdr>
        <w:top w:val="none" w:sz="0" w:space="0" w:color="auto"/>
        <w:left w:val="none" w:sz="0" w:space="0" w:color="auto"/>
        <w:bottom w:val="none" w:sz="0" w:space="0" w:color="auto"/>
        <w:right w:val="none" w:sz="0" w:space="0" w:color="auto"/>
      </w:divBdr>
      <w:divsChild>
        <w:div w:id="199126187">
          <w:marLeft w:val="0"/>
          <w:marRight w:val="0"/>
          <w:marTop w:val="0"/>
          <w:marBottom w:val="0"/>
          <w:divBdr>
            <w:top w:val="none" w:sz="0" w:space="0" w:color="auto"/>
            <w:left w:val="none" w:sz="0" w:space="0" w:color="auto"/>
            <w:bottom w:val="none" w:sz="0" w:space="0" w:color="auto"/>
            <w:right w:val="none" w:sz="0" w:space="0" w:color="auto"/>
          </w:divBdr>
          <w:divsChild>
            <w:div w:id="30292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05691">
      <w:bodyDiv w:val="1"/>
      <w:marLeft w:val="0"/>
      <w:marRight w:val="0"/>
      <w:marTop w:val="0"/>
      <w:marBottom w:val="0"/>
      <w:divBdr>
        <w:top w:val="none" w:sz="0" w:space="0" w:color="auto"/>
        <w:left w:val="none" w:sz="0" w:space="0" w:color="auto"/>
        <w:bottom w:val="none" w:sz="0" w:space="0" w:color="auto"/>
        <w:right w:val="none" w:sz="0" w:space="0" w:color="auto"/>
      </w:divBdr>
      <w:divsChild>
        <w:div w:id="713314502">
          <w:marLeft w:val="0"/>
          <w:marRight w:val="0"/>
          <w:marTop w:val="0"/>
          <w:marBottom w:val="0"/>
          <w:divBdr>
            <w:top w:val="none" w:sz="0" w:space="0" w:color="auto"/>
            <w:left w:val="none" w:sz="0" w:space="0" w:color="auto"/>
            <w:bottom w:val="none" w:sz="0" w:space="0" w:color="auto"/>
            <w:right w:val="none" w:sz="0" w:space="0" w:color="auto"/>
          </w:divBdr>
          <w:divsChild>
            <w:div w:id="2816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02991">
      <w:bodyDiv w:val="1"/>
      <w:marLeft w:val="0"/>
      <w:marRight w:val="0"/>
      <w:marTop w:val="0"/>
      <w:marBottom w:val="0"/>
      <w:divBdr>
        <w:top w:val="none" w:sz="0" w:space="0" w:color="auto"/>
        <w:left w:val="none" w:sz="0" w:space="0" w:color="auto"/>
        <w:bottom w:val="none" w:sz="0" w:space="0" w:color="auto"/>
        <w:right w:val="none" w:sz="0" w:space="0" w:color="auto"/>
      </w:divBdr>
      <w:divsChild>
        <w:div w:id="1501313932">
          <w:marLeft w:val="0"/>
          <w:marRight w:val="0"/>
          <w:marTop w:val="0"/>
          <w:marBottom w:val="0"/>
          <w:divBdr>
            <w:top w:val="none" w:sz="0" w:space="0" w:color="auto"/>
            <w:left w:val="none" w:sz="0" w:space="0" w:color="auto"/>
            <w:bottom w:val="none" w:sz="0" w:space="0" w:color="auto"/>
            <w:right w:val="none" w:sz="0" w:space="0" w:color="auto"/>
          </w:divBdr>
          <w:divsChild>
            <w:div w:id="165664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3420</Words>
  <Characters>19500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22875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Pradeep Pradhan (IN)</dc:creator>
  <cp:keywords/>
  <dc:description/>
  <cp:lastModifiedBy>Pushkar Pradeep Pradhan (IN)</cp:lastModifiedBy>
  <cp:revision>1</cp:revision>
  <dcterms:created xsi:type="dcterms:W3CDTF">2025-02-17T18:57:00Z</dcterms:created>
  <dcterms:modified xsi:type="dcterms:W3CDTF">2025-02-17T19:39:00Z</dcterms:modified>
</cp:coreProperties>
</file>