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ComplianceIQ</w:t>
      </w:r>
    </w:p>
    <w:p>
      <w:r>
        <w:rPr>
          <w:i/>
        </w:rPr>
        <w:t>AI-Driven Multi-Agent Regulatory Compliance Assessment</w:t>
      </w:r>
    </w:p>
    <w:p>
      <w:r>
        <w:t>Generated: 2026-05-16T11:13:33 UTC</w:t>
      </w:r>
    </w:p>
    <w:p/>
    <w:p>
      <w:r>
        <w:rPr>
          <w:b/>
          <w:sz w:val="28"/>
        </w:rPr>
        <w:t>Overall weighted coverage: 0.17  (unweighted: 0.20)</w:t>
      </w:r>
    </w:p>
    <w:p>
      <w:r>
        <w:t>Org-wide weighted coverage 0.17. 8 high-priority open gaps. Weakest domains: internal_audit.</w:t>
      </w:r>
    </w:p>
    <w:p>
      <w:r>
        <w:br w:type="page"/>
      </w:r>
    </w:p>
    <w:p>
      <w:pPr>
        <w:pStyle w:val="Heading1"/>
      </w:pPr>
      <w:r>
        <w:t>1. Executive Summary</w:t>
      </w:r>
    </w:p>
    <w:tbl>
      <w:tblPr>
        <w:tblStyle w:val="LightGrid-Accent1"/>
        <w:tblW w:type="auto" w:w="0"/>
        <w:tblLook w:firstColumn="1" w:firstRow="1" w:lastColumn="0" w:lastRow="0" w:noHBand="0" w:noVBand="1" w:val="04A0"/>
      </w:tblPr>
      <w:tblGrid>
        <w:gridCol w:w="4320"/>
        <w:gridCol w:w="4320"/>
      </w:tblGrid>
      <w:tr>
        <w:tc>
          <w:tcPr>
            <w:tcW w:type="dxa" w:w="4320"/>
          </w:tcPr>
          <w:p>
            <w:r>
              <w:t>Metric</w:t>
            </w:r>
          </w:p>
        </w:tc>
        <w:tc>
          <w:tcPr>
            <w:tcW w:type="dxa" w:w="4320"/>
          </w:tcPr>
          <w:p>
            <w:r>
              <w:t>Value</w:t>
            </w:r>
          </w:p>
        </w:tc>
      </w:tr>
      <w:tr>
        <w:tc>
          <w:tcPr>
            <w:tcW w:type="dxa" w:w="4320"/>
          </w:tcPr>
          <w:p>
            <w:r>
              <w:t>Total regulatory requirements analyzed</w:t>
            </w:r>
          </w:p>
        </w:tc>
        <w:tc>
          <w:tcPr>
            <w:tcW w:type="dxa" w:w="4320"/>
          </w:tcPr>
          <w:p>
            <w:r>
              <w:rPr>
                <w:b/>
              </w:rPr>
              <w:t>10</w:t>
            </w:r>
          </w:p>
        </w:tc>
      </w:tr>
      <w:tr>
        <w:tc>
          <w:tcPr>
            <w:tcW w:type="dxa" w:w="4320"/>
          </w:tcPr>
          <w:p>
            <w:r>
              <w:t>Fully covered</w:t>
            </w:r>
          </w:p>
        </w:tc>
        <w:tc>
          <w:tcPr>
            <w:tcW w:type="dxa" w:w="4320"/>
          </w:tcPr>
          <w:p>
            <w:r>
              <w:t>0</w:t>
            </w:r>
          </w:p>
        </w:tc>
      </w:tr>
      <w:tr>
        <w:tc>
          <w:tcPr>
            <w:tcW w:type="dxa" w:w="4320"/>
          </w:tcPr>
          <w:p>
            <w:r>
              <w:t>Partially covered</w:t>
            </w:r>
          </w:p>
        </w:tc>
        <w:tc>
          <w:tcPr>
            <w:tcW w:type="dxa" w:w="4320"/>
          </w:tcPr>
          <w:p>
            <w:r>
              <w:t>4</w:t>
            </w:r>
          </w:p>
        </w:tc>
      </w:tr>
      <w:tr>
        <w:tc>
          <w:tcPr>
            <w:tcW w:type="dxa" w:w="4320"/>
          </w:tcPr>
          <w:p>
            <w:r>
              <w:t>Not covered</w:t>
            </w:r>
          </w:p>
        </w:tc>
        <w:tc>
          <w:tcPr>
            <w:tcW w:type="dxa" w:w="4320"/>
          </w:tcPr>
          <w:p>
            <w:r>
              <w:t>6</w:t>
            </w:r>
          </w:p>
        </w:tc>
      </w:tr>
      <w:tr>
        <w:tc>
          <w:tcPr>
            <w:tcW w:type="dxa" w:w="4320"/>
          </w:tcPr>
          <w:p>
            <w:r>
              <w:t>High-priority gaps</w:t>
            </w:r>
          </w:p>
        </w:tc>
        <w:tc>
          <w:tcPr>
            <w:tcW w:type="dxa" w:w="4320"/>
          </w:tcPr>
          <w:p>
            <w:r>
              <w:rPr>
                <w:b/>
              </w:rPr>
              <w:t>8</w:t>
            </w:r>
          </w:p>
        </w:tc>
      </w:tr>
      <w:tr>
        <w:tc>
          <w:tcPr>
            <w:tcW w:type="dxa" w:w="4320"/>
          </w:tcPr>
          <w:p>
            <w:r>
              <w:t>Overall coverage (unweighted)</w:t>
            </w:r>
          </w:p>
        </w:tc>
        <w:tc>
          <w:tcPr>
            <w:tcW w:type="dxa" w:w="4320"/>
          </w:tcPr>
          <w:p>
            <w:r>
              <w:t>0.20</w:t>
            </w:r>
          </w:p>
        </w:tc>
      </w:tr>
      <w:tr>
        <w:tc>
          <w:tcPr>
            <w:tcW w:type="dxa" w:w="4320"/>
          </w:tcPr>
          <w:p>
            <w:r>
              <w:t>Overall coverage (severity-weighted)</w:t>
            </w:r>
          </w:p>
        </w:tc>
        <w:tc>
          <w:tcPr>
            <w:tcW w:type="dxa" w:w="4320"/>
          </w:tcPr>
          <w:p>
            <w:r>
              <w:rPr>
                <w:b/>
              </w:rPr>
              <w:t>0.17</w:t>
            </w:r>
          </w:p>
        </w:tc>
      </w:tr>
    </w:tbl>
    <w:p>
      <w:pPr>
        <w:pStyle w:val="Heading1"/>
      </w:pPr>
      <w:r>
        <w:t>2. Per-Domain Coverage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Domain</w:t>
            </w:r>
          </w:p>
        </w:tc>
        <w:tc>
          <w:tcPr>
            <w:tcW w:type="dxa" w:w="1728"/>
          </w:tcPr>
          <w:p>
            <w:r>
              <w:rPr>
                <w:b/>
              </w:rPr>
              <w:t>Weighted</w:t>
            </w:r>
          </w:p>
        </w:tc>
        <w:tc>
          <w:tcPr>
            <w:tcW w:type="dxa" w:w="1728"/>
          </w:tcPr>
          <w:p>
            <w:r>
              <w:rPr>
                <w:b/>
              </w:rPr>
              <w:t>Total</w:t>
            </w:r>
          </w:p>
        </w:tc>
        <w:tc>
          <w:tcPr>
            <w:tcW w:type="dxa" w:w="1728"/>
          </w:tcPr>
          <w:p>
            <w:r>
              <w:rPr>
                <w:b/>
              </w:rPr>
              <w:t>Open (H/M/L)</w:t>
            </w:r>
          </w:p>
        </w:tc>
        <w:tc>
          <w:tcPr>
            <w:tcW w:type="dxa" w:w="1728"/>
          </w:tcPr>
          <w:p>
            <w:r>
              <w:rPr>
                <w:b/>
              </w:rPr>
              <w:t>Weakest areas</w:t>
            </w:r>
          </w:p>
        </w:tc>
      </w:tr>
      <w:tr>
        <w:tc>
          <w:tcPr>
            <w:tcW w:type="dxa" w:w="1728"/>
          </w:tcPr>
          <w:p>
            <w:r>
              <w:t>internal_audit</w:t>
            </w:r>
          </w:p>
        </w:tc>
        <w:tc>
          <w:tcPr>
            <w:tcW w:type="dxa" w:w="1728"/>
          </w:tcPr>
          <w:p>
            <w:r>
              <w:t>0.17</w:t>
            </w:r>
          </w:p>
        </w:tc>
        <w:tc>
          <w:tcPr>
            <w:tcW w:type="dxa" w:w="1728"/>
          </w:tcPr>
          <w:p>
            <w:r>
              <w:t>10</w:t>
            </w:r>
          </w:p>
        </w:tc>
        <w:tc>
          <w:tcPr>
            <w:tcW w:type="dxa" w:w="1728"/>
          </w:tcPr>
          <w:p>
            <w:r>
              <w:t>4/6/0</w:t>
            </w:r>
          </w:p>
        </w:tc>
        <w:tc>
          <w:tcPr>
            <w:tcW w:type="dxa" w:w="1728"/>
          </w:tcPr>
          <w:p>
            <w:r>
              <w:t>control system verification, management systems for insurance companies, audit committee establishment</w:t>
            </w:r>
          </w:p>
        </w:tc>
      </w:tr>
    </w:tbl>
    <w:p>
      <w:pPr>
        <w:pStyle w:val="Heading1"/>
      </w:pPr>
      <w:r>
        <w:t>3. Top Remediation Items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w:t>
            </w:r>
          </w:p>
        </w:tc>
        <w:tc>
          <w:tcPr>
            <w:tcW w:type="dxa" w:w="1728"/>
          </w:tcPr>
          <w:p>
            <w:r>
              <w:rPr>
                <w:b/>
              </w:rPr>
              <w:t>Domain</w:t>
            </w:r>
          </w:p>
        </w:tc>
        <w:tc>
          <w:tcPr>
            <w:tcW w:type="dxa" w:w="1728"/>
          </w:tcPr>
          <w:p>
            <w:r>
              <w:rPr>
                <w:b/>
              </w:rPr>
              <w:t>Severity</w:t>
            </w:r>
          </w:p>
        </w:tc>
        <w:tc>
          <w:tcPr>
            <w:tcW w:type="dxa" w:w="1728"/>
          </w:tcPr>
          <w:p>
            <w:r>
              <w:rPr>
                <w:b/>
              </w:rPr>
              <w:t>Coverage</w:t>
            </w:r>
          </w:p>
        </w:tc>
        <w:tc>
          <w:tcPr>
            <w:tcW w:type="dxa" w:w="1728"/>
          </w:tcPr>
          <w:p>
            <w:r>
              <w:rPr>
                <w:b/>
              </w:rPr>
              <w:t>Mandatory action</w:t>
            </w:r>
          </w:p>
        </w:tc>
      </w:tr>
      <w:tr>
        <w:tc>
          <w:tcPr>
            <w:tcW w:type="dxa" w:w="1728"/>
          </w:tcPr>
          <w:p>
            <w:r>
              <w:t>1</w:t>
            </w:r>
          </w:p>
        </w:tc>
        <w:tc>
          <w:tcPr>
            <w:tcW w:type="dxa" w:w="1728"/>
          </w:tcPr>
          <w:p>
            <w:r>
              <w:t>internal_audit</w:t>
            </w:r>
          </w:p>
        </w:tc>
        <w:tc>
          <w:tcPr>
            <w:tcW w:type="dxa" w:w="1728"/>
          </w:tcPr>
          <w:p>
            <w:r/>
            <w:r>
              <w:rPr>
                <w:b/>
                <w:color w:val="C0392B"/>
              </w:rPr>
              <w:t>high</w:t>
            </w:r>
          </w:p>
        </w:tc>
        <w:tc>
          <w:tcPr>
            <w:tcW w:type="dxa" w:w="1728"/>
          </w:tcPr>
          <w:p>
            <w:r>
              <w:t>not_covered</w:t>
            </w:r>
          </w:p>
        </w:tc>
        <w:tc>
          <w:tcPr>
            <w:tcW w:type="dxa" w:w="1728"/>
          </w:tcPr>
          <w:p>
            <w:r>
              <w:t>Ensure the control system is verified by a supervisory authority for risk assessment.</w:t>
            </w:r>
          </w:p>
        </w:tc>
      </w:tr>
      <w:tr>
        <w:tc>
          <w:tcPr>
            <w:tcW w:type="dxa" w:w="1728"/>
          </w:tcPr>
          <w:p>
            <w:r>
              <w:t>2</w:t>
            </w:r>
          </w:p>
        </w:tc>
        <w:tc>
          <w:tcPr>
            <w:tcW w:type="dxa" w:w="1728"/>
          </w:tcPr>
          <w:p>
            <w:r>
              <w:t>internal_audit</w:t>
            </w:r>
          </w:p>
        </w:tc>
        <w:tc>
          <w:tcPr>
            <w:tcW w:type="dxa" w:w="1728"/>
          </w:tcPr>
          <w:p>
            <w:r/>
            <w:r>
              <w:rPr>
                <w:b/>
                <w:color w:val="C0392B"/>
              </w:rPr>
              <w:t>high</w:t>
            </w:r>
          </w:p>
        </w:tc>
        <w:tc>
          <w:tcPr>
            <w:tcW w:type="dxa" w:w="1728"/>
          </w:tcPr>
          <w:p>
            <w:r>
              <w:t>not_covered</w:t>
            </w:r>
          </w:p>
        </w:tc>
        <w:tc>
          <w:tcPr>
            <w:tcW w:type="dxa" w:w="1728"/>
          </w:tcPr>
          <w:p>
            <w:r>
              <w:t>Insurance and reinsurance companies must implement management systems for prudent business management.</w:t>
            </w:r>
          </w:p>
        </w:tc>
      </w:tr>
      <w:tr>
        <w:tc>
          <w:tcPr>
            <w:tcW w:type="dxa" w:w="1728"/>
          </w:tcPr>
          <w:p>
            <w:r>
              <w:t>3</w:t>
            </w:r>
          </w:p>
        </w:tc>
        <w:tc>
          <w:tcPr>
            <w:tcW w:type="dxa" w:w="1728"/>
          </w:tcPr>
          <w:p>
            <w:r>
              <w:t>internal_audit</w:t>
            </w:r>
          </w:p>
        </w:tc>
        <w:tc>
          <w:tcPr>
            <w:tcW w:type="dxa" w:w="1728"/>
          </w:tcPr>
          <w:p>
            <w:r/>
            <w:r>
              <w:rPr>
                <w:b/>
                <w:color w:val="C0392B"/>
              </w:rPr>
              <w:t>high</w:t>
            </w:r>
          </w:p>
        </w:tc>
        <w:tc>
          <w:tcPr>
            <w:tcW w:type="dxa" w:w="1728"/>
          </w:tcPr>
          <w:p>
            <w:r>
              <w:t>not_covered</w:t>
            </w:r>
          </w:p>
        </w:tc>
        <w:tc>
          <w:tcPr>
            <w:tcW w:type="dxa" w:w="1728"/>
          </w:tcPr>
          <w:p>
            <w:r>
              <w:t>Establish audit committees by the specified deadline.</w:t>
            </w:r>
          </w:p>
        </w:tc>
      </w:tr>
      <w:tr>
        <w:tc>
          <w:tcPr>
            <w:tcW w:type="dxa" w:w="1728"/>
          </w:tcPr>
          <w:p>
            <w:r>
              <w:t>4</w:t>
            </w:r>
          </w:p>
        </w:tc>
        <w:tc>
          <w:tcPr>
            <w:tcW w:type="dxa" w:w="1728"/>
          </w:tcPr>
          <w:p>
            <w:r>
              <w:t>internal_audit</w:t>
            </w:r>
          </w:p>
        </w:tc>
        <w:tc>
          <w:tcPr>
            <w:tcW w:type="dxa" w:w="1728"/>
          </w:tcPr>
          <w:p>
            <w:r/>
            <w:r>
              <w:rPr>
                <w:b/>
                <w:color w:val="C0392B"/>
              </w:rPr>
              <w:t>high</w:t>
            </w:r>
          </w:p>
        </w:tc>
        <w:tc>
          <w:tcPr>
            <w:tcW w:type="dxa" w:w="1728"/>
          </w:tcPr>
          <w:p>
            <w:r>
              <w:t>not_covered</w:t>
            </w:r>
          </w:p>
        </w:tc>
        <w:tc>
          <w:tcPr>
            <w:tcW w:type="dxa" w:w="1728"/>
          </w:tcPr>
          <w:p>
            <w:r>
              <w:t>Companies must establish an audit committee by December 6, 2009.</w:t>
            </w:r>
          </w:p>
        </w:tc>
      </w:tr>
      <w:tr>
        <w:tc>
          <w:tcPr>
            <w:tcW w:type="dxa" w:w="1728"/>
          </w:tcPr>
          <w:p>
            <w:r>
              <w:t>5</w:t>
            </w:r>
          </w:p>
        </w:tc>
        <w:tc>
          <w:tcPr>
            <w:tcW w:type="dxa" w:w="1728"/>
          </w:tcPr>
          <w:p>
            <w:r>
              <w:t>internal_audit</w:t>
            </w:r>
          </w:p>
        </w:tc>
        <w:tc>
          <w:tcPr>
            <w:tcW w:type="dxa" w:w="1728"/>
          </w:tcPr>
          <w:p>
            <w:r/>
            <w:r>
              <w:rPr>
                <w:b/>
                <w:color w:val="E67E22"/>
              </w:rPr>
              <w:t>medium</w:t>
            </w:r>
          </w:p>
        </w:tc>
        <w:tc>
          <w:tcPr>
            <w:tcW w:type="dxa" w:w="1728"/>
          </w:tcPr>
          <w:p>
            <w:r>
              <w:t>not_covered</w:t>
            </w:r>
          </w:p>
        </w:tc>
        <w:tc>
          <w:tcPr>
            <w:tcW w:type="dxa" w:w="1728"/>
          </w:tcPr>
          <w:p>
            <w:r>
              <w:t>The insurer must comply with any improvement and strengthening requirements issued by the supervisory authority.</w:t>
            </w:r>
          </w:p>
        </w:tc>
      </w:tr>
      <w:tr>
        <w:tc>
          <w:tcPr>
            <w:tcW w:type="dxa" w:w="1728"/>
          </w:tcPr>
          <w:p>
            <w:r>
              <w:t>6</w:t>
            </w:r>
          </w:p>
        </w:tc>
        <w:tc>
          <w:tcPr>
            <w:tcW w:type="dxa" w:w="1728"/>
          </w:tcPr>
          <w:p>
            <w:r>
              <w:t>internal_audit</w:t>
            </w:r>
          </w:p>
        </w:tc>
        <w:tc>
          <w:tcPr>
            <w:tcW w:type="dxa" w:w="1728"/>
          </w:tcPr>
          <w:p>
            <w:r/>
            <w:r>
              <w:rPr>
                <w:b/>
                <w:color w:val="E67E22"/>
              </w:rPr>
              <w:t>medium</w:t>
            </w:r>
          </w:p>
        </w:tc>
        <w:tc>
          <w:tcPr>
            <w:tcW w:type="dxa" w:w="1728"/>
          </w:tcPr>
          <w:p>
            <w:r>
              <w:t>not_covered</w:t>
            </w:r>
          </w:p>
        </w:tc>
        <w:tc>
          <w:tcPr>
            <w:tcW w:type="dxa" w:w="1728"/>
          </w:tcPr>
          <w:p>
            <w:r>
              <w:t>The insurer must document rules of risk management, internal audit, internal control, and outsourcing in writing.</w:t>
            </w:r>
          </w:p>
        </w:tc>
      </w:tr>
      <w:tr>
        <w:tc>
          <w:tcPr>
            <w:tcW w:type="dxa" w:w="1728"/>
          </w:tcPr>
          <w:p>
            <w:r>
              <w:t>7</w:t>
            </w:r>
          </w:p>
        </w:tc>
        <w:tc>
          <w:tcPr>
            <w:tcW w:type="dxa" w:w="1728"/>
          </w:tcPr>
          <w:p>
            <w:r>
              <w:t>internal_audit</w:t>
            </w:r>
          </w:p>
        </w:tc>
        <w:tc>
          <w:tcPr>
            <w:tcW w:type="dxa" w:w="1728"/>
          </w:tcPr>
          <w:p>
            <w:r/>
            <w:r>
              <w:rPr>
                <w:b/>
                <w:color w:val="E67E22"/>
              </w:rPr>
              <w:t>medium</w:t>
            </w:r>
          </w:p>
        </w:tc>
        <w:tc>
          <w:tcPr>
            <w:tcW w:type="dxa" w:w="1728"/>
          </w:tcPr>
          <w:p>
            <w:r>
              <w:t>partially_covered</w:t>
            </w:r>
          </w:p>
        </w:tc>
        <w:tc>
          <w:tcPr>
            <w:tcW w:type="dxa" w:w="1728"/>
          </w:tcPr>
          <w:p>
            <w:r>
              <w:t>Insurance and reinsurance companies must maintain and annually review written rules for risk management, internal controls, internal audits, and outsourcing.</w:t>
            </w:r>
          </w:p>
        </w:tc>
      </w:tr>
      <w:tr>
        <w:tc>
          <w:tcPr>
            <w:tcW w:type="dxa" w:w="1728"/>
          </w:tcPr>
          <w:p>
            <w:r>
              <w:t>8</w:t>
            </w:r>
          </w:p>
        </w:tc>
        <w:tc>
          <w:tcPr>
            <w:tcW w:type="dxa" w:w="1728"/>
          </w:tcPr>
          <w:p>
            <w:r>
              <w:t>internal_audit</w:t>
            </w:r>
          </w:p>
        </w:tc>
        <w:tc>
          <w:tcPr>
            <w:tcW w:type="dxa" w:w="1728"/>
          </w:tcPr>
          <w:p>
            <w:r/>
            <w:r>
              <w:rPr>
                <w:b/>
                <w:color w:val="E67E22"/>
              </w:rPr>
              <w:t>medium</w:t>
            </w:r>
          </w:p>
        </w:tc>
        <w:tc>
          <w:tcPr>
            <w:tcW w:type="dxa" w:w="1728"/>
          </w:tcPr>
          <w:p>
            <w:r>
              <w:t>partially_covered</w:t>
            </w:r>
          </w:p>
        </w:tc>
        <w:tc>
          <w:tcPr>
            <w:tcW w:type="dxa" w:w="1728"/>
          </w:tcPr>
          <w:p>
            <w:r>
              <w:t>Insurers must adapt their management system to their operational needs, scale, and complexity, ensuring it includes risk management, internal controls, and internal auditing.</w:t>
            </w:r>
          </w:p>
        </w:tc>
      </w:tr>
      <w:tr>
        <w:tc>
          <w:tcPr>
            <w:tcW w:type="dxa" w:w="1728"/>
          </w:tcPr>
          <w:p>
            <w:r>
              <w:t>9</w:t>
            </w:r>
          </w:p>
        </w:tc>
        <w:tc>
          <w:tcPr>
            <w:tcW w:type="dxa" w:w="1728"/>
          </w:tcPr>
          <w:p>
            <w:r>
              <w:t>internal_audit</w:t>
            </w:r>
          </w:p>
        </w:tc>
        <w:tc>
          <w:tcPr>
            <w:tcW w:type="dxa" w:w="1728"/>
          </w:tcPr>
          <w:p>
            <w:r/>
            <w:r>
              <w:rPr>
                <w:b/>
                <w:color w:val="E67E22"/>
              </w:rPr>
              <w:t>medium</w:t>
            </w:r>
          </w:p>
        </w:tc>
        <w:tc>
          <w:tcPr>
            <w:tcW w:type="dxa" w:w="1728"/>
          </w:tcPr>
          <w:p>
            <w:r>
              <w:t>partially_covered</w:t>
            </w:r>
          </w:p>
        </w:tc>
        <w:tc>
          <w:tcPr>
            <w:tcW w:type="dxa" w:w="1728"/>
          </w:tcPr>
          <w:p>
            <w:r>
              <w:t>Conduct regular internal reviews of the control mechanisms at least annually.</w:t>
            </w:r>
          </w:p>
        </w:tc>
      </w:tr>
      <w:tr>
        <w:tc>
          <w:tcPr>
            <w:tcW w:type="dxa" w:w="1728"/>
          </w:tcPr>
          <w:p>
            <w:r>
              <w:t>10</w:t>
            </w:r>
          </w:p>
        </w:tc>
        <w:tc>
          <w:tcPr>
            <w:tcW w:type="dxa" w:w="1728"/>
          </w:tcPr>
          <w:p>
            <w:r>
              <w:t>internal_audit</w:t>
            </w:r>
          </w:p>
        </w:tc>
        <w:tc>
          <w:tcPr>
            <w:tcW w:type="dxa" w:w="1728"/>
          </w:tcPr>
          <w:p>
            <w:r/>
            <w:r>
              <w:rPr>
                <w:b/>
                <w:color w:val="E67E22"/>
              </w:rPr>
              <w:t>medium</w:t>
            </w:r>
          </w:p>
        </w:tc>
        <w:tc>
          <w:tcPr>
            <w:tcW w:type="dxa" w:w="1728"/>
          </w:tcPr>
          <w:p>
            <w:r>
              <w:t>partially_covered</w:t>
            </w:r>
          </w:p>
        </w:tc>
        <w:tc>
          <w:tcPr>
            <w:tcW w:type="dxa" w:w="1728"/>
          </w:tcPr>
          <w:p>
            <w:r>
              <w:t>Obtain approval of the control mechanisms from the relevant authority.</w:t>
            </w:r>
          </w:p>
        </w:tc>
      </w:tr>
    </w:tbl>
    <w:p>
      <w:pPr>
        <w:pStyle w:val="Heading1"/>
      </w:pPr>
      <w:r>
        <w:t>4. High-Severity Gaps with Evidence</w:t>
      </w:r>
    </w:p>
    <w:p>
      <w:pPr>
        <w:pStyle w:val="Heading2"/>
      </w:pPr>
      <w:r>
        <w:t>4.1  Audit COntol for Insurance Companies.pdf</w:t>
      </w:r>
    </w:p>
    <w:p>
      <w:r>
        <w:rPr>
          <w:b/>
        </w:rPr>
        <w:t xml:space="preserve">Regulatory clause: </w:t>
      </w:r>
      <w:r>
        <w:t>a control system should be verified by a supervisory authority with regard to risks identified by the insurer that may affect adequate financial standing</w:t>
      </w:r>
    </w:p>
    <w:p>
      <w:r>
        <w:rPr>
          <w:b/>
        </w:rPr>
        <w:t xml:space="preserve">Mandatory action: </w:t>
      </w:r>
      <w:r>
        <w:t>Ensure the control system is verified by a supervisory authority for risk assessment.</w:t>
      </w:r>
    </w:p>
    <w:p>
      <w:r>
        <w:rPr>
          <w:b/>
        </w:rPr>
        <w:t xml:space="preserve">Coverage: </w:t>
      </w:r>
      <w:r>
        <w:t>not_covered</w:t>
      </w:r>
      <w:r>
        <w:rPr>
          <w:b/>
        </w:rPr>
        <w:t xml:space="preserve">    Severity: </w:t>
      </w:r>
      <w:r>
        <w:t>high</w:t>
      </w:r>
      <w:r>
        <w:rPr>
          <w:b/>
        </w:rPr>
        <w:t xml:space="preserve">    Priority: </w:t>
      </w:r>
      <w:r>
        <w:t>high</w:t>
      </w:r>
    </w:p>
    <w:p>
      <w:r>
        <w:rPr>
          <w:b/>
        </w:rPr>
        <w:t xml:space="preserve">Gap: </w:t>
      </w:r>
      <w:r>
        <w:t>The policy excerpts do not mention verification of the control system by a supervisory authority, which is a key requirement of the regulation.</w:t>
      </w:r>
    </w:p>
    <w:p>
      <w:pPr>
        <w:pStyle w:val="ListBullet"/>
      </w:pPr>
      <w:r>
        <w:t>Remediation steps:</w:t>
      </w:r>
    </w:p>
    <w:p>
      <w:pPr>
        <w:pStyle w:val="ListBullet2"/>
      </w:pPr>
      <w:r>
        <w:t>Amend the policy to explicitly require verification of the control system by a supervisory authority.</w:t>
      </w:r>
    </w:p>
    <w:p>
      <w:pPr>
        <w:pStyle w:val="ListBullet2"/>
      </w:pPr>
      <w:r>
        <w:t>Establish a process for engaging with the supervisory authority to conduct these verifications.</w:t>
      </w:r>
    </w:p>
    <w:p>
      <w:pPr>
        <w:pStyle w:val="ListBullet2"/>
      </w:pPr>
      <w:r>
        <w:t>Document the verification process and outcomes to ensure compliance with the regulatory requirement.</w:t>
      </w:r>
    </w:p>
    <w:p>
      <w:r>
        <w:rPr>
          <w:b/>
        </w:rPr>
        <w:t>Policy evidence considered:</w:t>
      </w:r>
    </w:p>
    <w:p>
      <w:pPr>
        <w:pStyle w:val="ListBullet"/>
      </w:pPr>
      <w:r>
        <w:t>Governance and Corporate Structure for an Insurance Company.docx () — Regular reviews of reporting processes and controls should be conducted to ensure compliance with regulatory requirements and address any issues or concerns.</w:t>
      </w:r>
    </w:p>
    <w:p>
      <w:pPr>
        <w:pStyle w:val="ListBullet"/>
      </w:pPr>
      <w:r>
        <w:t>Governance and Corporate Structure for an Insurance Company.docx () — Conduct annual audits by an IRDAI-approved auditor, ensuring the accuracy and completeness of financial disclosures. The audit should cover financial statements, internal controls, and compliance with</w:t>
      </w:r>
    </w:p>
    <w:p>
      <w:pPr>
        <w:pStyle w:val="ListBullet"/>
      </w:pPr>
      <w:r>
        <w:t>Governance and Corporate Structure for an Insurance Company.docx () — Regular financial reviews and audits should be conducted to ensure compliance with accounting standards and regulatory requirements.</w:t>
      </w:r>
    </w:p>
    <w:p>
      <w:pPr>
        <w:pStyle w:val="Heading2"/>
      </w:pPr>
      <w:r>
        <w:t>4.2  Audit COntol for Insurance Companies.pdf</w:t>
      </w:r>
    </w:p>
    <w:p>
      <w:r>
        <w:rPr>
          <w:b/>
        </w:rPr>
        <w:t xml:space="preserve">Regulatory clause: </w:t>
      </w:r>
      <w:r>
        <w:t>insurance and reinsurance companies are required to implement management systems that will assure correct and prudent management of the business in consideration of its nature, scale and complexity.</w:t>
      </w:r>
    </w:p>
    <w:p>
      <w:r>
        <w:rPr>
          <w:b/>
        </w:rPr>
        <w:t xml:space="preserve">Mandatory action: </w:t>
      </w:r>
      <w:r>
        <w:t>Insurance and reinsurance companies must implement management systems for prudent business management.</w:t>
      </w:r>
    </w:p>
    <w:p>
      <w:r>
        <w:rPr>
          <w:b/>
        </w:rPr>
        <w:t xml:space="preserve">Coverage: </w:t>
      </w:r>
      <w:r>
        <w:t>not_covered</w:t>
      </w:r>
      <w:r>
        <w:rPr>
          <w:b/>
        </w:rPr>
        <w:t xml:space="preserve">    Severity: </w:t>
      </w:r>
      <w:r>
        <w:t>high</w:t>
      </w:r>
      <w:r>
        <w:rPr>
          <w:b/>
        </w:rPr>
        <w:t xml:space="preserve">    Priority: </w:t>
      </w:r>
      <w:r>
        <w:t>high</w:t>
      </w:r>
    </w:p>
    <w:p>
      <w:r>
        <w:rPr>
          <w:b/>
        </w:rPr>
        <w:t xml:space="preserve">Gap: </w:t>
      </w:r>
      <w:r>
        <w:t>The policy excerpts do not address the implementation of management systems for prudent business management as required by the regulation.</w:t>
      </w:r>
    </w:p>
    <w:p>
      <w:pPr>
        <w:pStyle w:val="ListBullet"/>
      </w:pPr>
      <w:r>
        <w:t>Remediation steps:</w:t>
      </w:r>
    </w:p>
    <w:p>
      <w:pPr>
        <w:pStyle w:val="ListBullet2"/>
      </w:pPr>
      <w:r>
        <w:t>Develop and implement a comprehensive management system that ensures prudent business management, considering the nature, scale, and complexity of the business.</w:t>
      </w:r>
    </w:p>
    <w:p>
      <w:pPr>
        <w:pStyle w:val="ListBullet2"/>
      </w:pPr>
      <w:r>
        <w:t>Document the management system processes and ensure they align with regulatory requirements.</w:t>
      </w:r>
    </w:p>
    <w:p>
      <w:pPr>
        <w:pStyle w:val="ListBullet2"/>
      </w:pPr>
      <w:r>
        <w:t>Conduct regular audits to ensure the management system is effectively implemented and maintained.</w:t>
      </w:r>
    </w:p>
    <w:p>
      <w:pPr>
        <w:pStyle w:val="ListBullet2"/>
      </w:pPr>
      <w:r>
        <w:t>Provide training to relevant staff on the management system to ensure understanding and compliance.</w:t>
      </w:r>
    </w:p>
    <w:p>
      <w:r>
        <w:rPr>
          <w:b/>
        </w:rPr>
        <w:t>Policy evidence considered:</w:t>
      </w:r>
    </w:p>
    <w:p>
      <w:pPr>
        <w:pStyle w:val="ListBullet"/>
      </w:pPr>
      <w:r>
        <w:t>Underwriting and Risk Assessment.docx (Underwriting &amp; Risk Assessment Policies and Procedures Manual) — This comprehensive manual serves as a guide for ABC Reinsurance Company Limited to effectively underwrite and assess risks in reinsurance and cybersecurity insurance, ensuring compliance with regulato</w:t>
      </w:r>
    </w:p>
    <w:p>
      <w:pPr>
        <w:pStyle w:val="ListBullet"/>
      </w:pPr>
      <w:r>
        <w:t>Risk Management and Compliance for an Insurance Company.docx (Risk Management &amp; Compliance Manual) — Documentation: The reinsurance program design is documented, including the structure, coverage, and rationale for decisions made. This documentation promotes transparency and accountability, supportin</w:t>
      </w:r>
    </w:p>
    <w:p>
      <w:pPr>
        <w:pStyle w:val="ListBullet"/>
      </w:pPr>
      <w:r>
        <w:t>Specimen Reinsurance Agreement SEC.docx () — The Company and the Reinsurer represent that, to the best of their knowledge, they are in compliance with all state and federal laws and regulations applicable to the business reinsured under this Agr</w:t>
      </w:r>
    </w:p>
    <w:p>
      <w:pPr>
        <w:pStyle w:val="Heading2"/>
      </w:pPr>
      <w:r>
        <w:t>4.3  Audit COntol for Insurance Companies.pdf</w:t>
      </w:r>
    </w:p>
    <w:p>
      <w:r>
        <w:rPr>
          <w:b/>
        </w:rPr>
        <w:t xml:space="preserve">Regulatory clause: </w:t>
      </w:r>
      <w:r>
        <w:t>companies were required to establish audit committees by 6 December, 2009, i.e. within six months of the effective date of the amended Expert Auditors Act.</w:t>
      </w:r>
    </w:p>
    <w:p>
      <w:r>
        <w:rPr>
          <w:b/>
        </w:rPr>
        <w:t xml:space="preserve">Mandatory action: </w:t>
      </w:r>
      <w:r>
        <w:t>Establish audit committees by the specified deadline.</w:t>
      </w:r>
    </w:p>
    <w:p>
      <w:r>
        <w:rPr>
          <w:b/>
        </w:rPr>
        <w:t xml:space="preserve">Coverage: </w:t>
      </w:r>
      <w:r>
        <w:t>not_covered</w:t>
      </w:r>
      <w:r>
        <w:rPr>
          <w:b/>
        </w:rPr>
        <w:t xml:space="preserve">    Severity: </w:t>
      </w:r>
      <w:r>
        <w:t>high</w:t>
      </w:r>
      <w:r>
        <w:rPr>
          <w:b/>
        </w:rPr>
        <w:t xml:space="preserve">    Priority: </w:t>
      </w:r>
      <w:r>
        <w:t>high</w:t>
      </w:r>
    </w:p>
    <w:p>
      <w:r>
        <w:rPr>
          <w:b/>
        </w:rPr>
        <w:t xml:space="preserve">Gap: </w:t>
      </w:r>
      <w:r>
        <w:t>The policy excerpts do not mention the establishment of audit committees or any specific deadline for doing so.</w:t>
      </w:r>
    </w:p>
    <w:p>
      <w:pPr>
        <w:pStyle w:val="ListBullet"/>
      </w:pPr>
      <w:r>
        <w:t>Remediation steps:</w:t>
      </w:r>
    </w:p>
    <w:p>
      <w:pPr>
        <w:pStyle w:val="ListBullet2"/>
      </w:pPr>
      <w:r>
        <w:t>Draft a policy that explicitly states the requirement to establish audit committees by the specified deadline.</w:t>
      </w:r>
    </w:p>
    <w:p>
      <w:pPr>
        <w:pStyle w:val="ListBullet2"/>
      </w:pPr>
      <w:r>
        <w:t>Assign responsibility for the establishment of the audit committees to a specific role within the organization.</w:t>
      </w:r>
    </w:p>
    <w:p>
      <w:pPr>
        <w:pStyle w:val="ListBullet2"/>
      </w:pPr>
      <w:r>
        <w:t>Set a timeline and action plan to ensure the audit committees are established by the deadline.</w:t>
      </w:r>
    </w:p>
    <w:p>
      <w:pPr>
        <w:pStyle w:val="ListBullet2"/>
      </w:pPr>
      <w:r>
        <w:t>Communicate the new policy and requirements to all relevant stakeholders within the company.</w:t>
      </w:r>
    </w:p>
    <w:p>
      <w:r>
        <w:rPr>
          <w:b/>
        </w:rPr>
        <w:t>Policy evidence considered:</w:t>
      </w:r>
    </w:p>
    <w:p>
      <w:pPr>
        <w:pStyle w:val="ListBullet"/>
      </w:pPr>
      <w:r>
        <w:t>Governance and Corporate Structure for an Insurance Company.docx () — The Audit Committee should review and approve the company’s financial statements, ensuring accuracy and compliance with accounting standards.</w:t>
      </w:r>
    </w:p>
    <w:p>
      <w:pPr>
        <w:pStyle w:val="ListBullet"/>
      </w:pPr>
      <w:r>
        <w:t>Governance and Corporate Structure for an Insurance Company.docx () — Composed of at least three members, with a majority being Independent Directors to ensure objectivity and impartiality. The committee’s role is to oversee financial reporting, internal controls, and l</w:t>
      </w:r>
    </w:p>
    <w:p>
      <w:pPr>
        <w:pStyle w:val="ListBullet"/>
      </w:pPr>
      <w:r>
        <w:t>Governance and Corporate Structure for an Insurance Company.docx () — A strong relationship with the Board and management is essential for the Audit Committee to fulfill its oversight responsibilities effectively.</w:t>
      </w:r>
    </w:p>
    <w:p>
      <w:pPr>
        <w:pStyle w:val="Heading2"/>
      </w:pPr>
      <w:r>
        <w:t>4.4  Audit COntol for Insurance Companies.pdf</w:t>
      </w:r>
    </w:p>
    <w:p>
      <w:r>
        <w:rPr>
          <w:b/>
        </w:rPr>
        <w:t xml:space="preserve">Regulatory clause: </w:t>
      </w:r>
      <w:r>
        <w:t>companies were required to establish by 6 December, 2009, i.e. within six months of the effective date of the amended Expert Auditors Act.</w:t>
      </w:r>
    </w:p>
    <w:p>
      <w:r>
        <w:rPr>
          <w:b/>
        </w:rPr>
        <w:t xml:space="preserve">Mandatory action: </w:t>
      </w:r>
      <w:r>
        <w:t>Companies must establish an audit committee by December 6, 2009.</w:t>
      </w:r>
    </w:p>
    <w:p>
      <w:r>
        <w:rPr>
          <w:b/>
        </w:rPr>
        <w:t xml:space="preserve">Coverage: </w:t>
      </w:r>
      <w:r>
        <w:t>not_covered</w:t>
      </w:r>
      <w:r>
        <w:rPr>
          <w:b/>
        </w:rPr>
        <w:t xml:space="preserve">    Severity: </w:t>
      </w:r>
      <w:r>
        <w:t>high</w:t>
      </w:r>
      <w:r>
        <w:rPr>
          <w:b/>
        </w:rPr>
        <w:t xml:space="preserve">    Priority: </w:t>
      </w:r>
      <w:r>
        <w:t>high</w:t>
      </w:r>
    </w:p>
    <w:p>
      <w:r>
        <w:rPr>
          <w:b/>
        </w:rPr>
        <w:t xml:space="preserve">Gap: </w:t>
      </w:r>
      <w:r>
        <w:t>The policy excerpts do not mention the establishment of an audit committee by the specified deadline of December 6, 2009.</w:t>
      </w:r>
    </w:p>
    <w:p>
      <w:pPr>
        <w:pStyle w:val="ListBullet"/>
      </w:pPr>
      <w:r>
        <w:t>Remediation steps:</w:t>
      </w:r>
    </w:p>
    <w:p>
      <w:pPr>
        <w:pStyle w:val="ListBullet2"/>
      </w:pPr>
      <w:r>
        <w:t>Draft a policy that explicitly states the requirement to establish an audit committee by December 6, 2009.</w:t>
      </w:r>
    </w:p>
    <w:p>
      <w:pPr>
        <w:pStyle w:val="ListBullet2"/>
      </w:pPr>
      <w:r>
        <w:t>Ensure the policy includes the composition and responsibilities of the audit committee as per regulatory requirements.</w:t>
      </w:r>
    </w:p>
    <w:p>
      <w:pPr>
        <w:pStyle w:val="ListBullet2"/>
      </w:pPr>
      <w:r>
        <w:t>Implement a timeline and accountability measures for establishing the audit committee.</w:t>
      </w:r>
    </w:p>
    <w:p>
      <w:pPr>
        <w:pStyle w:val="ListBullet2"/>
      </w:pPr>
      <w:r>
        <w:t>Conduct training for relevant personnel on the new audit committee policy and its requirements.</w:t>
      </w:r>
    </w:p>
    <w:p>
      <w:r>
        <w:rPr>
          <w:b/>
        </w:rPr>
        <w:t>Policy evidence considered:</w:t>
      </w:r>
    </w:p>
    <w:p>
      <w:pPr>
        <w:pStyle w:val="ListBullet"/>
      </w:pPr>
      <w:r>
        <w:t>Governance and Corporate Structure for an Insurance Company.docx () — The Audit Committee should review and approve the company’s financial statements, ensuring accuracy and compliance with accounting standards.</w:t>
      </w:r>
    </w:p>
    <w:p>
      <w:pPr>
        <w:pStyle w:val="ListBullet"/>
      </w:pPr>
      <w:r>
        <w:t>Governance and Corporate Structure for an Insurance Company.docx () — Composed of at least three members, with a majority being Independent Directors to ensure objectivity and impartiality. The committee’s role is to oversee financial reporting, internal controls, and l</w:t>
      </w:r>
    </w:p>
    <w:p>
      <w:pPr>
        <w:pStyle w:val="ListBullet"/>
      </w:pPr>
      <w:r>
        <w:t>Governance and Corporate Structure for an Insurance Company.docx () — Conduct annual audits by an IRDAI-approved auditor, ensuring the accuracy and completeness of financial disclosures. The audit should cover financial statements, internal controls, and compliance with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