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ComplianceIQ</w:t>
      </w:r>
    </w:p>
    <w:p>
      <w:r>
        <w:rPr>
          <w:i/>
        </w:rPr>
        <w:t>AI-Driven Multi-Agent Regulatory Compliance Assessment</w:t>
      </w:r>
    </w:p>
    <w:p>
      <w:r>
        <w:t>Generated: 2026-05-15T10:04:32 UTC</w:t>
      </w:r>
    </w:p>
    <w:p/>
    <w:p>
      <w:r>
        <w:rPr>
          <w:b/>
          <w:sz w:val="28"/>
        </w:rPr>
        <w:t>Overall weighted coverage: 0.50  (unweighted: 0.50)</w:t>
      </w:r>
    </w:p>
    <w:p>
      <w:r>
        <w:t>Org-wide weighted coverage 0.50. 893 high-priority open gaps. Weakest domains: internal_audit, reinsurance, corporate_governance.</w:t>
      </w:r>
    </w:p>
    <w:p>
      <w:r>
        <w:br w:type="page"/>
      </w:r>
    </w:p>
    <w:p>
      <w:pPr>
        <w:pStyle w:val="Heading1"/>
      </w:pPr>
      <w:r>
        <w:t>1. Executive Summary</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Total regulatory requirements analyzed</w:t>
            </w:r>
          </w:p>
        </w:tc>
        <w:tc>
          <w:tcPr>
            <w:tcW w:type="dxa" w:w="4320"/>
          </w:tcPr>
          <w:p>
            <w:r>
              <w:rPr>
                <w:b/>
              </w:rPr>
              <w:t>3065</w:t>
            </w:r>
          </w:p>
        </w:tc>
      </w:tr>
      <w:tr>
        <w:tc>
          <w:tcPr>
            <w:tcW w:type="dxa" w:w="4320"/>
          </w:tcPr>
          <w:p>
            <w:r>
              <w:t>Fully covered</w:t>
            </w:r>
          </w:p>
        </w:tc>
        <w:tc>
          <w:tcPr>
            <w:tcW w:type="dxa" w:w="4320"/>
          </w:tcPr>
          <w:p>
            <w:r>
              <w:t>0</w:t>
            </w:r>
          </w:p>
        </w:tc>
      </w:tr>
      <w:tr>
        <w:tc>
          <w:tcPr>
            <w:tcW w:type="dxa" w:w="4320"/>
          </w:tcPr>
          <w:p>
            <w:r>
              <w:t>Partially covered</w:t>
            </w:r>
          </w:p>
        </w:tc>
        <w:tc>
          <w:tcPr>
            <w:tcW w:type="dxa" w:w="4320"/>
          </w:tcPr>
          <w:p>
            <w:r>
              <w:t>3065</w:t>
            </w:r>
          </w:p>
        </w:tc>
      </w:tr>
      <w:tr>
        <w:tc>
          <w:tcPr>
            <w:tcW w:type="dxa" w:w="4320"/>
          </w:tcPr>
          <w:p>
            <w:r>
              <w:t>Not covered</w:t>
            </w:r>
          </w:p>
        </w:tc>
        <w:tc>
          <w:tcPr>
            <w:tcW w:type="dxa" w:w="4320"/>
          </w:tcPr>
          <w:p>
            <w:r>
              <w:t>0</w:t>
            </w:r>
          </w:p>
        </w:tc>
      </w:tr>
      <w:tr>
        <w:tc>
          <w:tcPr>
            <w:tcW w:type="dxa" w:w="4320"/>
          </w:tcPr>
          <w:p>
            <w:r>
              <w:t>High-priority gaps</w:t>
            </w:r>
          </w:p>
        </w:tc>
        <w:tc>
          <w:tcPr>
            <w:tcW w:type="dxa" w:w="4320"/>
          </w:tcPr>
          <w:p>
            <w:r>
              <w:rPr>
                <w:b/>
              </w:rPr>
              <w:t>893</w:t>
            </w:r>
          </w:p>
        </w:tc>
      </w:tr>
      <w:tr>
        <w:tc>
          <w:tcPr>
            <w:tcW w:type="dxa" w:w="4320"/>
          </w:tcPr>
          <w:p>
            <w:r>
              <w:t>Overall coverage (unweighted)</w:t>
            </w:r>
          </w:p>
        </w:tc>
        <w:tc>
          <w:tcPr>
            <w:tcW w:type="dxa" w:w="4320"/>
          </w:tcPr>
          <w:p>
            <w:r>
              <w:t>0.50</w:t>
            </w:r>
          </w:p>
        </w:tc>
      </w:tr>
      <w:tr>
        <w:tc>
          <w:tcPr>
            <w:tcW w:type="dxa" w:w="4320"/>
          </w:tcPr>
          <w:p>
            <w:r>
              <w:t>Overall coverage (severity-weighted)</w:t>
            </w:r>
          </w:p>
        </w:tc>
        <w:tc>
          <w:tcPr>
            <w:tcW w:type="dxa" w:w="4320"/>
          </w:tcPr>
          <w:p>
            <w:r>
              <w:rPr>
                <w:b/>
              </w:rPr>
              <w:t>0.50</w:t>
            </w:r>
          </w:p>
        </w:tc>
      </w:tr>
    </w:tbl>
    <w:p>
      <w:pPr>
        <w:pStyle w:val="Heading1"/>
      </w:pPr>
      <w:r>
        <w:t>2. Per-Domain Coverage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Domain</w:t>
            </w:r>
          </w:p>
        </w:tc>
        <w:tc>
          <w:tcPr>
            <w:tcW w:type="dxa" w:w="1728"/>
          </w:tcPr>
          <w:p>
            <w:r>
              <w:rPr>
                <w:b/>
              </w:rPr>
              <w:t>Weighted</w:t>
            </w:r>
          </w:p>
        </w:tc>
        <w:tc>
          <w:tcPr>
            <w:tcW w:type="dxa" w:w="1728"/>
          </w:tcPr>
          <w:p>
            <w:r>
              <w:rPr>
                <w:b/>
              </w:rPr>
              <w:t>Total</w:t>
            </w:r>
          </w:p>
        </w:tc>
        <w:tc>
          <w:tcPr>
            <w:tcW w:type="dxa" w:w="1728"/>
          </w:tcPr>
          <w:p>
            <w:r>
              <w:rPr>
                <w:b/>
              </w:rPr>
              <w:t>Open (H/M/L)</w:t>
            </w:r>
          </w:p>
        </w:tc>
        <w:tc>
          <w:tcPr>
            <w:tcW w:type="dxa" w:w="1728"/>
          </w:tcPr>
          <w:p>
            <w:r>
              <w:rPr>
                <w:b/>
              </w:rPr>
              <w:t>Weakest areas</w:t>
            </w:r>
          </w:p>
        </w:tc>
      </w:tr>
      <w:tr>
        <w:tc>
          <w:tcPr>
            <w:tcW w:type="dxa" w:w="1728"/>
          </w:tcPr>
          <w:p>
            <w:r>
              <w:t>internal_audit</w:t>
            </w:r>
          </w:p>
        </w:tc>
        <w:tc>
          <w:tcPr>
            <w:tcW w:type="dxa" w:w="1728"/>
          </w:tcPr>
          <w:p>
            <w:r>
              <w:t>0.50</w:t>
            </w:r>
          </w:p>
        </w:tc>
        <w:tc>
          <w:tcPr>
            <w:tcW w:type="dxa" w:w="1728"/>
          </w:tcPr>
          <w:p>
            <w:r>
              <w:t>703</w:t>
            </w:r>
          </w:p>
        </w:tc>
        <w:tc>
          <w:tcPr>
            <w:tcW w:type="dxa" w:w="1728"/>
          </w:tcPr>
          <w:p>
            <w:r>
              <w:t>123/572/8</w:t>
            </w:r>
          </w:p>
        </w:tc>
        <w:tc>
          <w:tcPr>
            <w:tcW w:type="dxa" w:w="1728"/>
          </w:tcPr>
          <w:p>
            <w:r>
              <w:t>supervisory authority verification, management system improvement compliance</w:t>
            </w:r>
          </w:p>
        </w:tc>
      </w:tr>
      <w:tr>
        <w:tc>
          <w:tcPr>
            <w:tcW w:type="dxa" w:w="1728"/>
          </w:tcPr>
          <w:p>
            <w:r>
              <w:t>reinsurance</w:t>
            </w:r>
          </w:p>
        </w:tc>
        <w:tc>
          <w:tcPr>
            <w:tcW w:type="dxa" w:w="1728"/>
          </w:tcPr>
          <w:p>
            <w:r>
              <w:t>0.50</w:t>
            </w:r>
          </w:p>
        </w:tc>
        <w:tc>
          <w:tcPr>
            <w:tcW w:type="dxa" w:w="1728"/>
          </w:tcPr>
          <w:p>
            <w:r>
              <w:t>366</w:t>
            </w:r>
          </w:p>
        </w:tc>
        <w:tc>
          <w:tcPr>
            <w:tcW w:type="dxa" w:w="1728"/>
          </w:tcPr>
          <w:p>
            <w:r>
              <w:t>86/276/4</w:t>
            </w:r>
          </w:p>
        </w:tc>
        <w:tc>
          <w:tcPr>
            <w:tcW w:type="dxa" w:w="1728"/>
          </w:tcPr>
          <w:p>
            <w:r>
              <w:t>corporate governance integration, fitness and probity of management</w:t>
            </w:r>
          </w:p>
        </w:tc>
      </w:tr>
      <w:tr>
        <w:tc>
          <w:tcPr>
            <w:tcW w:type="dxa" w:w="1728"/>
          </w:tcPr>
          <w:p>
            <w:r>
              <w:t>corporate_governance</w:t>
            </w:r>
          </w:p>
        </w:tc>
        <w:tc>
          <w:tcPr>
            <w:tcW w:type="dxa" w:w="1728"/>
          </w:tcPr>
          <w:p>
            <w:r>
              <w:t>0.50</w:t>
            </w:r>
          </w:p>
        </w:tc>
        <w:tc>
          <w:tcPr>
            <w:tcW w:type="dxa" w:w="1728"/>
          </w:tcPr>
          <w:p>
            <w:r>
              <w:t>4</w:t>
            </w:r>
          </w:p>
        </w:tc>
        <w:tc>
          <w:tcPr>
            <w:tcW w:type="dxa" w:w="1728"/>
          </w:tcPr>
          <w:p>
            <w:r>
              <w:t>1/3/0</w:t>
            </w:r>
          </w:p>
        </w:tc>
        <w:tc>
          <w:tcPr>
            <w:tcW w:type="dxa" w:w="1728"/>
          </w:tcPr>
          <w:p>
            <w:r>
              <w:t>internal control system establishment, reporting of identified weaknesses</w:t>
            </w:r>
          </w:p>
        </w:tc>
      </w:tr>
      <w:tr>
        <w:tc>
          <w:tcPr>
            <w:tcW w:type="dxa" w:w="1728"/>
          </w:tcPr>
          <w:p>
            <w:r>
              <w:t>fraud_prevention</w:t>
            </w:r>
          </w:p>
        </w:tc>
        <w:tc>
          <w:tcPr>
            <w:tcW w:type="dxa" w:w="1728"/>
          </w:tcPr>
          <w:p>
            <w:r>
              <w:t>0.50</w:t>
            </w:r>
          </w:p>
        </w:tc>
        <w:tc>
          <w:tcPr>
            <w:tcW w:type="dxa" w:w="1728"/>
          </w:tcPr>
          <w:p>
            <w:r>
              <w:t>197</w:t>
            </w:r>
          </w:p>
        </w:tc>
        <w:tc>
          <w:tcPr>
            <w:tcW w:type="dxa" w:w="1728"/>
          </w:tcPr>
          <w:p>
            <w:r>
              <w:t>35/159/3</w:t>
            </w:r>
          </w:p>
        </w:tc>
        <w:tc>
          <w:tcPr>
            <w:tcW w:type="dxa" w:w="1728"/>
          </w:tcPr>
          <w:p>
            <w:r>
              <w:t>implementation of fraud prevention measures, adoption of recommended practices</w:t>
            </w:r>
          </w:p>
        </w:tc>
      </w:tr>
      <w:tr>
        <w:tc>
          <w:tcPr>
            <w:tcW w:type="dxa" w:w="1728"/>
          </w:tcPr>
          <w:p>
            <w:r>
              <w:t>claims_management</w:t>
            </w:r>
          </w:p>
        </w:tc>
        <w:tc>
          <w:tcPr>
            <w:tcW w:type="dxa" w:w="1728"/>
          </w:tcPr>
          <w:p>
            <w:r>
              <w:t>0.50</w:t>
            </w:r>
          </w:p>
        </w:tc>
        <w:tc>
          <w:tcPr>
            <w:tcW w:type="dxa" w:w="1728"/>
          </w:tcPr>
          <w:p>
            <w:r>
              <w:t>161</w:t>
            </w:r>
          </w:p>
        </w:tc>
        <w:tc>
          <w:tcPr>
            <w:tcW w:type="dxa" w:w="1728"/>
          </w:tcPr>
          <w:p>
            <w:r>
              <w:t>15/144/2</w:t>
            </w:r>
          </w:p>
        </w:tc>
        <w:tc>
          <w:tcPr>
            <w:tcW w:type="dxa" w:w="1728"/>
          </w:tcPr>
          <w:p>
            <w:r>
              <w:t>timeliness of grievance resolution, policy definition for complaints</w:t>
            </w:r>
          </w:p>
        </w:tc>
      </w:tr>
      <w:tr>
        <w:tc>
          <w:tcPr>
            <w:tcW w:type="dxa" w:w="1728"/>
          </w:tcPr>
          <w:p>
            <w:r>
              <w:t>sales_distribution</w:t>
            </w:r>
          </w:p>
        </w:tc>
        <w:tc>
          <w:tcPr>
            <w:tcW w:type="dxa" w:w="1728"/>
          </w:tcPr>
          <w:p>
            <w:r>
              <w:t>0.50</w:t>
            </w:r>
          </w:p>
        </w:tc>
        <w:tc>
          <w:tcPr>
            <w:tcW w:type="dxa" w:w="1728"/>
          </w:tcPr>
          <w:p>
            <w:r>
              <w:t>689</w:t>
            </w:r>
          </w:p>
        </w:tc>
        <w:tc>
          <w:tcPr>
            <w:tcW w:type="dxa" w:w="1728"/>
          </w:tcPr>
          <w:p>
            <w:r>
              <w:t>282/400/7</w:t>
            </w:r>
          </w:p>
        </w:tc>
        <w:tc>
          <w:tcPr>
            <w:tcW w:type="dxa" w:w="1728"/>
          </w:tcPr>
          <w:p>
            <w:r>
              <w:t>direct purchase options for insurance products, insurance agency licensing requirements, insurance brokerage licensing requirements</w:t>
            </w:r>
          </w:p>
        </w:tc>
      </w:tr>
      <w:tr>
        <w:tc>
          <w:tcPr>
            <w:tcW w:type="dxa" w:w="1728"/>
          </w:tcPr>
          <w:p>
            <w:r>
              <w:t>information_security</w:t>
            </w:r>
          </w:p>
        </w:tc>
        <w:tc>
          <w:tcPr>
            <w:tcW w:type="dxa" w:w="1728"/>
          </w:tcPr>
          <w:p>
            <w:r>
              <w:t>0.50</w:t>
            </w:r>
          </w:p>
        </w:tc>
        <w:tc>
          <w:tcPr>
            <w:tcW w:type="dxa" w:w="1728"/>
          </w:tcPr>
          <w:p>
            <w:r>
              <w:t>573</w:t>
            </w:r>
          </w:p>
        </w:tc>
        <w:tc>
          <w:tcPr>
            <w:tcW w:type="dxa" w:w="1728"/>
          </w:tcPr>
          <w:p>
            <w:r>
              <w:t>200/368/5</w:t>
            </w:r>
          </w:p>
        </w:tc>
        <w:tc>
          <w:tcPr>
            <w:tcW w:type="dxa" w:w="1728"/>
          </w:tcPr>
          <w:p>
            <w:r>
              <w:t>Board approved Information and Cyber Security policy, systems to prevent information leakage, implementation procedures for security issues</w:t>
            </w:r>
          </w:p>
        </w:tc>
      </w:tr>
      <w:tr>
        <w:tc>
          <w:tcPr>
            <w:tcW w:type="dxa" w:w="1728"/>
          </w:tcPr>
          <w:p>
            <w:r>
              <w:t>investment_management</w:t>
            </w:r>
          </w:p>
        </w:tc>
        <w:tc>
          <w:tcPr>
            <w:tcW w:type="dxa" w:w="1728"/>
          </w:tcPr>
          <w:p>
            <w:r>
              <w:t>0.50</w:t>
            </w:r>
          </w:p>
        </w:tc>
        <w:tc>
          <w:tcPr>
            <w:tcW w:type="dxa" w:w="1728"/>
          </w:tcPr>
          <w:p>
            <w:r>
              <w:t>242</w:t>
            </w:r>
          </w:p>
        </w:tc>
        <w:tc>
          <w:tcPr>
            <w:tcW w:type="dxa" w:w="1728"/>
          </w:tcPr>
          <w:p>
            <w:r>
              <w:t>146/93/3</w:t>
            </w:r>
          </w:p>
        </w:tc>
        <w:tc>
          <w:tcPr>
            <w:tcW w:type="dxa" w:w="1728"/>
          </w:tcPr>
          <w:p>
            <w:r>
              <w:t>market value determination, asset-backed securities documentation</w:t>
            </w:r>
          </w:p>
        </w:tc>
      </w:tr>
      <w:tr>
        <w:tc>
          <w:tcPr>
            <w:tcW w:type="dxa" w:w="1728"/>
          </w:tcPr>
          <w:p>
            <w:r>
              <w:t>risk_management</w:t>
            </w:r>
          </w:p>
        </w:tc>
        <w:tc>
          <w:tcPr>
            <w:tcW w:type="dxa" w:w="1728"/>
          </w:tcPr>
          <w:p>
            <w:r>
              <w:t>0.50</w:t>
            </w:r>
          </w:p>
        </w:tc>
        <w:tc>
          <w:tcPr>
            <w:tcW w:type="dxa" w:w="1728"/>
          </w:tcPr>
          <w:p>
            <w:r>
              <w:t>130</w:t>
            </w:r>
          </w:p>
        </w:tc>
        <w:tc>
          <w:tcPr>
            <w:tcW w:type="dxa" w:w="1728"/>
          </w:tcPr>
          <w:p>
            <w:r>
              <w:t>5/125/0</w:t>
            </w:r>
          </w:p>
        </w:tc>
        <w:tc>
          <w:tcPr>
            <w:tcW w:type="dxa" w:w="1728"/>
          </w:tcPr>
          <w:p>
            <w:r>
              <w:t>documentation of risk management strategy, periodic review of risk management strategy, adaptation to operational changes</w:t>
            </w:r>
          </w:p>
        </w:tc>
      </w:tr>
    </w:tbl>
    <w:p>
      <w:pPr>
        <w:pStyle w:val="Heading1"/>
      </w:pPr>
      <w:r>
        <w:t>3. Top Remediation Items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Domain</w:t>
            </w:r>
          </w:p>
        </w:tc>
        <w:tc>
          <w:tcPr>
            <w:tcW w:type="dxa" w:w="1728"/>
          </w:tcPr>
          <w:p>
            <w:r>
              <w:rPr>
                <w:b/>
              </w:rPr>
              <w:t>Severity</w:t>
            </w:r>
          </w:p>
        </w:tc>
        <w:tc>
          <w:tcPr>
            <w:tcW w:type="dxa" w:w="1728"/>
          </w:tcPr>
          <w:p>
            <w:r>
              <w:rPr>
                <w:b/>
              </w:rPr>
              <w:t>Coverage</w:t>
            </w:r>
          </w:p>
        </w:tc>
        <w:tc>
          <w:tcPr>
            <w:tcW w:type="dxa" w:w="1728"/>
          </w:tcPr>
          <w:p>
            <w:r>
              <w:rPr>
                <w:b/>
              </w:rPr>
              <w:t>Mandatory action</w:t>
            </w:r>
          </w:p>
        </w:tc>
      </w:tr>
      <w:tr>
        <w:tc>
          <w:tcPr>
            <w:tcW w:type="dxa" w:w="1728"/>
          </w:tcPr>
          <w:p>
            <w:r>
              <w:t>1</w:t>
            </w:r>
          </w:p>
        </w:tc>
        <w:tc>
          <w:tcPr>
            <w:tcW w:type="dxa" w:w="1728"/>
          </w:tcPr>
          <w:p>
            <w:r>
              <w:t>internal_audit</w:t>
            </w:r>
          </w:p>
        </w:tc>
        <w:tc>
          <w:tcPr>
            <w:tcW w:type="dxa" w:w="1728"/>
          </w:tcPr>
          <w:p>
            <w:r/>
            <w:r>
              <w:rPr>
                <w:b/>
                <w:color w:val="C0392B"/>
              </w:rPr>
              <w:t>high</w:t>
            </w:r>
          </w:p>
        </w:tc>
        <w:tc>
          <w:tcPr>
            <w:tcW w:type="dxa" w:w="1728"/>
          </w:tcPr>
          <w:p>
            <w:r>
              <w:t>partially_covered</w:t>
            </w:r>
          </w:p>
        </w:tc>
        <w:tc>
          <w:tcPr>
            <w:tcW w:type="dxa" w:w="1728"/>
          </w:tcPr>
          <w:p>
            <w:r>
              <w:t>Ensure the control system is verified by a supervisory authority for risk assessment.</w:t>
            </w:r>
          </w:p>
        </w:tc>
      </w:tr>
      <w:tr>
        <w:tc>
          <w:tcPr>
            <w:tcW w:type="dxa" w:w="1728"/>
          </w:tcPr>
          <w:p>
            <w:r>
              <w:t>2</w:t>
            </w:r>
          </w:p>
        </w:tc>
        <w:tc>
          <w:tcPr>
            <w:tcW w:type="dxa" w:w="1728"/>
          </w:tcPr>
          <w:p>
            <w:r>
              <w:t>internal_audit</w:t>
            </w:r>
          </w:p>
        </w:tc>
        <w:tc>
          <w:tcPr>
            <w:tcW w:type="dxa" w:w="1728"/>
          </w:tcPr>
          <w:p>
            <w:r/>
            <w:r>
              <w:rPr>
                <w:b/>
                <w:color w:val="C0392B"/>
              </w:rPr>
              <w:t>high</w:t>
            </w:r>
          </w:p>
        </w:tc>
        <w:tc>
          <w:tcPr>
            <w:tcW w:type="dxa" w:w="1728"/>
          </w:tcPr>
          <w:p>
            <w:r>
              <w:t>partially_covered</w:t>
            </w:r>
          </w:p>
        </w:tc>
        <w:tc>
          <w:tcPr>
            <w:tcW w:type="dxa" w:w="1728"/>
          </w:tcPr>
          <w:p>
            <w:r>
              <w:t>Insurance and reinsurance companies must implement management systems for prudent business management.</w:t>
            </w:r>
          </w:p>
        </w:tc>
      </w:tr>
      <w:tr>
        <w:tc>
          <w:tcPr>
            <w:tcW w:type="dxa" w:w="1728"/>
          </w:tcPr>
          <w:p>
            <w:r>
              <w:t>3</w:t>
            </w:r>
          </w:p>
        </w:tc>
        <w:tc>
          <w:tcPr>
            <w:tcW w:type="dxa" w:w="1728"/>
          </w:tcPr>
          <w:p>
            <w:r>
              <w:t>internal_audit</w:t>
            </w:r>
          </w:p>
        </w:tc>
        <w:tc>
          <w:tcPr>
            <w:tcW w:type="dxa" w:w="1728"/>
          </w:tcPr>
          <w:p>
            <w:r/>
            <w:r>
              <w:rPr>
                <w:b/>
                <w:color w:val="C0392B"/>
              </w:rPr>
              <w:t>high</w:t>
            </w:r>
          </w:p>
        </w:tc>
        <w:tc>
          <w:tcPr>
            <w:tcW w:type="dxa" w:w="1728"/>
          </w:tcPr>
          <w:p>
            <w:r>
              <w:t>partially_covered</w:t>
            </w:r>
          </w:p>
        </w:tc>
        <w:tc>
          <w:tcPr>
            <w:tcW w:type="dxa" w:w="1728"/>
          </w:tcPr>
          <w:p>
            <w:r>
              <w:t>N/A</w:t>
            </w:r>
          </w:p>
        </w:tc>
      </w:tr>
      <w:tr>
        <w:tc>
          <w:tcPr>
            <w:tcW w:type="dxa" w:w="1728"/>
          </w:tcPr>
          <w:p>
            <w:r>
              <w:t>4</w:t>
            </w:r>
          </w:p>
        </w:tc>
        <w:tc>
          <w:tcPr>
            <w:tcW w:type="dxa" w:w="1728"/>
          </w:tcPr>
          <w:p>
            <w:r>
              <w:t>internal_audit</w:t>
            </w:r>
          </w:p>
        </w:tc>
        <w:tc>
          <w:tcPr>
            <w:tcW w:type="dxa" w:w="1728"/>
          </w:tcPr>
          <w:p>
            <w:r/>
            <w:r>
              <w:rPr>
                <w:b/>
                <w:color w:val="C0392B"/>
              </w:rPr>
              <w:t>high</w:t>
            </w:r>
          </w:p>
        </w:tc>
        <w:tc>
          <w:tcPr>
            <w:tcW w:type="dxa" w:w="1728"/>
          </w:tcPr>
          <w:p>
            <w:r>
              <w:t>partially_covered</w:t>
            </w:r>
          </w:p>
        </w:tc>
        <w:tc>
          <w:tcPr>
            <w:tcW w:type="dxa" w:w="1728"/>
          </w:tcPr>
          <w:p>
            <w:r>
              <w:t>Companies must establish an audit committee by December 6, 2009.</w:t>
            </w:r>
          </w:p>
        </w:tc>
      </w:tr>
      <w:tr>
        <w:tc>
          <w:tcPr>
            <w:tcW w:type="dxa" w:w="1728"/>
          </w:tcPr>
          <w:p>
            <w:r>
              <w:t>5</w:t>
            </w:r>
          </w:p>
        </w:tc>
        <w:tc>
          <w:tcPr>
            <w:tcW w:type="dxa" w:w="1728"/>
          </w:tcPr>
          <w:p>
            <w:r>
              <w:t>internal_audit</w:t>
            </w:r>
          </w:p>
        </w:tc>
        <w:tc>
          <w:tcPr>
            <w:tcW w:type="dxa" w:w="1728"/>
          </w:tcPr>
          <w:p>
            <w:r/>
            <w:r>
              <w:rPr>
                <w:b/>
                <w:color w:val="C0392B"/>
              </w:rPr>
              <w:t>high</w:t>
            </w:r>
          </w:p>
        </w:tc>
        <w:tc>
          <w:tcPr>
            <w:tcW w:type="dxa" w:w="1728"/>
          </w:tcPr>
          <w:p>
            <w:r>
              <w:t>partially_covered</w:t>
            </w:r>
          </w:p>
        </w:tc>
        <w:tc>
          <w:tcPr>
            <w:tcW w:type="dxa" w:w="1728"/>
          </w:tcPr>
          <w:p>
            <w:r>
              <w:t>Establish audit committees by the specified deadline.</w:t>
            </w:r>
          </w:p>
        </w:tc>
      </w:tr>
      <w:tr>
        <w:tc>
          <w:tcPr>
            <w:tcW w:type="dxa" w:w="1728"/>
          </w:tcPr>
          <w:p>
            <w:r>
              <w:t>6</w:t>
            </w:r>
          </w:p>
        </w:tc>
        <w:tc>
          <w:tcPr>
            <w:tcW w:type="dxa" w:w="1728"/>
          </w:tcPr>
          <w:p>
            <w:r>
              <w:t>internal_audit</w:t>
            </w:r>
          </w:p>
        </w:tc>
        <w:tc>
          <w:tcPr>
            <w:tcW w:type="dxa" w:w="1728"/>
          </w:tcPr>
          <w:p>
            <w:r/>
            <w:r>
              <w:rPr>
                <w:b/>
                <w:color w:val="C0392B"/>
              </w:rPr>
              <w:t>high</w:t>
            </w:r>
          </w:p>
        </w:tc>
        <w:tc>
          <w:tcPr>
            <w:tcW w:type="dxa" w:w="1728"/>
          </w:tcPr>
          <w:p>
            <w:r>
              <w:t>partially_covered</w:t>
            </w:r>
          </w:p>
        </w:tc>
        <w:tc>
          <w:tcPr>
            <w:tcW w:type="dxa" w:w="1728"/>
          </w:tcPr>
          <w:p>
            <w:r>
              <w:t>Audit committees must consist of at least three members, including one independent member with relevant qualifications.</w:t>
            </w:r>
          </w:p>
        </w:tc>
      </w:tr>
      <w:tr>
        <w:tc>
          <w:tcPr>
            <w:tcW w:type="dxa" w:w="1728"/>
          </w:tcPr>
          <w:p>
            <w:r>
              <w:t>7</w:t>
            </w:r>
          </w:p>
        </w:tc>
        <w:tc>
          <w:tcPr>
            <w:tcW w:type="dxa" w:w="1728"/>
          </w:tcPr>
          <w:p>
            <w:r>
              <w:t>internal_audit</w:t>
            </w:r>
          </w:p>
        </w:tc>
        <w:tc>
          <w:tcPr>
            <w:tcW w:type="dxa" w:w="1728"/>
          </w:tcPr>
          <w:p>
            <w:r/>
            <w:r>
              <w:rPr>
                <w:b/>
                <w:color w:val="C0392B"/>
              </w:rPr>
              <w:t>high</w:t>
            </w:r>
          </w:p>
        </w:tc>
        <w:tc>
          <w:tcPr>
            <w:tcW w:type="dxa" w:w="1728"/>
          </w:tcPr>
          <w:p>
            <w:r>
              <w:t>partially_covered</w:t>
            </w:r>
          </w:p>
        </w:tc>
        <w:tc>
          <w:tcPr>
            <w:tcW w:type="dxa" w:w="1728"/>
          </w:tcPr>
          <w:p>
            <w:r>
              <w:t>Businesses must establish audit committees and provide them with necessary tools and controls.</w:t>
            </w:r>
          </w:p>
        </w:tc>
      </w:tr>
      <w:tr>
        <w:tc>
          <w:tcPr>
            <w:tcW w:type="dxa" w:w="1728"/>
          </w:tcPr>
          <w:p>
            <w:r>
              <w:t>8</w:t>
            </w:r>
          </w:p>
        </w:tc>
        <w:tc>
          <w:tcPr>
            <w:tcW w:type="dxa" w:w="1728"/>
          </w:tcPr>
          <w:p>
            <w:r>
              <w:t>internal_audit</w:t>
            </w:r>
          </w:p>
        </w:tc>
        <w:tc>
          <w:tcPr>
            <w:tcW w:type="dxa" w:w="1728"/>
          </w:tcPr>
          <w:p>
            <w:r/>
            <w:r>
              <w:rPr>
                <w:b/>
                <w:color w:val="C0392B"/>
              </w:rPr>
              <w:t>high</w:t>
            </w:r>
          </w:p>
        </w:tc>
        <w:tc>
          <w:tcPr>
            <w:tcW w:type="dxa" w:w="1728"/>
          </w:tcPr>
          <w:p>
            <w:r>
              <w:t>partially_covered</w:t>
            </w:r>
          </w:p>
        </w:tc>
        <w:tc>
          <w:tcPr>
            <w:tcW w:type="dxa" w:w="1728"/>
          </w:tcPr>
          <w:p>
            <w:r>
              <w:t>Insurers must implement internal auditing and audit committees and have their accounting policies verified by expert auditors.</w:t>
            </w:r>
          </w:p>
        </w:tc>
      </w:tr>
      <w:tr>
        <w:tc>
          <w:tcPr>
            <w:tcW w:type="dxa" w:w="1728"/>
          </w:tcPr>
          <w:p>
            <w:r>
              <w:t>9</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Reinsurance undertakings must ensure their head office or ultimate decision-making organs are located in the State.</w:t>
            </w:r>
          </w:p>
        </w:tc>
      </w:tr>
      <w:tr>
        <w:tc>
          <w:tcPr>
            <w:tcW w:type="dxa" w:w="1728"/>
          </w:tcPr>
          <w:p>
            <w:r>
              <w:t>10</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Notify the Financial Regulator of any material changes to the risk appetite.</w:t>
            </w:r>
          </w:p>
        </w:tc>
      </w:tr>
      <w:tr>
        <w:tc>
          <w:tcPr>
            <w:tcW w:type="dxa" w:w="1728"/>
          </w:tcPr>
          <w:p>
            <w:r>
              <w:t>11</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The reinsurance undertaking must comply with all legal and regulatory requirements.</w:t>
            </w:r>
          </w:p>
        </w:tc>
      </w:tr>
      <w:tr>
        <w:tc>
          <w:tcPr>
            <w:tcW w:type="dxa" w:w="1728"/>
          </w:tcPr>
          <w:p>
            <w:r>
              <w:t>12</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The Board of Directors must establish and monitor independent risk management functions.</w:t>
            </w:r>
          </w:p>
        </w:tc>
      </w:tr>
      <w:tr>
        <w:tc>
          <w:tcPr>
            <w:tcW w:type="dxa" w:w="1728"/>
          </w:tcPr>
          <w:p>
            <w:r>
              <w:t>13</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The Board of Directors must establish audit and actuarial functions along with strong internal controls.</w:t>
            </w:r>
          </w:p>
        </w:tc>
      </w:tr>
      <w:tr>
        <w:tc>
          <w:tcPr>
            <w:tcW w:type="dxa" w:w="1728"/>
          </w:tcPr>
          <w:p>
            <w:r>
              <w:t>14</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Ensure compliance with all applicable laws and regulations.</w:t>
            </w:r>
          </w:p>
        </w:tc>
      </w:tr>
      <w:tr>
        <w:tc>
          <w:tcPr>
            <w:tcW w:type="dxa" w:w="1728"/>
          </w:tcPr>
          <w:p>
            <w:r>
              <w:t>15</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The organization must have an audit committee in place.</w:t>
            </w:r>
          </w:p>
        </w:tc>
      </w:tr>
      <w:tr>
        <w:tc>
          <w:tcPr>
            <w:tcW w:type="dxa" w:w="1728"/>
          </w:tcPr>
          <w:p>
            <w:r>
              <w:t>16</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Directors must refrain from participating in discussions where conflicts of interest arise.</w:t>
            </w:r>
          </w:p>
        </w:tc>
      </w:tr>
      <w:tr>
        <w:tc>
          <w:tcPr>
            <w:tcW w:type="dxa" w:w="1728"/>
          </w:tcPr>
          <w:p>
            <w:r>
              <w:t>17</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Appoint a Compliance Officer to monitor compliance and report to the Board regularly.</w:t>
            </w:r>
          </w:p>
        </w:tc>
      </w:tr>
      <w:tr>
        <w:tc>
          <w:tcPr>
            <w:tcW w:type="dxa" w:w="1728"/>
          </w:tcPr>
          <w:p>
            <w:r>
              <w:t>18</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Management must identify, assess, manage, and control business risks while holding sufficient capital for these risks.</w:t>
            </w:r>
          </w:p>
        </w:tc>
      </w:tr>
      <w:tr>
        <w:tc>
          <w:tcPr>
            <w:tcW w:type="dxa" w:w="1728"/>
          </w:tcPr>
          <w:p>
            <w:r>
              <w:t>19</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All reinsurance undertakings must directly employ a designated General Manager.</w:t>
            </w:r>
          </w:p>
        </w:tc>
      </w:tr>
      <w:tr>
        <w:tc>
          <w:tcPr>
            <w:tcW w:type="dxa" w:w="1728"/>
          </w:tcPr>
          <w:p>
            <w:r>
              <w:t>20</w:t>
            </w:r>
          </w:p>
        </w:tc>
        <w:tc>
          <w:tcPr>
            <w:tcW w:type="dxa" w:w="1728"/>
          </w:tcPr>
          <w:p>
            <w:r>
              <w:t>reinsurance</w:t>
            </w:r>
          </w:p>
        </w:tc>
        <w:tc>
          <w:tcPr>
            <w:tcW w:type="dxa" w:w="1728"/>
          </w:tcPr>
          <w:p>
            <w:r/>
            <w:r>
              <w:rPr>
                <w:b/>
                <w:color w:val="C0392B"/>
              </w:rPr>
              <w:t>high</w:t>
            </w:r>
          </w:p>
        </w:tc>
        <w:tc>
          <w:tcPr>
            <w:tcW w:type="dxa" w:w="1728"/>
          </w:tcPr>
          <w:p>
            <w:r>
              <w:t>partially_covered</w:t>
            </w:r>
          </w:p>
        </w:tc>
        <w:tc>
          <w:tcPr>
            <w:tcW w:type="dxa" w:w="1728"/>
          </w:tcPr>
          <w:p>
            <w:r>
              <w:t>The Board must establish a comprehensive risk management system.</w:t>
            </w:r>
          </w:p>
        </w:tc>
      </w:tr>
    </w:tbl>
    <w:p>
      <w:pPr>
        <w:pStyle w:val="Heading1"/>
      </w:pPr>
      <w:r>
        <w:t>4. High-Severity Gaps with Evidence</w:t>
      </w:r>
    </w:p>
    <w:p>
      <w:pPr>
        <w:pStyle w:val="Heading2"/>
      </w:pPr>
      <w:r>
        <w:t>4.1  Audit COntol for Insurance Companies.pdf</w:t>
      </w:r>
    </w:p>
    <w:p>
      <w:r>
        <w:rPr>
          <w:b/>
        </w:rPr>
        <w:t xml:space="preserve">Regulatory clause: </w:t>
      </w:r>
      <w:r>
        <w:t>a control system should be verified by a supervisory authority with regard to risks identified by the insurer that may affect adequate financial standing</w:t>
      </w:r>
    </w:p>
    <w:p>
      <w:r>
        <w:rPr>
          <w:b/>
        </w:rPr>
        <w:t xml:space="preserve">Mandatory action: </w:t>
      </w:r>
      <w:r>
        <w:t>Ensure the control system is verified by a supervisory authority for risk assessment.</w:t>
      </w:r>
    </w:p>
    <w:p>
      <w:r>
        <w:rPr>
          <w:b/>
        </w:rPr>
        <w:t xml:space="preserve">Coverage: </w:t>
      </w:r>
      <w:r>
        <w:t>partially_covered</w:t>
      </w:r>
      <w:r>
        <w:rPr>
          <w:b/>
        </w:rPr>
        <w:t xml:space="preserve">    Severity: </w:t>
      </w:r>
      <w:r>
        <w:t>high</w:t>
      </w:r>
      <w:r>
        <w:rPr>
          <w:b/>
        </w:rPr>
        <w:t xml:space="preserve">    Priority: </w:t>
      </w:r>
      <w:r>
        <w:t>high</w:t>
      </w:r>
    </w:p>
    <w:p>
      <w:r>
        <w:rPr>
          <w:b/>
        </w:rPr>
        <w:t xml:space="preserve">Gap: </w:t>
      </w:r>
      <w:r>
        <w:t>Could not run gap assessment: 'RunnableLambda' object has no attribute 'steps'</w:t>
      </w:r>
    </w:p>
    <w:p>
      <w:r>
        <w:rPr>
          <w:b/>
        </w:rPr>
        <w:t>Policy evidence considered:</w:t>
      </w:r>
    </w:p>
    <w:p>
      <w:pPr>
        <w:pStyle w:val="ListBullet"/>
      </w:pPr>
      <w:r>
        <w:t>Governance and Corporate Structure for an Insurance Company.docx () — Regular reviews of reporting processes and controls should be conducted to ensure compliance with regulatory requirements and address any issues or concerns.</w:t>
      </w:r>
    </w:p>
    <w:p>
      <w:pPr>
        <w:pStyle w:val="ListBullet"/>
      </w:pPr>
      <w:r>
        <w:t>Governance and Corporate Structure for an Insurance Company.docx () — Conduct annual audits by an IRDAI-approved auditor, ensuring the accuracy and completeness of financial disclosures. The audit should cover financial statements, internal controls, and compliance with</w:t>
      </w:r>
    </w:p>
    <w:p>
      <w:pPr>
        <w:pStyle w:val="ListBullet"/>
      </w:pPr>
      <w:r>
        <w:t>Governance and Corporate Structure for an Insurance Company.docx () — Regular financial reviews and audits should be conducted to ensure compliance with accounting standards and regulatory requirements.</w:t>
      </w:r>
    </w:p>
    <w:p>
      <w:pPr>
        <w:pStyle w:val="Heading2"/>
      </w:pPr>
      <w:r>
        <w:t>4.2  Audit COntol for Insurance Companies.pdf</w:t>
      </w:r>
    </w:p>
    <w:p>
      <w:r>
        <w:rPr>
          <w:b/>
        </w:rPr>
        <w:t xml:space="preserve">Regulatory clause: </w:t>
      </w:r>
      <w:r>
        <w:t>insurance and reinsurance companies are required to implement management systems that will assure correct and prudent management of the business in consideration of its nature, scale and complexity.</w:t>
      </w:r>
    </w:p>
    <w:p>
      <w:r>
        <w:rPr>
          <w:b/>
        </w:rPr>
        <w:t xml:space="preserve">Mandatory action: </w:t>
      </w:r>
      <w:r>
        <w:t>Insurance and reinsurance companies must implement management systems for prudent business management.</w:t>
      </w:r>
    </w:p>
    <w:p>
      <w:r>
        <w:rPr>
          <w:b/>
        </w:rPr>
        <w:t xml:space="preserve">Coverage: </w:t>
      </w:r>
      <w:r>
        <w:t>partially_covered</w:t>
      </w:r>
      <w:r>
        <w:rPr>
          <w:b/>
        </w:rPr>
        <w:t xml:space="preserve">    Severity: </w:t>
      </w:r>
      <w:r>
        <w:t>high</w:t>
      </w:r>
      <w:r>
        <w:rPr>
          <w:b/>
        </w:rPr>
        <w:t xml:space="preserve">    Priority: </w:t>
      </w:r>
      <w:r>
        <w:t>high</w:t>
      </w:r>
    </w:p>
    <w:p>
      <w:r>
        <w:rPr>
          <w:b/>
        </w:rPr>
        <w:t xml:space="preserve">Gap: </w:t>
      </w:r>
      <w:r>
        <w:t>Could not run gap assessment: 'RunnableLambda' object has no attribute 'steps'</w:t>
      </w:r>
    </w:p>
    <w:p>
      <w:r>
        <w:rPr>
          <w:b/>
        </w:rPr>
        <w:t>Policy evidence considered:</w:t>
      </w:r>
    </w:p>
    <w:p>
      <w:pPr>
        <w:pStyle w:val="ListBullet"/>
      </w:pPr>
      <w:r>
        <w:t>Underwriting and Risk Assessment.docx (Underwriting &amp; Risk Assessment Policies and Procedures Manual) — This comprehensive manual serves as a guide for ABC Reinsurance Company Limited to effectively underwrite and assess risks in reinsurance and cybersecurity insurance, ensuring compliance with regulato</w:t>
      </w:r>
    </w:p>
    <w:p>
      <w:pPr>
        <w:pStyle w:val="ListBullet"/>
      </w:pPr>
      <w:r>
        <w:t>Risk Management and Compliance for an Insurance Company.docx (Risk Management &amp; Compliance Manual) — Documentation: The reinsurance program design is documented, including the structure, coverage, and rationale for decisions made. This documentation promotes transparency and accountability, supportin</w:t>
      </w:r>
    </w:p>
    <w:p>
      <w:pPr>
        <w:pStyle w:val="ListBullet"/>
      </w:pPr>
      <w:r>
        <w:t>Specimen Reinsurance Agreement SEC.docx () — The Company and the Reinsurer represent that, to the best of their knowledge, they are in compliance with all state and federal laws and regulations applicable to the business reinsured under this Agr</w:t>
      </w:r>
    </w:p>
    <w:p>
      <w:pPr>
        <w:pStyle w:val="Heading2"/>
      </w:pPr>
      <w:r>
        <w:t>4.3  Audit COntol for Insurance Companies.pdf</w:t>
      </w:r>
    </w:p>
    <w:p>
      <w:r>
        <w:rPr>
          <w:b/>
        </w:rPr>
        <w:t xml:space="preserve">Regulatory clause: </w:t>
      </w:r>
      <w:r>
        <w:t>failure to meet these requirements is treated by the Polish Financial Supervision Authority as a major risk factor to be included in share issue prospectuses and information memoranda.</w:t>
      </w:r>
    </w:p>
    <w:p>
      <w:r>
        <w:rPr>
          <w:b/>
        </w:rPr>
        <w:t xml:space="preserve">Mandatory action: </w:t>
      </w:r>
      <w:r>
        <w:t>N/A</w:t>
      </w:r>
    </w:p>
    <w:p>
      <w:r>
        <w:rPr>
          <w:b/>
        </w:rPr>
        <w:t xml:space="preserve">Coverage: </w:t>
      </w:r>
      <w:r>
        <w:t>partially_covered</w:t>
      </w:r>
      <w:r>
        <w:rPr>
          <w:b/>
        </w:rPr>
        <w:t xml:space="preserve">    Severity: </w:t>
      </w:r>
      <w:r>
        <w:t>high</w:t>
      </w:r>
      <w:r>
        <w:rPr>
          <w:b/>
        </w:rPr>
        <w:t xml:space="preserve">    Priority: </w:t>
      </w:r>
      <w:r>
        <w:t>high</w:t>
      </w:r>
    </w:p>
    <w:p>
      <w:r>
        <w:rPr>
          <w:b/>
        </w:rPr>
        <w:t xml:space="preserve">Gap: </w:t>
      </w:r>
      <w:r>
        <w:t>Could not run gap assessment: 'RunnableLambda' object has no attribute 'steps'</w:t>
      </w:r>
    </w:p>
    <w:p>
      <w:r>
        <w:rPr>
          <w:b/>
        </w:rPr>
        <w:t>Policy evidence considered:</w:t>
      </w:r>
    </w:p>
    <w:p>
      <w:pPr>
        <w:pStyle w:val="ListBullet"/>
      </w:pPr>
      <w:r>
        <w:t>Governance and Corporate Structure for an Insurance Company.docx () — Regular updates and reports should be provided to the Board, highlighting significant risk issues and recommending mitigation strategies.</w:t>
      </w:r>
    </w:p>
    <w:p>
      <w:pPr>
        <w:pStyle w:val="ListBullet"/>
      </w:pPr>
      <w:r>
        <w:t>Governance and Corporate Structure for an Insurance Company.docx () — Regular risk reports should be provided to the Board, highlighting significant risk issues, trends, and mitigation strategies.</w:t>
      </w:r>
    </w:p>
    <w:p>
      <w:pPr>
        <w:pStyle w:val="ListBullet"/>
      </w:pPr>
      <w:r>
        <w:t>Governance and Corporate Structure for an Insurance Company.docx () — The Board should also assess the company’s capital structure and funding strategies, ensuring they support long-term growth and stability.</w:t>
      </w:r>
    </w:p>
    <w:p>
      <w:pPr>
        <w:pStyle w:val="Heading2"/>
      </w:pPr>
      <w:r>
        <w:t>4.4  Audit COntol for Insurance Companies.pdf</w:t>
      </w:r>
    </w:p>
    <w:p>
      <w:r>
        <w:rPr>
          <w:b/>
        </w:rPr>
        <w:t xml:space="preserve">Regulatory clause: </w:t>
      </w:r>
      <w:r>
        <w:t>companies were required to establish by 6 December, 2009, i.e. within six months of the effective date of the amended Expert Auditors Act.</w:t>
      </w:r>
    </w:p>
    <w:p>
      <w:r>
        <w:rPr>
          <w:b/>
        </w:rPr>
        <w:t xml:space="preserve">Mandatory action: </w:t>
      </w:r>
      <w:r>
        <w:t>Companies must establish an audit committee by December 6, 2009.</w:t>
      </w:r>
    </w:p>
    <w:p>
      <w:r>
        <w:rPr>
          <w:b/>
        </w:rPr>
        <w:t xml:space="preserve">Coverage: </w:t>
      </w:r>
      <w:r>
        <w:t>partially_covered</w:t>
      </w:r>
      <w:r>
        <w:rPr>
          <w:b/>
        </w:rPr>
        <w:t xml:space="preserve">    Severity: </w:t>
      </w:r>
      <w:r>
        <w:t>high</w:t>
      </w:r>
      <w:r>
        <w:rPr>
          <w:b/>
        </w:rPr>
        <w:t xml:space="preserve">    Priority: </w:t>
      </w:r>
      <w:r>
        <w:t>high</w:t>
      </w:r>
    </w:p>
    <w:p>
      <w:r>
        <w:rPr>
          <w:b/>
        </w:rPr>
        <w:t xml:space="preserve">Gap: </w:t>
      </w:r>
      <w:r>
        <w:t>Could not run gap assessment: 'RunnableLambda' object has no attribute 'steps'</w:t>
      </w:r>
    </w:p>
    <w:p>
      <w:r>
        <w:rPr>
          <w:b/>
        </w:rPr>
        <w:t>Policy evidence considered:</w:t>
      </w:r>
    </w:p>
    <w:p>
      <w:pPr>
        <w:pStyle w:val="ListBullet"/>
      </w:pPr>
      <w:r>
        <w:t>Governance and Corporate Structure for an Insurance Company.docx () — The Audit Committee should review and approve the company’s financial statements, ensuring accuracy and compliance with accounting standards.</w:t>
      </w:r>
    </w:p>
    <w:p>
      <w:pPr>
        <w:pStyle w:val="ListBullet"/>
      </w:pPr>
      <w:r>
        <w:t>Governance and Corporate Structure for an Insurance Company.docx () — Composed of at least three members, with a majority being Independent Directors to ensure objectivity and impartiality. The committee’s role is to oversee financial reporting, internal controls, and l</w:t>
      </w:r>
    </w:p>
    <w:p>
      <w:pPr>
        <w:pStyle w:val="ListBullet"/>
      </w:pPr>
      <w:r>
        <w:t>Governance and Corporate Structure for an Insurance Company.docx () — Conduct annual audits by an IRDAI-approved auditor, ensuring the accuracy and completeness of financial disclosures. The audit should cover financial statements, internal controls, and compliance with</w:t>
      </w:r>
    </w:p>
    <w:p>
      <w:pPr>
        <w:pStyle w:val="Heading2"/>
      </w:pPr>
      <w:r>
        <w:t>4.5  Audit COntol for Insurance Companies.pdf</w:t>
      </w:r>
    </w:p>
    <w:p>
      <w:r>
        <w:rPr>
          <w:b/>
        </w:rPr>
        <w:t xml:space="preserve">Regulatory clause: </w:t>
      </w:r>
      <w:r>
        <w:t>companies were required to establish audit committees by 6 December, 2009, i.e. within six months of the effective date of the amended Expert Auditors Act.</w:t>
      </w:r>
    </w:p>
    <w:p>
      <w:r>
        <w:rPr>
          <w:b/>
        </w:rPr>
        <w:t xml:space="preserve">Mandatory action: </w:t>
      </w:r>
      <w:r>
        <w:t>Establish audit committees by the specified deadline.</w:t>
      </w:r>
    </w:p>
    <w:p>
      <w:r>
        <w:rPr>
          <w:b/>
        </w:rPr>
        <w:t xml:space="preserve">Coverage: </w:t>
      </w:r>
      <w:r>
        <w:t>partially_covered</w:t>
      </w:r>
      <w:r>
        <w:rPr>
          <w:b/>
        </w:rPr>
        <w:t xml:space="preserve">    Severity: </w:t>
      </w:r>
      <w:r>
        <w:t>high</w:t>
      </w:r>
      <w:r>
        <w:rPr>
          <w:b/>
        </w:rPr>
        <w:t xml:space="preserve">    Priority: </w:t>
      </w:r>
      <w:r>
        <w:t>high</w:t>
      </w:r>
    </w:p>
    <w:p>
      <w:r>
        <w:rPr>
          <w:b/>
        </w:rPr>
        <w:t xml:space="preserve">Gap: </w:t>
      </w:r>
      <w:r>
        <w:t>Could not run gap assessment: 'RunnableLambda' object has no attribute 'steps'</w:t>
      </w:r>
    </w:p>
    <w:p>
      <w:r>
        <w:rPr>
          <w:b/>
        </w:rPr>
        <w:t>Policy evidence considered:</w:t>
      </w:r>
    </w:p>
    <w:p>
      <w:pPr>
        <w:pStyle w:val="ListBullet"/>
      </w:pPr>
      <w:r>
        <w:t>Governance and Corporate Structure for an Insurance Company.docx () — The Audit Committee should review and approve the company’s financial statements, ensuring accuracy and compliance with accounting standards.</w:t>
      </w:r>
    </w:p>
    <w:p>
      <w:pPr>
        <w:pStyle w:val="ListBullet"/>
      </w:pPr>
      <w:r>
        <w:t>Governance and Corporate Structure for an Insurance Company.docx () — Composed of at least three members, with a majority being Independent Directors to ensure objectivity and impartiality. The committee’s role is to oversee financial reporting, internal controls, and l</w:t>
      </w:r>
    </w:p>
    <w:p>
      <w:pPr>
        <w:pStyle w:val="ListBullet"/>
      </w:pPr>
      <w:r>
        <w:t>Governance and Corporate Structure for an Insurance Company.docx () — A strong relationship with the Board and management is essential for the Audit Committee to fulfill its oversight responsibilities effectively.</w:t>
      </w:r>
    </w:p>
    <w:p>
      <w:pPr>
        <w:pStyle w:val="Heading2"/>
      </w:pPr>
      <w:r>
        <w:t>4.6  Audit COntol for Insurance Companies.pdf</w:t>
      </w:r>
    </w:p>
    <w:p>
      <w:r>
        <w:rPr>
          <w:b/>
        </w:rPr>
        <w:t xml:space="preserve">Regulatory clause: </w:t>
      </w:r>
      <w:r>
        <w:t>Audit committees must have a minimum of three members, including at least one independent member with accounting or financial auditing qualifications.</w:t>
      </w:r>
    </w:p>
    <w:p>
      <w:r>
        <w:rPr>
          <w:b/>
        </w:rPr>
        <w:t xml:space="preserve">Mandatory action: </w:t>
      </w:r>
      <w:r>
        <w:t>Audit committees must consist of at least three members, including one independent member with relevant qualifications.</w:t>
      </w:r>
    </w:p>
    <w:p>
      <w:r>
        <w:rPr>
          <w:b/>
        </w:rPr>
        <w:t xml:space="preserve">Coverage: </w:t>
      </w:r>
      <w:r>
        <w:t>partially_covered</w:t>
      </w:r>
      <w:r>
        <w:rPr>
          <w:b/>
        </w:rPr>
        <w:t xml:space="preserve">    Severity: </w:t>
      </w:r>
      <w:r>
        <w:t>high</w:t>
      </w:r>
      <w:r>
        <w:rPr>
          <w:b/>
        </w:rPr>
        <w:t xml:space="preserve">    Priority: </w:t>
      </w:r>
      <w:r>
        <w:t>high</w:t>
      </w:r>
    </w:p>
    <w:p>
      <w:r>
        <w:rPr>
          <w:b/>
        </w:rPr>
        <w:t xml:space="preserve">Gap: </w:t>
      </w:r>
      <w:r>
        <w:t>Could not run gap assessment: 'RunnableLambda' object has no attribute 'steps'</w:t>
      </w:r>
    </w:p>
    <w:p>
      <w:r>
        <w:rPr>
          <w:b/>
        </w:rPr>
        <w:t>Policy evidence considered:</w:t>
      </w:r>
    </w:p>
    <w:p>
      <w:pPr>
        <w:pStyle w:val="ListBullet"/>
      </w:pPr>
      <w:r>
        <w:t>Governance and Corporate Structure for an Insurance Company.docx () — Composed of at least three members, with a majority being Independent Directors to ensure objectivity and impartiality. The committee’s role is to oversee financial reporting, internal controls, and l</w:t>
      </w:r>
    </w:p>
    <w:p>
      <w:pPr>
        <w:pStyle w:val="ListBullet"/>
      </w:pPr>
      <w:r>
        <w:t>Governance and Corporate Structure for an Insurance Company.docx () — The Board should comprise a diverse mix of Executive, Non-Executive, and Independent Directors, with a minimum of one-third being Independent Directors to ensure impartiality. This diverse composition</w:t>
      </w:r>
    </w:p>
    <w:p>
      <w:pPr>
        <w:pStyle w:val="ListBullet"/>
      </w:pPr>
      <w:r>
        <w:t>Governance and Corporate Structure for an Insurance Company.docx () — A strong relationship with the Board and management is essential for the Audit Committee to fulfill its oversight responsibilities effectively.</w:t>
      </w:r>
    </w:p>
    <w:p>
      <w:pPr>
        <w:pStyle w:val="Heading2"/>
      </w:pPr>
      <w:r>
        <w:t>4.7  Audit COntol for Insurance Companies.pdf</w:t>
      </w:r>
    </w:p>
    <w:p>
      <w:r>
        <w:rPr>
          <w:b/>
        </w:rPr>
        <w:t xml:space="preserve">Regulatory clause: </w:t>
      </w:r>
      <w:r>
        <w:t>businesses are obliged to set them up and supply them with relevant instruments and mechanisms of control.</w:t>
      </w:r>
    </w:p>
    <w:p>
      <w:r>
        <w:rPr>
          <w:b/>
        </w:rPr>
        <w:t xml:space="preserve">Mandatory action: </w:t>
      </w:r>
      <w:r>
        <w:t>Businesses must establish audit committees and provide them with necessary tools and controls.</w:t>
      </w:r>
    </w:p>
    <w:p>
      <w:r>
        <w:rPr>
          <w:b/>
        </w:rPr>
        <w:t xml:space="preserve">Coverage: </w:t>
      </w:r>
      <w:r>
        <w:t>partially_covered</w:t>
      </w:r>
      <w:r>
        <w:rPr>
          <w:b/>
        </w:rPr>
        <w:t xml:space="preserve">    Severity: </w:t>
      </w:r>
      <w:r>
        <w:t>high</w:t>
      </w:r>
      <w:r>
        <w:rPr>
          <w:b/>
        </w:rPr>
        <w:t xml:space="preserve">    Priority: </w:t>
      </w:r>
      <w:r>
        <w:t>high</w:t>
      </w:r>
    </w:p>
    <w:p>
      <w:r>
        <w:rPr>
          <w:b/>
        </w:rPr>
        <w:t xml:space="preserve">Gap: </w:t>
      </w:r>
      <w:r>
        <w:t>Could not run gap assessment: 'RunnableLambda' object has no attribute 'steps'</w:t>
      </w:r>
    </w:p>
    <w:p>
      <w:r>
        <w:rPr>
          <w:b/>
        </w:rPr>
        <w:t>Policy evidence considered:</w:t>
      </w:r>
    </w:p>
    <w:p>
      <w:pPr>
        <w:pStyle w:val="ListBullet"/>
      </w:pPr>
      <w:r>
        <w:t>Governance and Corporate Structure for an Insurance Company.docx () — The committee should also assess the effectiveness of internal controls and recommend improvements as needed.</w:t>
      </w:r>
    </w:p>
    <w:p>
      <w:pPr>
        <w:pStyle w:val="ListBullet"/>
      </w:pPr>
      <w:r>
        <w:t>Governance and Corporate Structure for an Insurance Company.docx () — Regular audits should be conducted to evaluate the effectiveness of internal controls and compliance processes, identifying areas for improvement and recommending corrective actions.</w:t>
      </w:r>
    </w:p>
    <w:p>
      <w:pPr>
        <w:pStyle w:val="ListBullet"/>
      </w:pPr>
      <w:r>
        <w:t>Governance and Corporate Structure for an Insurance Company.docx () — The Board should ensure that the company has a sound financial management system in place, including accurate record-keeping and timely financial reporting.</w:t>
      </w:r>
    </w:p>
    <w:p>
      <w:pPr>
        <w:pStyle w:val="Heading2"/>
      </w:pPr>
      <w:r>
        <w:t>4.8  Audit COntol for Insurance Companies.pdf</w:t>
      </w:r>
    </w:p>
    <w:p>
      <w:r>
        <w:rPr>
          <w:b/>
        </w:rPr>
        <w:t xml:space="preserve">Regulatory clause: </w:t>
      </w:r>
      <w:r>
        <w:t>insurers not only to have their accounting policies and accounts verified by expert auditors (external – financial auditing), but also to implement internal auditing and audit committees</w:t>
      </w:r>
    </w:p>
    <w:p>
      <w:r>
        <w:rPr>
          <w:b/>
        </w:rPr>
        <w:t xml:space="preserve">Mandatory action: </w:t>
      </w:r>
      <w:r>
        <w:t>Insurers must implement internal auditing and audit committees and have their accounting policies verified by expert auditors.</w:t>
      </w:r>
    </w:p>
    <w:p>
      <w:r>
        <w:rPr>
          <w:b/>
        </w:rPr>
        <w:t xml:space="preserve">Coverage: </w:t>
      </w:r>
      <w:r>
        <w:t>partially_covered</w:t>
      </w:r>
      <w:r>
        <w:rPr>
          <w:b/>
        </w:rPr>
        <w:t xml:space="preserve">    Severity: </w:t>
      </w:r>
      <w:r>
        <w:t>high</w:t>
      </w:r>
      <w:r>
        <w:rPr>
          <w:b/>
        </w:rPr>
        <w:t xml:space="preserve">    Priority: </w:t>
      </w:r>
      <w:r>
        <w:t>high</w:t>
      </w:r>
    </w:p>
    <w:p>
      <w:r>
        <w:rPr>
          <w:b/>
        </w:rPr>
        <w:t xml:space="preserve">Gap: </w:t>
      </w:r>
      <w:r>
        <w:t>Could not run gap assessment: 'RunnableLambda' object has no attribute 'steps'</w:t>
      </w:r>
    </w:p>
    <w:p>
      <w:r>
        <w:rPr>
          <w:b/>
        </w:rPr>
        <w:t>Policy evidence considered:</w:t>
      </w:r>
    </w:p>
    <w:p>
      <w:pPr>
        <w:pStyle w:val="ListBullet"/>
      </w:pPr>
      <w:r>
        <w:t>Governance and Corporate Structure for an Insurance Company.docx () — Conduct annual audits by an IRDAI-approved auditor, ensuring the accuracy and completeness of financial disclosures. The audit should cover financial statements, internal controls, and compliance with</w:t>
      </w:r>
    </w:p>
    <w:p>
      <w:pPr>
        <w:pStyle w:val="ListBullet"/>
      </w:pPr>
      <w:r>
        <w:t>Underwriting and Risk Assessment.docx (Underwriting &amp; Risk Assessment Policies and Procedures Manual) — Regular Audits: Conduct regular audits to ensure compliance with underwriting policies and procedures, identifying areas for improvement and ensuring that practices align with industry standards and r</w:t>
      </w:r>
    </w:p>
    <w:p>
      <w:pPr>
        <w:pStyle w:val="ListBullet"/>
      </w:pPr>
      <w:r>
        <w:t>Governance and Corporate Structure for an Insurance Company.docx () — The Audit Committee should review and approve the company’s financial statements, ensuring accuracy and compliance with accounting standards.</w:t>
      </w:r>
    </w:p>
    <w:p>
      <w:pPr>
        <w:pStyle w:val="Heading2"/>
      </w:pPr>
      <w:r>
        <w:t>4.9  corporate-governance-guidelines-for-reinsurance-undertakings.pdf</w:t>
      </w:r>
    </w:p>
    <w:p>
      <w:r>
        <w:rPr>
          <w:b/>
        </w:rPr>
        <w:t xml:space="preserve">Regulatory clause: </w:t>
      </w:r>
      <w:r>
        <w:t>In the case of a reinsurance undertaking whose registered office is located in the State, its head office or ultimate decision-making organs shall also be in the State.</w:t>
      </w:r>
    </w:p>
    <w:p>
      <w:r>
        <w:rPr>
          <w:b/>
        </w:rPr>
        <w:t xml:space="preserve">Mandatory action: </w:t>
      </w:r>
      <w:r>
        <w:t>Reinsurance undertakings must ensure their head office or ultimate decision-making organs are located in the State.</w:t>
      </w:r>
    </w:p>
    <w:p>
      <w:r>
        <w:rPr>
          <w:b/>
        </w:rPr>
        <w:t xml:space="preserve">Coverage: </w:t>
      </w:r>
      <w:r>
        <w:t>partially_covered</w:t>
      </w:r>
      <w:r>
        <w:rPr>
          <w:b/>
        </w:rPr>
        <w:t xml:space="preserve">    Severity: </w:t>
      </w:r>
      <w:r>
        <w:t>high</w:t>
      </w:r>
      <w:r>
        <w:rPr>
          <w:b/>
        </w:rPr>
        <w:t xml:space="preserve">    Priority: </w:t>
      </w:r>
      <w:r>
        <w:t>high</w:t>
      </w:r>
    </w:p>
    <w:p>
      <w:r>
        <w:rPr>
          <w:b/>
        </w:rPr>
        <w:t xml:space="preserve">Gap: </w:t>
      </w:r>
      <w:r>
        <w:t>Could not run gap assessment: 'RunnableLambda' object has no attribute 'steps'</w:t>
      </w:r>
    </w:p>
    <w:p>
      <w:r>
        <w:rPr>
          <w:b/>
        </w:rPr>
        <w:t>Policy evidence considered:</w:t>
      </w:r>
    </w:p>
    <w:p>
      <w:pPr>
        <w:pStyle w:val="ListBullet"/>
      </w:pPr>
      <w:r>
        <w:t>Non Proportional Reinsurance Agreement.docx () — 2. Reinsurer: XYZ Reinsurance Company Limited, a company incorporated under the laws of India, having its registered office at 45, Nariman Point, Mumbai - 400021, hereinafter referred to as the â€œRei</w:t>
      </w:r>
    </w:p>
    <w:p>
      <w:pPr>
        <w:pStyle w:val="ListBullet"/>
      </w:pPr>
      <w:r>
        <w:t>Specimen Reinsurance Agreement SEC.docx () — The Company and the Reinsurer represent that, to the best of their knowledge, they are in compliance with all state and federal laws and regulations applicable to the business reinsured under this Agr</w:t>
      </w:r>
    </w:p>
    <w:p>
      <w:pPr>
        <w:pStyle w:val="ListBullet"/>
      </w:pPr>
      <w:r>
        <w:t>Specimen Reinsurance Agreement SEC.docx () — After consideration of the pertinent papers, the Reinsurer shall promptly inform the Company of its underwriting decision. If the underwriting decision is acceptable to the Company and the Company’s p</w:t>
      </w:r>
    </w:p>
    <w:p>
      <w:pPr>
        <w:pStyle w:val="Heading2"/>
      </w:pPr>
      <w:r>
        <w:t>4.10  corporate-governance-guidelines-for-reinsurance-undertakings.pdf</w:t>
      </w:r>
    </w:p>
    <w:p>
      <w:r>
        <w:rPr>
          <w:b/>
        </w:rPr>
        <w:t xml:space="preserve">Regulatory clause: </w:t>
      </w:r>
      <w:r>
        <w:t>Any material change to the formal risk appetite of the reinsurance undertaking should be notified to the Financial Regulator.</w:t>
      </w:r>
    </w:p>
    <w:p>
      <w:r>
        <w:rPr>
          <w:b/>
        </w:rPr>
        <w:t xml:space="preserve">Mandatory action: </w:t>
      </w:r>
      <w:r>
        <w:t>Notify the Financial Regulator of any material changes to the risk appetite.</w:t>
      </w:r>
    </w:p>
    <w:p>
      <w:r>
        <w:rPr>
          <w:b/>
        </w:rPr>
        <w:t xml:space="preserve">Coverage: </w:t>
      </w:r>
      <w:r>
        <w:t>partially_covered</w:t>
      </w:r>
      <w:r>
        <w:rPr>
          <w:b/>
        </w:rPr>
        <w:t xml:space="preserve">    Severity: </w:t>
      </w:r>
      <w:r>
        <w:t>high</w:t>
      </w:r>
      <w:r>
        <w:rPr>
          <w:b/>
        </w:rPr>
        <w:t xml:space="preserve">    Priority: </w:t>
      </w:r>
      <w:r>
        <w:t>high</w:t>
      </w:r>
    </w:p>
    <w:p>
      <w:r>
        <w:rPr>
          <w:b/>
        </w:rPr>
        <w:t xml:space="preserve">Gap: </w:t>
      </w:r>
      <w:r>
        <w:t>Could not run gap assessment: 'RunnableLambda' object has no attribute 'steps'</w:t>
      </w:r>
    </w:p>
    <w:p>
      <w:r>
        <w:rPr>
          <w:b/>
        </w:rPr>
        <w:t>Policy evidence considered:</w:t>
      </w:r>
    </w:p>
    <w:p>
      <w:pPr>
        <w:pStyle w:val="ListBullet"/>
      </w:pPr>
      <w:r>
        <w:t>Specimen Reinsurance Agreement SEC.docx () — If the change affects the plan, the amount of reinsurance premiums, allowances or commissions, if applicable, under the cession, the Company shall inform the Reinsurer in the subsequent Reinsurance Re</w:t>
      </w:r>
    </w:p>
    <w:p>
      <w:pPr>
        <w:pStyle w:val="ListBullet"/>
      </w:pPr>
      <w:r>
        <w:t xml:space="preserve">Specimen Reinsurance Agreement SEC.docx () — If any special or unusual change, which is not covered above and which may materially affect the terms of the cession in question, is requested, the Reinsurer’s approval shall be obtained before such </w:t>
      </w:r>
    </w:p>
    <w:p>
      <w:pPr>
        <w:pStyle w:val="ListBullet"/>
      </w:pPr>
      <w:r>
        <w:t>Specimen Reinsurance Agreement SEC.docx () — Any re-underwriting or non-contractual increase, including any change in mortality rating shall be subject to the Reinsurer’s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