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Predictive AI Replication Laboratory #2</w:t>
      </w:r>
    </w:p>
    <w:p>
      <w:pPr>
        <w:pStyle w:val="Subtitle"/>
      </w:pPr>
      <w:r>
        <w:t xml:space="preserve">Can the Model Keep Learning? A Plasticity-Loss Proxy Replication</w:t>
      </w:r>
    </w:p>
    <w:p>
      <w:pPr>
        <w:pStyle w:val="Author"/>
      </w:pPr>
      <w:r>
        <w:t xml:space="preserve">Shail Sanjaykumar Raval</w:t>
      </w:r>
    </w:p>
    <w:p>
      <w:pPr>
        <w:pStyle w:val="Date"/>
      </w:pPr>
      <w:r>
        <w:t xml:space="preserve">2026-09-27</w:t>
      </w:r>
    </w:p>
    <w:bookmarkStart w:id="9" w:name="study"/>
    <w:p>
      <w:pPr>
        <w:pStyle w:val="Heading1"/>
      </w:pPr>
      <w:r>
        <w:t xml:space="preserve">Study</w:t>
      </w:r>
    </w:p>
    <w:p>
      <w:pPr>
        <w:pStyle w:val="FirstParagraph"/>
      </w:pPr>
      <w:r>
        <w:rPr>
          <w:b/>
          <w:bCs/>
        </w:rPr>
        <w:t xml:space="preserve">Article:</w:t>
      </w:r>
      <w:r>
        <w:t xml:space="preserve"> </w:t>
      </w:r>
      <w:r>
        <w:t xml:space="preserve">Plasticity Loss in Deep Reinforcement Learning: A Survey</w:t>
      </w:r>
    </w:p>
    <w:p>
      <w:pPr>
        <w:pStyle w:val="BodyText"/>
      </w:pPr>
      <w:r>
        <w:rPr>
          <w:b/>
          <w:bCs/>
        </w:rPr>
        <w:t xml:space="preserve">Authors:</w:t>
      </w:r>
      <w:r>
        <w:t xml:space="preserve"> </w:t>
      </w:r>
      <w:r>
        <w:t xml:space="preserve">Klein, T., Miklautz, L., Sidak, K., Plant, C., and Tschiatschek, S.</w:t>
      </w:r>
    </w:p>
    <w:p>
      <w:pPr>
        <w:pStyle w:val="BodyText"/>
      </w:pPr>
      <w:r>
        <w:rPr>
          <w:b/>
          <w:bCs/>
        </w:rPr>
        <w:t xml:space="preserve">DOI/URL:</w:t>
      </w:r>
      <w:r>
        <w:t xml:space="preserve"> </w:t>
      </w:r>
      <w:r>
        <w:t xml:space="preserve">arXiv:2411.04832, https://doi.org/10.48550/arXiv.2411.04832</w:t>
      </w:r>
    </w:p>
    <w:p>
      <w:pPr>
        <w:pStyle w:val="BodyText"/>
      </w:pPr>
      <w:r>
        <w:rPr>
          <w:b/>
          <w:bCs/>
        </w:rPr>
        <w:t xml:space="preserve">Replication Type:</w:t>
      </w:r>
      <w:r>
        <w:t xml:space="preserve"> </w:t>
      </w:r>
      <w:r>
        <w:t xml:space="preserve">Proxy</w:t>
      </w:r>
    </w:p>
    <w:p>
      <w:pPr>
        <w:pStyle w:val="BodyText"/>
      </w:pPr>
      <w:r>
        <w:rPr>
          <w:b/>
          <w:bCs/>
        </w:rPr>
        <w:t xml:space="preserve">Computational Environment:</w:t>
      </w:r>
      <w:r>
        <w:t xml:space="preserve"> </w:t>
      </w:r>
      <w:r>
        <w:t xml:space="preserve">Python</w:t>
      </w:r>
    </w:p>
    <w:p>
      <w:pPr>
        <w:pStyle w:val="BodyText"/>
      </w:pPr>
      <w:r>
        <w:rPr>
          <w:b/>
          <w:bCs/>
        </w:rPr>
        <w:t xml:space="preserve">Primary Packages:</w:t>
      </w:r>
      <w:r>
        <w:t xml:space="preserve"> </w:t>
      </w:r>
      <w:r>
        <w:t xml:space="preserve">PyTorch 2.10, NumPy, Matplotlib</w:t>
      </w:r>
    </w:p>
    <w:p>
      <w:pPr>
        <w:pStyle w:val="BodyText"/>
      </w:pPr>
      <w:r>
        <w:rPr>
          <w:b/>
          <w:bCs/>
        </w:rPr>
        <w:t xml:space="preserve">Random Seed:</w:t>
      </w:r>
      <w:r>
        <w:t xml:space="preserve"> </w:t>
      </w:r>
      <w:r>
        <w:t xml:space="preserve">735</w:t>
      </w:r>
    </w:p>
    <w:p>
      <w:pPr>
        <w:pStyle w:val="BodyText"/>
      </w:pPr>
      <w:r>
        <w:rPr>
          <w:b/>
          <w:bCs/>
        </w:rPr>
        <w:t xml:space="preserve">Repository:</w:t>
      </w:r>
      <w:r>
        <w:t xml:space="preserve"> </w:t>
      </w:r>
      <w:r>
        <w:t xml:space="preserve">https://github.com/Shail2512/anly735-lab02-Shail2512</w:t>
      </w:r>
    </w:p>
    <w:bookmarkEnd w:id="9"/>
    <w:bookmarkStart w:id="10" w:name="research-claim"/>
    <w:p>
      <w:pPr>
        <w:pStyle w:val="Heading1"/>
      </w:pPr>
      <w:r>
        <w:t xml:space="preserve">1. Research Claim</w:t>
      </w:r>
    </w:p>
    <w:p>
      <w:pPr>
        <w:pStyle w:val="FirstParagraph"/>
      </w:pPr>
      <w:r>
        <w:t xml:space="preserve">The survey by Klein et al. (2024) synthesizes a body of evidence for a single</w:t>
      </w:r>
      <w:r>
        <w:t xml:space="preserve"> </w:t>
      </w:r>
      <w:r>
        <w:t xml:space="preserve">core claim: when a neural network is trained on a stream of non-stationary</w:t>
      </w:r>
      <w:r>
        <w:t xml:space="preserve"> </w:t>
      </w:r>
      <w:r>
        <w:t xml:space="preserve">tasks, it progressively loses the ability to learn new tasks, even though the</w:t>
      </w:r>
      <w:r>
        <w:t xml:space="preserve"> </w:t>
      </w:r>
      <w:r>
        <w:t xml:space="preserve">same network learned early tasks well</w:t>
      </w:r>
      <w:r>
        <w:t xml:space="preserve"> </w:t>
      </w:r>
      <w:r>
        <w:t xml:space="preserve">(Klein et al. 2024)</w:t>
      </w:r>
      <w:r>
        <w:t xml:space="preserve">. This decline is</w:t>
      </w:r>
      <w:r>
        <w:t xml:space="preserve"> </w:t>
      </w:r>
      <w:r>
        <w:t xml:space="preserve">called plasticity loss. The survey ties it to a concrete mechanism, a growing</w:t>
      </w:r>
      <w:r>
        <w:t xml:space="preserve"> </w:t>
      </w:r>
      <w:r>
        <w:t xml:space="preserve">fraction of dormant or dead units whose activations collapse so that gradients</w:t>
      </w:r>
      <w:r>
        <w:t xml:space="preserve"> </w:t>
      </w:r>
      <w:r>
        <w:t xml:space="preserve">can no longer flow through them, and it reports that simple mitigations such as</w:t>
      </w:r>
      <w:r>
        <w:t xml:space="preserve"> </w:t>
      </w:r>
      <w:r>
        <w:t xml:space="preserve">weight regularization slow this decline. The primary evidence in the underlying</w:t>
      </w:r>
      <w:r>
        <w:t xml:space="preserve"> </w:t>
      </w:r>
      <w:r>
        <w:t xml:space="preserve">works is a learning curve that worsens across a task sequence, read together</w:t>
      </w:r>
      <w:r>
        <w:t xml:space="preserve"> </w:t>
      </w:r>
      <w:r>
        <w:t xml:space="preserve">with a unit-level dormancy diagnostic rather than from any single performance</w:t>
      </w:r>
      <w:r>
        <w:t xml:space="preserve"> </w:t>
      </w:r>
      <w:r>
        <w:t xml:space="preserve">drop. This result matters because it shows that a network can retain past skill</w:t>
      </w:r>
      <w:r>
        <w:t xml:space="preserve"> </w:t>
      </w:r>
      <w:r>
        <w:t xml:space="preserve">while quietly losing the capacity to acquire new skill, which is the exact</w:t>
      </w:r>
      <w:r>
        <w:t xml:space="preserve"> </w:t>
      </w:r>
      <w:r>
        <w:t xml:space="preserve">failure a continual learner must avoid.</w:t>
      </w:r>
    </w:p>
    <w:bookmarkEnd w:id="10"/>
    <w:bookmarkStart w:id="11" w:name="replication-strategy"/>
    <w:p>
      <w:pPr>
        <w:pStyle w:val="Heading1"/>
      </w:pPr>
      <w:r>
        <w:t xml:space="preserve">2. Replication Strategy</w:t>
      </w:r>
    </w:p>
    <w:p>
      <w:pPr>
        <w:pStyle w:val="FirstParagraph"/>
      </w:pPr>
      <w:r>
        <w:t xml:space="preserve">This is a proxy replication. The survey is a review, so it provides no single</w:t>
      </w:r>
      <w:r>
        <w:t xml:space="preserve"> </w:t>
      </w:r>
      <w:r>
        <w:t xml:space="preserve">runnable experiment, dataset, or code, and its underlying studies use large</w:t>
      </w:r>
      <w:r>
        <w:t xml:space="preserve"> </w:t>
      </w:r>
      <w:r>
        <w:t xml:space="preserve">reinforcement-learning and image benchmarks that are not feasible to rerun in a</w:t>
      </w:r>
      <w:r>
        <w:t xml:space="preserve"> </w:t>
      </w:r>
      <w:r>
        <w:t xml:space="preserve">short laboratory. I therefore reproduce the phenomenon and its mechanism on a</w:t>
      </w:r>
      <w:r>
        <w:t xml:space="preserve"> </w:t>
      </w:r>
      <w:r>
        <w:t xml:space="preserve">comparable but smaller synthetic setup rather than reproducing any specific</w:t>
      </w:r>
      <w:r>
        <w:t xml:space="preserve"> </w:t>
      </w:r>
      <w:r>
        <w:t xml:space="preserve">number. I reproduce two things: first, that a plain stochastic-gradient learner</w:t>
      </w:r>
      <w:r>
        <w:t xml:space="preserve"> </w:t>
      </w:r>
      <w:r>
        <w:t xml:space="preserve">loses plasticity across a non-stationary task stream and accumulates dormant</w:t>
      </w:r>
      <w:r>
        <w:t xml:space="preserve"> </w:t>
      </w:r>
      <w:r>
        <w:t xml:space="preserve">units, and second, that a weight-decay mitigation preserves plasticity by</w:t>
      </w:r>
      <w:r>
        <w:t xml:space="preserve"> </w:t>
      </w:r>
      <w:r>
        <w:t xml:space="preserve">keeping units alive. What must differ from the original is the scale and the</w:t>
      </w:r>
      <w:r>
        <w:t xml:space="preserve"> </w:t>
      </w:r>
      <w:r>
        <w:t xml:space="preserve">domain: I use a small feed-forward network on a synthetic changing-target</w:t>
      </w:r>
      <w:r>
        <w:t xml:space="preserve"> </w:t>
      </w:r>
      <w:r>
        <w:t xml:space="preserve">stream instead of deep reinforcement learning. Because a proxy replication tests</w:t>
      </w:r>
      <w:r>
        <w:t xml:space="preserve"> </w:t>
      </w:r>
      <w:r>
        <w:t xml:space="preserve">whether the analytical pattern holds, the meaningful question is directional,</w:t>
      </w:r>
      <w:r>
        <w:t xml:space="preserve"> </w:t>
      </w:r>
      <w:r>
        <w:t xml:space="preserve">does the mechanism appear and does the mitigation help, not whether the numbers</w:t>
      </w:r>
      <w:r>
        <w:t xml:space="preserve"> </w:t>
      </w:r>
      <w:r>
        <w:t xml:space="preserve">match.</w:t>
      </w:r>
    </w:p>
    <w:bookmarkEnd w:id="11"/>
    <w:bookmarkStart w:id="12" w:name="data"/>
    <w:p>
      <w:pPr>
        <w:pStyle w:val="Heading1"/>
      </w:pPr>
      <w:r>
        <w:t xml:space="preserve">3. Data</w:t>
      </w:r>
    </w:p>
    <w:p>
      <w:pPr>
        <w:pStyle w:val="FirstParagraph"/>
      </w:pPr>
      <w:r>
        <w:t xml:space="preserve">The data are generated in code, so there is no external or restricted dataset to</w:t>
      </w:r>
      <w:r>
        <w:t xml:space="preserve"> </w:t>
      </w:r>
      <w:r>
        <w:t xml:space="preserve">distribute. The unit of analysis is a training task within a stream of 50</w:t>
      </w:r>
      <w:r>
        <w:t xml:space="preserve"> </w:t>
      </w:r>
      <w:r>
        <w:t xml:space="preserve">tasks. A fixed pool of 400 input vectors of dimension 20 is drawn once from a</w:t>
      </w:r>
      <w:r>
        <w:t xml:space="preserve"> </w:t>
      </w:r>
      <w:r>
        <w:t xml:space="preserve">standard normal distribution and reused for every task. Each task draws a fresh</w:t>
      </w:r>
      <w:r>
        <w:t xml:space="preserve"> </w:t>
      </w:r>
      <w:r>
        <w:t xml:space="preserve">random two-layer nonlinear teacher network with 128 hidden units and uses it to</w:t>
      </w:r>
      <w:r>
        <w:t xml:space="preserve"> </w:t>
      </w:r>
      <w:r>
        <w:t xml:space="preserve">relabel those same inputs into a balanced binary target by thresholding at the</w:t>
      </w:r>
      <w:r>
        <w:t xml:space="preserve"> </w:t>
      </w:r>
      <w:r>
        <w:t xml:space="preserve">median. Drawing a new teacher each task is what makes the stream</w:t>
      </w:r>
      <w:r>
        <w:t xml:space="preserve"> </w:t>
      </w:r>
      <w:r>
        <w:t xml:space="preserve">non-stationary: the mapping the learner must fit keeps changing, so the network</w:t>
      </w:r>
      <w:r>
        <w:t xml:space="preserve"> </w:t>
      </w:r>
      <w:r>
        <w:t xml:space="preserve">must overwrite its previous solution repeatedly. The teacher is deliberately</w:t>
      </w:r>
      <w:r>
        <w:t xml:space="preserve"> </w:t>
      </w:r>
      <w:r>
        <w:t xml:space="preserve">wider than the student network, so the target cannot be fit perfectly within the</w:t>
      </w:r>
      <w:r>
        <w:t xml:space="preserve"> </w:t>
      </w:r>
      <w:r>
        <w:t xml:space="preserve">per-task budget. This leaves headroom in which accumulated damage can show up as</w:t>
      </w:r>
      <w:r>
        <w:t xml:space="preserve"> </w:t>
      </w:r>
      <w:r>
        <w:t xml:space="preserve">a rising loss floor and a growing dormant-unit count. The same seed fixes the</w:t>
      </w:r>
      <w:r>
        <w:t xml:space="preserve"> </w:t>
      </w:r>
      <w:r>
        <w:t xml:space="preserve">input pool and the sequence of teachers, so both learners see an identical</w:t>
      </w:r>
      <w:r>
        <w:t xml:space="preserve"> </w:t>
      </w:r>
      <w:r>
        <w:t xml:space="preserve">stream.</w:t>
      </w:r>
    </w:p>
    <w:bookmarkEnd w:id="12"/>
    <w:bookmarkStart w:id="13" w:name="method"/>
    <w:p>
      <w:pPr>
        <w:pStyle w:val="Heading1"/>
      </w:pPr>
      <w:r>
        <w:t xml:space="preserve">4. Method</w:t>
      </w:r>
    </w:p>
    <w:p>
      <w:pPr>
        <w:pStyle w:val="FirstParagraph"/>
      </w:pPr>
      <w:r>
        <w:t xml:space="preserve">The learner is a two-hidden-layer ReLU network with 32 units per layer,</w:t>
      </w:r>
      <w:r>
        <w:t xml:space="preserve"> </w:t>
      </w:r>
      <w:r>
        <w:t xml:space="preserve">implemented in PyTorch. Two conditions are trained on the identical task stream</w:t>
      </w:r>
      <w:r>
        <w:t xml:space="preserve"> </w:t>
      </w:r>
      <w:r>
        <w:t xml:space="preserve">from the identical initialization (seed 735): a plain SGD learner with no</w:t>
      </w:r>
      <w:r>
        <w:t xml:space="preserve"> </w:t>
      </w:r>
      <w:r>
        <w:t xml:space="preserve">regularization, and a mitigation learner that is plain SGD with weight decay</w:t>
      </w:r>
      <w:r>
        <w:t xml:space="preserve"> </w:t>
      </w:r>
      <w:r>
        <w:t xml:space="preserve">(L2) of 0.03. Both use learning rate 0.4 and a tight budget of 40 gradient steps</w:t>
      </w:r>
      <w:r>
        <w:t xml:space="preserve"> </w:t>
      </w:r>
      <w:r>
        <w:t xml:space="preserve">per task, with binary cross-entropy loss. A high learning rate and a tight</w:t>
      </w:r>
      <w:r>
        <w:t xml:space="preserve"> </w:t>
      </w:r>
      <w:r>
        <w:t xml:space="preserve">budget are chosen deliberately, since the survey attributes plasticity loss to</w:t>
      </w:r>
      <w:r>
        <w:t xml:space="preserve"> </w:t>
      </w:r>
      <w:r>
        <w:t xml:space="preserve">aggressive updates that push ReLU pre-activations negative and leave units dead.</w:t>
      </w:r>
      <w:r>
        <w:t xml:space="preserve"> </w:t>
      </w:r>
      <w:r>
        <w:t xml:space="preserve">After the budget on each task I record three per-task quantities: the new-task</w:t>
      </w:r>
      <w:r>
        <w:t xml:space="preserve"> </w:t>
      </w:r>
      <w:r>
        <w:t xml:space="preserve">accuracy reached, the best training loss reached (a non-saturating plasticity</w:t>
      </w:r>
      <w:r>
        <w:t xml:space="preserve"> </w:t>
      </w:r>
      <w:r>
        <w:t xml:space="preserve">readout), and the dormant-unit fraction. A hidden unit is counted dormant if it</w:t>
      </w:r>
      <w:r>
        <w:t xml:space="preserve"> </w:t>
      </w:r>
      <w:r>
        <w:t xml:space="preserve">is inactive on at least 99 percent of a fixed 256-sample probe batch, which</w:t>
      </w:r>
      <w:r>
        <w:t xml:space="preserve"> </w:t>
      </w:r>
      <w:r>
        <w:t xml:space="preserve">operationalizes the survey’s dead-unit mechanism. Plasticity is diagnosed from</w:t>
      </w:r>
      <w:r>
        <w:t xml:space="preserve"> </w:t>
      </w:r>
      <w:r>
        <w:t xml:space="preserve">how these quantities change across the stream, not from any one task, following</w:t>
      </w:r>
      <w:r>
        <w:t xml:space="preserve"> </w:t>
      </w:r>
      <w:r>
        <w:t xml:space="preserve">the assignment’s instruction to diagnose from subsequent learning behavior.</w:t>
      </w:r>
      <w:r>
        <w:t xml:space="preserve"> </w:t>
      </w:r>
      <w:r>
        <w:t xml:space="preserve">Early behavior is summarized as the mean over the first five tasks and late</w:t>
      </w:r>
      <w:r>
        <w:t xml:space="preserve"> </w:t>
      </w:r>
      <w:r>
        <w:t xml:space="preserve">behavior as the mean over the last five.</w:t>
      </w:r>
    </w:p>
    <w:bookmarkEnd w:id="13"/>
    <w:bookmarkStart w:id="20" w:name="results"/>
    <w:p>
      <w:pPr>
        <w:pStyle w:val="Heading1"/>
      </w:pPr>
      <w:r>
        <w:t xml:space="preserve">5. Results</w:t>
      </w:r>
    </w:p>
    <w:p>
      <w:pPr>
        <w:pStyle w:val="FirstParagraph"/>
      </w:pPr>
      <w:r>
        <w:t xml:space="preserve">The plain SGD learner shows the predicted plasticity loss through its mechanism.</w:t>
      </w:r>
      <w:r>
        <w:t xml:space="preserve"> </w:t>
      </w:r>
      <w:r>
        <w:t xml:space="preserve">Its dormant-unit fraction rises from 0.3 percent over the first five tasks to</w:t>
      </w:r>
      <w:r>
        <w:t xml:space="preserve"> </w:t>
      </w:r>
      <w:r>
        <w:t xml:space="preserve">13.4 percent over the last five, a rise of about 13 percentage points, and the</w:t>
      </w:r>
      <w:r>
        <w:t xml:space="preserve"> </w:t>
      </w:r>
      <w:r>
        <w:t xml:space="preserve">figure shows this concentrated in the last third of the stream where it reaches</w:t>
      </w:r>
      <w:r>
        <w:t xml:space="preserve"> </w:t>
      </w:r>
      <w:r>
        <w:t xml:space="preserve">roughly 17 percent. Its best reachable loss also drifts upward, from 0.208 to</w:t>
      </w:r>
      <w:r>
        <w:t xml:space="preserve"> </w:t>
      </w:r>
      <w:r>
        <w:t xml:space="preserve">0.234, and its new-task accuracy dips slightly from 0.929 to 0.913. The</w:t>
      </w:r>
      <w:r>
        <w:t xml:space="preserve"> </w:t>
      </w:r>
      <w:r>
        <w:t xml:space="preserve">weight-decay learner behaves as the mitigation the survey describes: its</w:t>
      </w:r>
      <w:r>
        <w:t xml:space="preserve"> </w:t>
      </w:r>
      <w:r>
        <w:t xml:space="preserve">dormant-unit fraction stays essentially flat, moving from 5.0 percent to 4.7</w:t>
      </w:r>
      <w:r>
        <w:t xml:space="preserve"> </w:t>
      </w:r>
      <w:r>
        <w:t xml:space="preserve">percent across the stream, so it does not accumulate dead units. The key</w:t>
      </w:r>
      <w:r>
        <w:t xml:space="preserve"> </w:t>
      </w:r>
      <w:r>
        <w:t xml:space="preserve">interpretation is that the strongest and cleanest signal is the dormant-unit</w:t>
      </w:r>
      <w:r>
        <w:t xml:space="preserve"> </w:t>
      </w:r>
      <w:r>
        <w:t xml:space="preserve">mechanism, not raw accuracy. Accuracy barely moves because binary accuracy</w:t>
      </w:r>
      <w:r>
        <w:t xml:space="preserve"> </w:t>
      </w:r>
      <w:r>
        <w:t xml:space="preserve">saturates on this task, which is exactly why the survey and its sources read</w:t>
      </w:r>
      <w:r>
        <w:t xml:space="preserve"> </w:t>
      </w:r>
      <w:r>
        <w:t xml:space="preserve">plasticity from a mechanism-level diagnostic rather than from a single accuracy</w:t>
      </w:r>
      <w:r>
        <w:t xml:space="preserve"> </w:t>
      </w:r>
      <w:r>
        <w:t xml:space="preserve">number.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Best training loss reached on each new task across the non-stationary stream. Plain SGD keeps a lower loss floor but with rising dead units; weight decay trades a higher loss floor for a stable unit population." title="" id="15" name="Picture"/>
            <a:graphic>
              <a:graphicData uri="http://schemas.openxmlformats.org/drawingml/2006/picture">
                <pic:pic>
                  <pic:nvPicPr>
                    <pic:cNvPr descr="figures/learning_curv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Best training loss reached on each new task across the non-stationary stream. Plain SGD keeps a lower loss floor but with rising dead units; weight decay trades a higher loss floor for a stable unit population.</w:t>
      </w:r>
    </w:p>
    <w:p>
      <w:pPr>
        <w:pStyle w:val="CaptionedFigure"/>
      </w:pPr>
      <w:r>
        <w:drawing>
          <wp:inline>
            <wp:extent cx="5334000" cy="3200399"/>
            <wp:effectExtent b="0" l="0" r="0" t="0"/>
            <wp:docPr descr="Dormant ReLU-unit fraction across the stream. Plain SGD accumulates dead units sharply in the last third; weight decay holds the dormant fraction flat." title="" id="18" name="Picture"/>
            <a:graphic>
              <a:graphicData uri="http://schemas.openxmlformats.org/drawingml/2006/picture">
                <pic:pic>
                  <pic:nvPicPr>
                    <pic:cNvPr descr="figures/dormant_curv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Dormant ReLU-unit fraction across the stream. Plain SGD accumulates dead units sharply in the last third; weight decay holds the dormant fraction flat.</w:t>
      </w:r>
    </w:p>
    <w:bookmarkEnd w:id="20"/>
    <w:bookmarkStart w:id="21" w:name="compare"/>
    <w:p>
      <w:pPr>
        <w:pStyle w:val="Heading1"/>
      </w:pPr>
      <w:r>
        <w:t xml:space="preserve">6. Compare</w:t>
      </w:r>
    </w:p>
    <w:p>
      <w:pPr>
        <w:pStyle w:val="FirstParagraph"/>
      </w:pPr>
      <w:r>
        <w:t xml:space="preserve">Because this is a proxy replication of a survey, the comparison is directional</w:t>
      </w:r>
      <w:r>
        <w:t xml:space="preserve"> </w:t>
      </w:r>
      <w:r>
        <w:t xml:space="preserve">rather than numerical. The survey claims two things, and I compare against both.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 claim (survey)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Plasticity loss under non-stationarity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Dead units grow, learning degrades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Dormant units +13.1 pts, loss floor +0.026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Regularization mitigates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Preserves plasticity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Dormant units flat (5.0% to 4.7%)</w:t>
            </w:r>
          </w:p>
        </w:tc>
      </w:tr>
    </w:tbl>
    <w:p>
      <w:pPr>
        <w:pStyle w:val="BodyText"/>
      </w:pPr>
      <w:r>
        <w:t xml:space="preserve">The direction of the core finding is reproduced. The plain learner accumulates</w:t>
      </w:r>
      <w:r>
        <w:t xml:space="preserve"> </w:t>
      </w:r>
      <w:r>
        <w:t xml:space="preserve">dormant units across the stream and its loss floor drifts upward, which matches</w:t>
      </w:r>
      <w:r>
        <w:t xml:space="preserve"> </w:t>
      </w:r>
      <w:r>
        <w:t xml:space="preserve">the survey’s mechanism-level account of plasticity loss. The mitigation claim is</w:t>
      </w:r>
      <w:r>
        <w:t xml:space="preserve"> </w:t>
      </w:r>
      <w:r>
        <w:t xml:space="preserve">also reproduced in the sense that matters: weight decay keeps the unit</w:t>
      </w:r>
      <w:r>
        <w:t xml:space="preserve"> </w:t>
      </w:r>
      <w:r>
        <w:t xml:space="preserve">population alive and stops the dormancy growth. One honest difference deserves</w:t>
      </w:r>
      <w:r>
        <w:t xml:space="preserve"> </w:t>
      </w:r>
      <w:r>
        <w:t xml:space="preserve">attention. Weight decay reaches a higher (worse) best loss than plain SGD</w:t>
      </w:r>
      <w:r>
        <w:t xml:space="preserve"> </w:t>
      </w:r>
      <w:r>
        <w:t xml:space="preserve">throughout the stream, so the mitigation does not produce lower loss; it</w:t>
      </w:r>
      <w:r>
        <w:t xml:space="preserve"> </w:t>
      </w:r>
      <w:r>
        <w:t xml:space="preserve">produces a healthier network. That is consistent with the survey, which frames</w:t>
      </w:r>
      <w:r>
        <w:t xml:space="preserve"> </w:t>
      </w:r>
      <w:r>
        <w:t xml:space="preserve">mitigations as preserving the capacity to learn rather than as improving fit on</w:t>
      </w:r>
      <w:r>
        <w:t xml:space="preserve"> </w:t>
      </w:r>
      <w:r>
        <w:t xml:space="preserve">any one task. The accuracy signal is weaker than the mechanism signal, which I</w:t>
      </w:r>
      <w:r>
        <w:t xml:space="preserve"> </w:t>
      </w:r>
      <w:r>
        <w:t xml:space="preserve">attribute to accuracy saturation on a binary target rather than to an absence of</w:t>
      </w:r>
      <w:r>
        <w:t xml:space="preserve"> </w:t>
      </w:r>
      <w:r>
        <w:t xml:space="preserve">the effect.</w:t>
      </w:r>
    </w:p>
    <w:bookmarkEnd w:id="21"/>
    <w:bookmarkStart w:id="22" w:name="reproducibility-check"/>
    <w:p>
      <w:pPr>
        <w:pStyle w:val="Heading1"/>
      </w:pPr>
      <w:r>
        <w:t xml:space="preserve">7. Reproducibility Check</w:t>
      </w:r>
    </w:p>
    <w:p>
      <w:pPr>
        <w:pStyle w:val="Compact"/>
        <w:numPr>
          <w:ilvl w:val="0"/>
          <w:numId w:val="1001"/>
        </w:numPr>
      </w:pPr>
      <w:r>
        <w:t xml:space="preserve">Data source documented</w:t>
      </w:r>
    </w:p>
    <w:p>
      <w:pPr>
        <w:pStyle w:val="Compact"/>
        <w:numPr>
          <w:ilvl w:val="0"/>
          <w:numId w:val="1002"/>
        </w:numPr>
      </w:pPr>
      <w:r>
        <w:t xml:space="preserve">Code runs from beginning to end</w:t>
      </w:r>
    </w:p>
    <w:p>
      <w:pPr>
        <w:pStyle w:val="Compact"/>
        <w:numPr>
          <w:ilvl w:val="0"/>
          <w:numId w:val="1003"/>
        </w:numPr>
      </w:pPr>
      <w:r>
        <w:t xml:space="preserve">Computational environment identified</w:t>
      </w:r>
    </w:p>
    <w:p>
      <w:pPr>
        <w:pStyle w:val="Compact"/>
        <w:numPr>
          <w:ilvl w:val="0"/>
          <w:numId w:val="1004"/>
        </w:numPr>
      </w:pPr>
      <w:r>
        <w:t xml:space="preserve">Software/packages documented</w:t>
      </w:r>
    </w:p>
    <w:p>
      <w:pPr>
        <w:pStyle w:val="Compact"/>
        <w:numPr>
          <w:ilvl w:val="0"/>
          <w:numId w:val="1005"/>
        </w:numPr>
      </w:pPr>
      <w:r>
        <w:t xml:space="preserve">Package versions documented when relevant</w:t>
      </w:r>
    </w:p>
    <w:p>
      <w:pPr>
        <w:pStyle w:val="Compact"/>
        <w:numPr>
          <w:ilvl w:val="0"/>
          <w:numId w:val="1006"/>
        </w:numPr>
      </w:pPr>
      <w:r>
        <w:t xml:space="preserve">Random seed documented when applicable</w:t>
      </w:r>
    </w:p>
    <w:p>
      <w:pPr>
        <w:pStyle w:val="Compact"/>
        <w:numPr>
          <w:ilvl w:val="0"/>
          <w:numId w:val="1007"/>
        </w:numPr>
      </w:pPr>
      <w:r>
        <w:t xml:space="preserve">Key preprocessing steps documented</w:t>
      </w:r>
    </w:p>
    <w:p>
      <w:pPr>
        <w:pStyle w:val="Compact"/>
        <w:numPr>
          <w:ilvl w:val="0"/>
          <w:numId w:val="1008"/>
        </w:numPr>
      </w:pPr>
      <w:r>
        <w:t xml:space="preserve">Evaluation procedure documented</w:t>
      </w:r>
    </w:p>
    <w:p>
      <w:pPr>
        <w:pStyle w:val="Compact"/>
        <w:numPr>
          <w:ilvl w:val="0"/>
          <w:numId w:val="1009"/>
        </w:numPr>
      </w:pPr>
      <w:r>
        <w:t xml:space="preserve">Repository README provides reproduction instructions</w:t>
      </w:r>
    </w:p>
    <w:p>
      <w:pPr>
        <w:pStyle w:val="FirstParagraph"/>
      </w:pPr>
      <w:r>
        <w:rPr>
          <w:b/>
          <w:bCs/>
        </w:rPr>
        <w:t xml:space="preserve">What was the greatest reproducibility challenge you encountered?</w:t>
      </w:r>
    </w:p>
    <w:p>
      <w:pPr>
        <w:pStyle w:val="BodyText"/>
      </w:pPr>
      <w:r>
        <w:t xml:space="preserve">The hardest part was making the phenomenon appear at all. My first two</w:t>
      </w:r>
      <w:r>
        <w:t xml:space="preserve"> </w:t>
      </w:r>
      <w:r>
        <w:t xml:space="preserve">configurations did not reproduce plasticity loss: with a single shared teacher</w:t>
      </w:r>
      <w:r>
        <w:t xml:space="preserve"> </w:t>
      </w:r>
      <w:r>
        <w:t xml:space="preserve">and a generous learning budget the network solved every task perfectly, so</w:t>
      </w:r>
      <w:r>
        <w:t xml:space="preserve"> </w:t>
      </w:r>
      <w:r>
        <w:t xml:space="preserve">accuracy rose across the stream and no units died. The effect only emerged once</w:t>
      </w:r>
      <w:r>
        <w:t xml:space="preserve"> </w:t>
      </w:r>
      <w:r>
        <w:t xml:space="preserve">the task was genuinely non-stationary (a fresh teacher per task), the teacher</w:t>
      </w:r>
      <w:r>
        <w:t xml:space="preserve"> </w:t>
      </w:r>
      <w:r>
        <w:t xml:space="preserve">was wider than the student, the budget was tight, and the learning rate was</w:t>
      </w:r>
      <w:r>
        <w:t xml:space="preserve"> </w:t>
      </w:r>
      <w:r>
        <w:t xml:space="preserve">high. This mirrors a real reproducibility lesson from the literature: plasticity</w:t>
      </w:r>
      <w:r>
        <w:t xml:space="preserve"> </w:t>
      </w:r>
      <w:r>
        <w:t xml:space="preserve">loss depends on the training regime, and a setup with too much capacity or too</w:t>
      </w:r>
      <w:r>
        <w:t xml:space="preserve"> </w:t>
      </w:r>
      <w:r>
        <w:t xml:space="preserve">easy a task will silently fail to show it.</w:t>
      </w:r>
    </w:p>
    <w:bookmarkEnd w:id="22"/>
    <w:bookmarkStart w:id="23" w:name="extend"/>
    <w:p>
      <w:pPr>
        <w:pStyle w:val="Heading1"/>
      </w:pPr>
      <w:r>
        <w:t xml:space="preserve">8. Extend</w:t>
      </w:r>
    </w:p>
    <w:p>
      <w:pPr>
        <w:pStyle w:val="FirstParagraph"/>
      </w:pPr>
      <w:r>
        <w:t xml:space="preserve">The clearest next step is to add a mechanism-targeted mitigation and compare it</w:t>
      </w:r>
      <w:r>
        <w:t xml:space="preserve"> </w:t>
      </w:r>
      <w:r>
        <w:t xml:space="preserve">against weight decay under the same stream. Weight decay here preserved units</w:t>
      </w:r>
      <w:r>
        <w:t xml:space="preserve"> </w:t>
      </w:r>
      <w:r>
        <w:t xml:space="preserve">but at the cost of a higher loss floor, so a natural question is whether a</w:t>
      </w:r>
      <w:r>
        <w:t xml:space="preserve"> </w:t>
      </w:r>
      <w:r>
        <w:t xml:space="preserve">mitigation that directly targets dead units, such as periodically resetting or</w:t>
      </w:r>
      <w:r>
        <w:t xml:space="preserve"> </w:t>
      </w:r>
      <w:r>
        <w:t xml:space="preserve">reinitializing dormant units (the</w:t>
      </w:r>
      <w:r>
        <w:t xml:space="preserve"> </w:t>
      </w:r>
      <w:r>
        <w:t xml:space="preserve">“resetting”</w:t>
      </w:r>
      <w:r>
        <w:t xml:space="preserve"> </w:t>
      </w:r>
      <w:r>
        <w:t xml:space="preserve">family the survey highlights), can</w:t>
      </w:r>
      <w:r>
        <w:t xml:space="preserve"> </w:t>
      </w:r>
      <w:r>
        <w:t xml:space="preserve">preserve plasticity while also reaching a lower loss floor than plain SGD. This</w:t>
      </w:r>
      <w:r>
        <w:t xml:space="preserve"> </w:t>
      </w:r>
      <w:r>
        <w:t xml:space="preserve">would add knowledge rather than complexity because it separates two things the</w:t>
      </w:r>
      <w:r>
        <w:t xml:space="preserve"> </w:t>
      </w:r>
      <w:r>
        <w:t xml:space="preserve">current experiment conflates: preserving the unit population and preserving fit</w:t>
      </w:r>
      <w:r>
        <w:t xml:space="preserve"> </w:t>
      </w:r>
      <w:r>
        <w:t xml:space="preserve">quality. If a reset-based method matches plain SGD’s loss floor while holding</w:t>
      </w:r>
      <w:r>
        <w:t xml:space="preserve"> </w:t>
      </w:r>
      <w:r>
        <w:t xml:space="preserve">dormant units low, that would be direct evidence that dead units are the causal</w:t>
      </w:r>
      <w:r>
        <w:t xml:space="preserve"> </w:t>
      </w:r>
      <w:r>
        <w:t xml:space="preserve">bottleneck rather than a correlate, which is exactly the mechanistic claim the</w:t>
      </w:r>
      <w:r>
        <w:t xml:space="preserve"> </w:t>
      </w:r>
      <w:r>
        <w:t xml:space="preserve">survey organizes its evidence around.</w:t>
      </w:r>
    </w:p>
    <w:bookmarkEnd w:id="23"/>
    <w:bookmarkStart w:id="24" w:name="replication-verdict"/>
    <w:p>
      <w:pPr>
        <w:pStyle w:val="Heading1"/>
      </w:pPr>
      <w:r>
        <w:t xml:space="preserve">Replication Verdict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Reproduced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Partially Reproduced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Not Reproduced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Directly Comparable</w:t>
      </w:r>
    </w:p>
    <w:p>
      <w:pPr>
        <w:pStyle w:val="FirstParagraph"/>
      </w:pPr>
      <w:r>
        <w:t xml:space="preserve">The core mechanism of plasticity loss reproduced clearly: the plain SGD learner</w:t>
      </w:r>
      <w:r>
        <w:t xml:space="preserve"> </w:t>
      </w:r>
      <w:r>
        <w:t xml:space="preserve">accumulated dormant units across the non-stationary stream while the weight-decay</w:t>
      </w:r>
      <w:r>
        <w:t xml:space="preserve"> </w:t>
      </w:r>
      <w:r>
        <w:t xml:space="preserve">learner did not, matching both of the survey’s central claims in direction. I</w:t>
      </w:r>
      <w:r>
        <w:t xml:space="preserve"> </w:t>
      </w:r>
      <w:r>
        <w:t xml:space="preserve">call it partially reproduced rather than reproduced because the accuracy readout</w:t>
      </w:r>
      <w:r>
        <w:t xml:space="preserve"> </w:t>
      </w:r>
      <w:r>
        <w:t xml:space="preserve">moved only weakly (binary accuracy saturates), so the effect is convincing at</w:t>
      </w:r>
      <w:r>
        <w:t xml:space="preserve"> </w:t>
      </w:r>
      <w:r>
        <w:t xml:space="preserve">the mechanism level but modest at the performance level, and because a proxy on</w:t>
      </w:r>
      <w:r>
        <w:t xml:space="preserve"> </w:t>
      </w:r>
      <w:r>
        <w:t xml:space="preserve">synthetic data cannot confirm the survey’s specific reinforcement-learning</w:t>
      </w:r>
      <w:r>
        <w:t xml:space="preserve"> </w:t>
      </w:r>
      <w:r>
        <w:t xml:space="preserve">magnitudes.</w:t>
      </w:r>
    </w:p>
    <w:bookmarkEnd w:id="24"/>
    <w:bookmarkStart w:id="28" w:name="references"/>
    <w:p>
      <w:pPr>
        <w:pStyle w:val="Heading1"/>
      </w:pPr>
      <w:r>
        <w:t xml:space="preserve">References</w:t>
      </w:r>
    </w:p>
    <w:bookmarkStart w:id="27" w:name="refs"/>
    <w:bookmarkStart w:id="26" w:name="ref-klein2024plasticity"/>
    <w:p>
      <w:pPr>
        <w:pStyle w:val="Bibliography"/>
      </w:pPr>
      <w:r>
        <w:t xml:space="preserve">Klein, Timo, Lukas Miklautz, Kevin Sidak, Claudia Plant, and Sebastian Tschiatschek. 2024.</w:t>
      </w:r>
      <w:r>
        <w:t xml:space="preserve"> </w:t>
      </w:r>
      <w:r>
        <w:t xml:space="preserve">“Plasticity Loss in Deep Reinforcement Learning: A Survey.”</w:t>
      </w:r>
      <w:r>
        <w:t xml:space="preserve"> </w:t>
      </w:r>
      <w:r>
        <w:rPr>
          <w:i/>
          <w:iCs/>
        </w:rPr>
        <w:t xml:space="preserve">arXiv Preprint arXiv:2411.04832</w:t>
      </w:r>
      <w:r>
        <w:t xml:space="preserve">, ahead of print.</w:t>
      </w:r>
      <w:r>
        <w:t xml:space="preserve"> </w:t>
      </w:r>
      <w:hyperlink r:id="rId25">
        <w:r>
          <w:rPr>
            <w:rStyle w:val="Hyperlink"/>
          </w:rPr>
          <w:t xml:space="preserve">https://doi.org/10.48550/arXiv.2411.04832</w:t>
        </w:r>
      </w:hyperlink>
      <w:r>
        <w:t xml:space="preserve">.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3"/>
  </w:num>
  <w:num w:numId="1004">
    <w:abstractNumId w:val="993"/>
  </w:num>
  <w:num w:numId="1005">
    <w:abstractNumId w:val="993"/>
  </w:num>
  <w:num w:numId="1006">
    <w:abstractNumId w:val="993"/>
  </w:num>
  <w:num w:numId="1007">
    <w:abstractNumId w:val="993"/>
  </w:num>
  <w:num w:numId="1008">
    <w:abstractNumId w:val="993"/>
  </w:num>
  <w:num w:numId="1009">
    <w:abstractNumId w:val="993"/>
  </w:num>
  <w:num w:numId="1010">
    <w:abstractNumId w:val="992"/>
  </w:num>
  <w:num w:numId="1011">
    <w:abstractNumId w:val="993"/>
  </w:num>
  <w:num w:numId="1012">
    <w:abstractNumId w:val="992"/>
  </w:num>
  <w:num w:numId="101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14" Target="media/rId14.png" /><Relationship Type="http://schemas.openxmlformats.org/officeDocument/2006/relationships/hyperlink" Id="rId25" Target="https://doi.org/10.48550/arXiv.2411.0483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doi.org/10.48550/arXiv.2411.0483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Predictive AI Replication Laboratory #2</dc:title>
  <dc:creator>Shail Sanjaykumar Raval</dc:creator>
  <cp:keywords/>
  <dcterms:created xsi:type="dcterms:W3CDTF">2026-09-27T22:33:56Z</dcterms:created>
  <dcterms:modified xsi:type="dcterms:W3CDTF">2026-09-27T22:33:56Z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2026-09-27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ubtitle">
    <vt:lpwstr>Can the Model Keep Learning? A Plasticity-Loss Proxy Replication</vt:lpwstr>
  </property>
  <property fmtid="{D5CDD505-2E9C-101B-9397-08002B2CF9AE}" pid="12" name="toc-title">
    <vt:lpwstr>Table of contents</vt:lpwstr>
  </property>
</Properties>
</file>