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/>
          <w:b/>
          <w:color w:val="0F172A"/>
          <w:sz w:val="28"/>
        </w:rPr>
        <w:t>DOCUMENT CHANGE LOG, TECHNICAL VERIFICATION &amp; PENDING ITEMS CHECKLIST</w:t>
      </w:r>
    </w:p>
    <w:p>
      <w:pPr>
        <w:spacing w:after="280"/>
        <w:jc w:val="center"/>
      </w:pPr>
      <w:r>
        <w:rPr>
          <w:rFonts w:ascii="Times New Roman" w:hAnsi="Times New Roman"/>
          <w:color w:val="334155"/>
          <w:sz w:val="20"/>
        </w:rPr>
        <w:t>Course: B.Tech. BCSE497J - Project-I | Review 3 (Fall Semester 2026-2027)</w:t>
        <w:br/>
        <w:t>Project Title: MULTIMODAL MEETING - TO -DECISION AUDITOR: AN AI FRAMEWORKS FOR DECISION TRACEABILITY AND INTEGRITY</w:t>
        <w:br/>
        <w:t>Students: M Anirudh Chowdary (23BKT0102) &amp; Sanjay Gedela (23BKT0139) | Guide: Dr. Saranya P (SCOPE)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1. EXECUTIVE OVERVIEW &amp; ROOT CAUSE RESOLUTION</w:t>
      </w:r>
    </w:p>
    <w:p>
      <w:pPr>
        <w:spacing w:line="288" w:lineRule="auto" w:after="120"/>
        <w:jc w:val="both"/>
      </w:pPr>
      <w:r>
        <w:t>The original university project report Word file (PROJECT_REPORT_BCSE497J.docx) suffered from fatal XML corruption ('PCDATA invalid Char value 12, line 2618, column 112') caused by raw ASCII control characters (0x0C form-feed and 0x07 bell characters) embedded in paragraph text. Consequently, Microsoft Word refused to open the document, displaying a fatal error dialog. Furthermore, the original file lacked genuine Microsoft Word tables (using raw ASCII markdown pipes), lacked section breaks for Roman/Arabic page numbering, and lacked graphical figures for diagrams and system architectures.</w:t>
        <w:br/>
        <w:br/>
        <w:t>To ensure a print-ready, publication-grade academic submission for Review 3, the entire report was systematically reconstructed from the ground up: every substantive line, table, equation, citation, and project claim was preserved, verified against the running codebase, and typeset into strict VIT academic report styling using Times New Roman typography, 1.25-inch left margin for binding, formal shaded tables, monospaced code blocks, and 21 custom-rendered publication-grade architectural diagrams, charts, and interface mockups.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E3A8A"/>
          <w:sz w:val="24"/>
        </w:rPr>
        <w:t>2. SYSTEMATIC CHANGE LOG &amp; ENHANCEMENT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Report Section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Original Source State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Reconstructed &amp; Verified Final State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Rationale &amp; Technical Justification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File Structure &amp; XML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Contained invalid ASCII 0x0C and 0x07 characters causing crash in MS Word.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Pristine OpenXML compliant .docx; verified via Word 16 COM automation (60 pages).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Eliminates XML corruption; guarantees Word opens document cleanly on any Windows/Mac PC.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Page Numbering &amp; Headers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Single unsegmented section; no headers; page numbering missing or inconsistent.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Divided into 3 formal sections: Cover (none), Front Matter (Roman i-vi), Body (Arabic 1-52).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Strict compliance with VIT academic thesis guidelines and hard-bound binding standards.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Document Tables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 tables rendered as plain text markdown pipes (| col1 | col2 |).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Rebuilt as native Word tables with Navy (#1E3A8A) header fills, white bold text, and zebra rows.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Professional table formatting ensures clean printing, cell wrapping, and repeated header rows.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Figures &amp; Diagrams (21 Total)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Textual ASCII / Mermaid code blocks in text body without visual image rendering.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21 high-resolution (300 DPI) publication-grade diagrams and charts rendered and embedded.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Visual communication of Gantt timeline, system tiers, DFDs, sequence flows, and UI workflows.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Equations &amp; Math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Inline LaTeX notation ($F_0$, $\tau_{clf}$, $\lambda$) interspersed in plain text.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Typeset into centered formal equation callout boxes with right-aligned numbering (5.1 to 5.10).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Enhances mathematical legibility and preserves exact algorithmic definitions.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Code Listings (Appendix A)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Markdown fenced code blocks with potential formatting loss.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Styled in shaded light-slate containers (#F1F5F9) using Consolas 8.5pt with preserved indent.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Distinguishes implementation code from prose; preserves Python and Cypher syntax integrity.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Grammar &amp; Phrasing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Subtle typos in title ('AN AI FRAMEWORKS') and run-on sentences in methodology.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Preserved official project title verbatim while correcting grammatical typos in technical text.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Maintains 100% fidelity to official course registration while improving readability.</w:t>
            </w:r>
          </w:p>
        </w:tc>
      </w:tr>
    </w:tbl>
    <w:p>
      <w:pPr>
        <w:keepNext/>
        <w:spacing w:before="320" w:after="80"/>
      </w:pPr>
      <w:r>
        <w:rPr>
          <w:rFonts w:ascii="Times New Roman" w:hAnsi="Times New Roman"/>
          <w:b/>
          <w:color w:val="1E3A8A"/>
          <w:sz w:val="24"/>
        </w:rPr>
        <w:t>3. TECHNICAL VERIFICATION AGAINST RUNNING CODEBASE</w:t>
      </w:r>
    </w:p>
    <w:p>
      <w:pPr>
        <w:spacing w:line="288" w:lineRule="auto" w:after="120"/>
        <w:jc w:val="both"/>
      </w:pPr>
      <w:r>
        <w:t>Every technical, architectural, and algorithmic claim in the report was audited against the running implementation files:</w:t>
        <w:br/>
        <w:t>•  Acoustic Perception: Verified INT8 faster-whisper model deployment running locally under CTranslate2 with mono 16 kHz audio normalization and local VAD.</w:t>
        <w:br/>
        <w:t>•  Voice Diarization: Verified autocorrelation fundamental frequency (F0) calculation (75 Hz to 380 Hz) and FFT spectral centroid clustering for real-time attribution without GPU dependencies.</w:t>
        <w:br/>
        <w:t>•  Utterance Classification: Verified fine-tuned DistilBERT inference pipeline with high-recall threshold calibration (tau_clf = 0.30) to separate decisions from conversational deliberation.</w:t>
        <w:br/>
        <w:t>•  Structured Extraction: Verified localized small language model (Phi-3.5 3.8B via Ollama) prompt template with context window (u_{i-1}, u_i, u_{i+1}) enforcing strict Pydantic JSON tuple validation.</w:t>
        <w:br/>
        <w:t>•  Dynamic Knowledge Graph: Verified Neo4j property graph schema modeling (:Organization), (:Meeting), (:Decision), (:Topic), and (:PolicyDocument) with 1024-d BGE vector indexing.</w:t>
        <w:br/>
        <w:t>•  Decision Consistency Algorithm v2 (DCA v2): Verified the core algorithmic improvements: upfront Same-Subject Cosine Gate (tau_sim &gt;= 0.65), cross-domain topic isolation, BART-Large-MNLI NLI cross-encoder stance scoring, temporal recency decay weighting, and supersession graph traversal. Confirmed 0.0% false-alarm rate on unrelated controls and strict precision of 0.60 on held-out test sets (n=34).</w:t>
        <w:br/>
        <w:t>•  Economic Feasibility: Confirmed financial model demonstrating a 98.4% cost reduction ($15,420 annual savings) by eliminating recurring commercial cloud LLM API token charges.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1E3A8A"/>
          <w:sz w:val="24"/>
        </w:rPr>
        <w:t>4. PENDING ITEMS &amp; STUDENT/GUIDE CONFIRMATION CHECKLIST</w:t>
      </w:r>
    </w:p>
    <w:p>
      <w:pPr>
        <w:spacing w:line="288" w:lineRule="auto" w:after="160"/>
        <w:jc w:val="both"/>
      </w:pPr>
      <w:r>
        <w:t>Before tomorrow's final submission to the panel, the following administrative items require physical signature or final student/guide confirmation: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1152"/>
            <w:tcMar>
              <w:top w:w="120" w:type="dxa"/>
              <w:bottom w:w="120" w:type="dxa"/>
              <w:left w:w="140" w:type="dxa"/>
              <w:right w:w="14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Item #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Document Page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40" w:type="dxa"/>
              <w:right w:w="14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Required Action / Confirmation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Responsible Stakeholder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40" w:type="dxa"/>
              <w:right w:w="14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Declaration (Page i)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Sign above 'M Anirudh Chowdary (23BKT0102)'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 Anirudh Chowdary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18"/>
              </w:rPr>
              <w:t>PENDING SIGNATURE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Declaration (Page i)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Sign above 'Sanjay Gedela (23BKT0139)'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Sanjay Gedela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18"/>
              </w:rPr>
              <w:t>PENDING SIGNATURE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Certificate (Page ii)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Project Guide signature &amp; department seal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Dr. Saranya P (Guide)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18"/>
              </w:rPr>
              <w:t>PENDING SIGNATURE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Certificate (Page ii)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Panel In-Charge signature (Panel P042)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Dr. Kanagaraj K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18"/>
              </w:rPr>
              <w:t>PENDING REVIEW 3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Certificate (Page ii)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External / Internal Examiner signature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Examiner(s)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18"/>
              </w:rPr>
              <w:t>PENDING REVIEW 3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Certificate (Page ii)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Dean / HOD signature &amp; school seal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Dr. Jaisankar N (Dean)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C2626"/>
                <w:sz w:val="18"/>
              </w:rPr>
              <w:t>PENDING SUBMISSION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Title &amp; Cover Page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Confirm Project ID (22443UG02) and Panel (P042, SJT626)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Student Team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59669"/>
                <w:sz w:val="18"/>
              </w:rPr>
              <w:t>CONFIRMED VERIFIED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CHK-08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Hard-Copy Print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Print in 100% scaling, A4 paper, double-sided or single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Student Team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59669"/>
                <w:sz w:val="18"/>
              </w:rPr>
              <w:t>READY FOR PRINT</w:t>
            </w:r>
          </w:p>
        </w:tc>
      </w:tr>
    </w:tbl>
    <w:p>
      <w:pPr>
        <w:spacing w:before="400"/>
      </w:pPr>
      <w:r>
        <w:rPr>
          <w:sz w:val="19"/>
        </w:rPr>
        <w:t>Report Compilation Status: COMPLETE &amp; READY FOR PRINTING</w:t>
        <w:br/>
        <w:t>Primary Document: BCSE497J_Project_Report_Final.docx (60 Pages)</w:t>
        <w:br/>
        <w:t>Print Preview PDF: BCSE497J_Project_Report_Final.pdf (6.56 MB, High Fidelity)</w:t>
        <w:br/>
        <w:t>Audit Log &amp; Checklist: BCSE497J_Change_Log_and_Pending_Items.docx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748B"/>
        <w:sz w:val="17"/>
      </w:rPr>
      <w:t>VIT SCOPE | BCSE497J Project-I Change Log &amp; Verification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