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Times New Roman" w:hAnsi="Times New Roman"/>
          <w:b/>
          <w:color w:val="0F172A"/>
          <w:sz w:val="27"/>
        </w:rPr>
        <w:t>VISIONSENSE AI: BCSE497J PROJECT-I REPORT VERIFICATION &amp; CONFIRMATION CHECKLIST</w:t>
      </w:r>
    </w:p>
    <w:p>
      <w:pPr>
        <w:spacing w:after="280"/>
        <w:jc w:val="center"/>
      </w:pPr>
      <w:r>
        <w:rPr>
          <w:rFonts w:ascii="Times New Roman" w:hAnsi="Times New Roman"/>
          <w:color w:val="334155"/>
          <w:sz w:val="20"/>
        </w:rPr>
        <w:t>Course: B.Tech BCSE497J - Project-I | Review 3 (Fall Semester 2026-2027)</w:t>
        <w:br/>
        <w:t>Project ID: 23676UG05 | Panel: P028 | Venue: SJT505 | Date &amp; Time: 28 October 2026, 11:30 AM</w:t>
        <w:br/>
        <w:t>Project Title: VisionSense AI: AI-Based Crowd Safety and Surveillance System</w:t>
        <w:br/>
        <w:t>Students: G Shailesh (23BDS0236), N Neha (23BDS0270), P Surya (23BDS0327) | Guide: Dr. Kankana Roy</w:t>
      </w:r>
    </w:p>
    <w:p>
      <w:pPr>
        <w:keepNext/>
        <w:spacing w:before="240" w:after="80"/>
      </w:pPr>
      <w:r>
        <w:rPr>
          <w:rFonts w:ascii="Times New Roman" w:hAnsi="Times New Roman"/>
          <w:b/>
          <w:color w:val="1E3A8A"/>
          <w:sz w:val="23"/>
        </w:rPr>
        <w:t>1. EXECUTIVE SUMMARY &amp; VERIFICATION OVERVIEW</w:t>
      </w:r>
    </w:p>
    <w:p>
      <w:pPr>
        <w:spacing w:line="276" w:lineRule="auto" w:after="120"/>
        <w:jc w:val="both"/>
      </w:pPr>
      <w:r>
        <w:t>The complete, print-ready B.Tech project report for VisionSense AI (VisionSense_BCSE497J_Project_I_Report.docx) has been successfully generated following the official VIT academic template structure, including the 18 pt bold title cover page, formal Declaration, Certificate, Acknowledgements, Roman-numeral front matter, 60 pages of technical documentation across 9 chapters, 21 publication-grade figures, 11 formatted data tables, and Appendix A with real implementation source code.</w:t>
        <w:br/>
        <w:br/>
        <w:t>In strict adherence to academic integrity guidelines, no unrelated project content from sample templates was copied, no experimental benchmarks were fabricated, and all implementation descriptions distinguish verified code from theoretical complexity estimates. This checklist details the administrative items requiring student and faculty signature, along with technical confirmation items.</w:t>
      </w:r>
    </w:p>
    <w:p>
      <w:pPr>
        <w:keepNext/>
        <w:spacing w:before="280" w:after="80"/>
      </w:pPr>
      <w:r>
        <w:rPr>
          <w:rFonts w:ascii="Times New Roman" w:hAnsi="Times New Roman"/>
          <w:b/>
          <w:color w:val="1E3A8A"/>
          <w:sz w:val="23"/>
        </w:rPr>
        <w:t>2. ADMINISTRATIVE CONFIRMATION &amp; SIGNATURE CHECKLIST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00"/>
        <w:gridCol w:w="1800"/>
        <w:gridCol w:w="1800"/>
        <w:gridCol w:w="1800"/>
        <w:gridCol w:w="1800"/>
      </w:tblGrid>
      <w:tr>
        <w:trPr>
          <w:tblHeader/>
          <w:cantSplit/>
        </w:trPr>
        <w:tc>
          <w:tcPr>
            <w:tcW w:type="dxa" w:w="1152"/>
            <w:tcMar>
              <w:top w:w="120" w:type="dxa"/>
              <w:bottom w:w="120" w:type="dxa"/>
              <w:left w:w="140" w:type="dxa"/>
              <w:right w:w="140" w:type="dxa"/>
            </w:tcMar>
            <w:shd w:fill="0F172A"/>
          </w:tcPr>
          <w:p>
            <w:pPr>
              <w:jc w:val="center"/>
            </w:pPr>
            <w:r>
              <w:rPr>
                <w:rFonts w:ascii="Times New Roman" w:hAnsi="Times New Roman"/>
                <w:b/>
                <w:color w:val="FFFFFF"/>
                <w:sz w:val="19"/>
              </w:rPr>
              <w:t>Item ID</w:t>
            </w:r>
          </w:p>
        </w:tc>
        <w:tc>
          <w:tcPr>
            <w:tcW w:type="dxa" w:w="1728"/>
            <w:tcMar>
              <w:top w:w="120" w:type="dxa"/>
              <w:bottom w:w="120" w:type="dxa"/>
              <w:left w:w="140" w:type="dxa"/>
              <w:right w:w="140" w:type="dxa"/>
            </w:tcMar>
            <w:shd w:fill="0F172A"/>
          </w:tcPr>
          <w:p>
            <w:pPr>
              <w:jc w:val="center"/>
            </w:pPr>
            <w:r>
              <w:rPr>
                <w:rFonts w:ascii="Times New Roman" w:hAnsi="Times New Roman"/>
                <w:b/>
                <w:color w:val="FFFFFF"/>
                <w:sz w:val="19"/>
              </w:rPr>
              <w:t>Report Location</w:t>
            </w:r>
          </w:p>
        </w:tc>
        <w:tc>
          <w:tcPr>
            <w:tcW w:type="dxa" w:w="3168"/>
            <w:tcMar>
              <w:top w:w="120" w:type="dxa"/>
              <w:bottom w:w="120" w:type="dxa"/>
              <w:left w:w="140" w:type="dxa"/>
              <w:right w:w="140" w:type="dxa"/>
            </w:tcMar>
            <w:shd w:fill="0F172A"/>
          </w:tcPr>
          <w:p>
            <w:pPr>
              <w:jc w:val="center"/>
            </w:pPr>
            <w:r>
              <w:rPr>
                <w:rFonts w:ascii="Times New Roman" w:hAnsi="Times New Roman"/>
                <w:b/>
                <w:color w:val="FFFFFF"/>
                <w:sz w:val="19"/>
              </w:rPr>
              <w:t>Required Confirmation / Action</w:t>
            </w:r>
          </w:p>
        </w:tc>
        <w:tc>
          <w:tcPr>
            <w:tcW w:type="dxa" w:w="1728"/>
            <w:tcMar>
              <w:top w:w="120" w:type="dxa"/>
              <w:bottom w:w="120" w:type="dxa"/>
              <w:left w:w="140" w:type="dxa"/>
              <w:right w:w="140" w:type="dxa"/>
            </w:tcMar>
            <w:shd w:fill="0F172A"/>
          </w:tcPr>
          <w:p>
            <w:pPr>
              <w:jc w:val="center"/>
            </w:pPr>
            <w:r>
              <w:rPr>
                <w:rFonts w:ascii="Times New Roman" w:hAnsi="Times New Roman"/>
                <w:b/>
                <w:color w:val="FFFFFF"/>
                <w:sz w:val="19"/>
              </w:rPr>
              <w:t>Responsible Individual</w:t>
            </w:r>
          </w:p>
        </w:tc>
        <w:tc>
          <w:tcPr>
            <w:tcW w:type="dxa" w:w="1152"/>
            <w:tcMar>
              <w:top w:w="120" w:type="dxa"/>
              <w:bottom w:w="120" w:type="dxa"/>
              <w:left w:w="140" w:type="dxa"/>
              <w:right w:w="140" w:type="dxa"/>
            </w:tcMar>
            <w:shd w:fill="0F172A"/>
          </w:tcPr>
          <w:p>
            <w:pPr>
              <w:jc w:val="center"/>
            </w:pPr>
            <w:r>
              <w:rPr>
                <w:rFonts w:ascii="Times New Roman" w:hAnsi="Times New Roman"/>
                <w:b/>
                <w:color w:val="FFFFFF"/>
                <w:sz w:val="19"/>
              </w:rPr>
              <w:t>Current Status</w:t>
            </w:r>
          </w:p>
        </w:tc>
      </w:tr>
      <w:tr>
        <w:trPr>
          <w:cantSplit/>
        </w:trPr>
        <w:tc>
          <w:tcPr>
            <w:tcW w:type="dxa" w:w="1152"/>
            <w:tcMar>
              <w:top w:w="100" w:type="dxa"/>
              <w:bottom w:w="100" w:type="dxa"/>
              <w:left w:w="140" w:type="dxa"/>
              <w:right w:w="140" w:type="dxa"/>
            </w:tcMar>
            <w:shd w:fill="FFFFFF"/>
          </w:tcPr>
          <w:p>
            <w:pPr>
              <w:jc w:val="center"/>
            </w:pPr>
            <w:r>
              <w:rPr>
                <w:rFonts w:ascii="Times New Roman" w:hAnsi="Times New Roman"/>
                <w:sz w:val="18"/>
              </w:rPr>
              <w:t>ADM-01</w:t>
            </w:r>
          </w:p>
        </w:tc>
        <w:tc>
          <w:tcPr>
            <w:tcW w:type="dxa" w:w="1728"/>
            <w:tcMar>
              <w:top w:w="100" w:type="dxa"/>
              <w:bottom w:w="100" w:type="dxa"/>
              <w:left w:w="140" w:type="dxa"/>
              <w:right w:w="140" w:type="dxa"/>
            </w:tcMar>
            <w:shd w:fill="FFFFFF"/>
          </w:tcPr>
          <w:p>
            <w:pPr>
              <w:jc w:val="center"/>
            </w:pPr>
            <w:r>
              <w:rPr>
                <w:rFonts w:ascii="Times New Roman" w:hAnsi="Times New Roman"/>
                <w:sz w:val="18"/>
              </w:rPr>
              <w:t>Declaration (Page i)</w:t>
            </w:r>
          </w:p>
        </w:tc>
        <w:tc>
          <w:tcPr>
            <w:tcW w:type="dxa" w:w="3168"/>
            <w:tcMar>
              <w:top w:w="100" w:type="dxa"/>
              <w:bottom w:w="100" w:type="dxa"/>
              <w:left w:w="140" w:type="dxa"/>
              <w:right w:w="140" w:type="dxa"/>
            </w:tcMar>
            <w:shd w:fill="FFFFFF"/>
          </w:tcPr>
          <w:p>
            <w:pPr>
              <w:jc w:val="left"/>
            </w:pPr>
            <w:r>
              <w:rPr>
                <w:rFonts w:ascii="Times New Roman" w:hAnsi="Times New Roman"/>
                <w:sz w:val="18"/>
              </w:rPr>
              <w:t>Physical signature above 'G Shailesh (23BDS0236)'</w:t>
            </w:r>
          </w:p>
        </w:tc>
        <w:tc>
          <w:tcPr>
            <w:tcW w:type="dxa" w:w="1728"/>
            <w:tcMar>
              <w:top w:w="100" w:type="dxa"/>
              <w:bottom w:w="100" w:type="dxa"/>
              <w:left w:w="140" w:type="dxa"/>
              <w:right w:w="140" w:type="dxa"/>
            </w:tcMar>
            <w:shd w:fill="FFFFFF"/>
          </w:tcPr>
          <w:p>
            <w:pPr>
              <w:jc w:val="left"/>
            </w:pPr>
            <w:r>
              <w:rPr>
                <w:rFonts w:ascii="Times New Roman" w:hAnsi="Times New Roman"/>
                <w:sz w:val="18"/>
              </w:rPr>
              <w:t>G Shailesh</w:t>
            </w:r>
          </w:p>
        </w:tc>
        <w:tc>
          <w:tcPr>
            <w:tcW w:type="dxa" w:w="1152"/>
            <w:tcMar>
              <w:top w:w="100" w:type="dxa"/>
              <w:bottom w:w="100" w:type="dxa"/>
              <w:left w:w="140" w:type="dxa"/>
              <w:right w:w="140" w:type="dxa"/>
            </w:tcMar>
            <w:shd w:fill="FFFFFF"/>
          </w:tcPr>
          <w:p>
            <w:pPr>
              <w:jc w:val="center"/>
            </w:pPr>
            <w:r>
              <w:rPr>
                <w:rFonts w:ascii="Times New Roman" w:hAnsi="Times New Roman"/>
                <w:b/>
                <w:color w:val="DC2626"/>
                <w:sz w:val="18"/>
              </w:rPr>
              <w:t>PENDING SIGNATURE</w:t>
            </w:r>
          </w:p>
        </w:tc>
      </w:tr>
      <w:tr>
        <w:trPr>
          <w:cantSplit/>
        </w:trPr>
        <w:tc>
          <w:tcPr>
            <w:tcW w:type="dxa" w:w="1152"/>
            <w:tcMar>
              <w:top w:w="100" w:type="dxa"/>
              <w:bottom w:w="100" w:type="dxa"/>
              <w:left w:w="140" w:type="dxa"/>
              <w:right w:w="140" w:type="dxa"/>
            </w:tcMar>
            <w:shd w:fill="F9FAFB"/>
          </w:tcPr>
          <w:p>
            <w:pPr>
              <w:jc w:val="center"/>
            </w:pPr>
            <w:r>
              <w:rPr>
                <w:rFonts w:ascii="Times New Roman" w:hAnsi="Times New Roman"/>
                <w:sz w:val="18"/>
              </w:rPr>
              <w:t>ADM-02</w:t>
            </w:r>
          </w:p>
        </w:tc>
        <w:tc>
          <w:tcPr>
            <w:tcW w:type="dxa" w:w="1728"/>
            <w:tcMar>
              <w:top w:w="100" w:type="dxa"/>
              <w:bottom w:w="100" w:type="dxa"/>
              <w:left w:w="140" w:type="dxa"/>
              <w:right w:w="140" w:type="dxa"/>
            </w:tcMar>
            <w:shd w:fill="F9FAFB"/>
          </w:tcPr>
          <w:p>
            <w:pPr>
              <w:jc w:val="center"/>
            </w:pPr>
            <w:r>
              <w:rPr>
                <w:rFonts w:ascii="Times New Roman" w:hAnsi="Times New Roman"/>
                <w:sz w:val="18"/>
              </w:rPr>
              <w:t>Declaration (Page i)</w:t>
            </w:r>
          </w:p>
        </w:tc>
        <w:tc>
          <w:tcPr>
            <w:tcW w:type="dxa" w:w="3168"/>
            <w:tcMar>
              <w:top w:w="100" w:type="dxa"/>
              <w:bottom w:w="100" w:type="dxa"/>
              <w:left w:w="140" w:type="dxa"/>
              <w:right w:w="140" w:type="dxa"/>
            </w:tcMar>
            <w:shd w:fill="F9FAFB"/>
          </w:tcPr>
          <w:p>
            <w:pPr>
              <w:jc w:val="left"/>
            </w:pPr>
            <w:r>
              <w:rPr>
                <w:rFonts w:ascii="Times New Roman" w:hAnsi="Times New Roman"/>
                <w:sz w:val="18"/>
              </w:rPr>
              <w:t>Physical signature above 'N Neha (23BDS0270)'</w:t>
            </w:r>
          </w:p>
        </w:tc>
        <w:tc>
          <w:tcPr>
            <w:tcW w:type="dxa" w:w="1728"/>
            <w:tcMar>
              <w:top w:w="100" w:type="dxa"/>
              <w:bottom w:w="100" w:type="dxa"/>
              <w:left w:w="140" w:type="dxa"/>
              <w:right w:w="140" w:type="dxa"/>
            </w:tcMar>
            <w:shd w:fill="F9FAFB"/>
          </w:tcPr>
          <w:p>
            <w:pPr>
              <w:jc w:val="left"/>
            </w:pPr>
            <w:r>
              <w:rPr>
                <w:rFonts w:ascii="Times New Roman" w:hAnsi="Times New Roman"/>
                <w:sz w:val="18"/>
              </w:rPr>
              <w:t>N Neha</w:t>
            </w:r>
          </w:p>
        </w:tc>
        <w:tc>
          <w:tcPr>
            <w:tcW w:type="dxa" w:w="1152"/>
            <w:tcMar>
              <w:top w:w="100" w:type="dxa"/>
              <w:bottom w:w="100" w:type="dxa"/>
              <w:left w:w="140" w:type="dxa"/>
              <w:right w:w="140" w:type="dxa"/>
            </w:tcMar>
            <w:shd w:fill="F9FAFB"/>
          </w:tcPr>
          <w:p>
            <w:pPr>
              <w:jc w:val="center"/>
            </w:pPr>
            <w:r>
              <w:rPr>
                <w:rFonts w:ascii="Times New Roman" w:hAnsi="Times New Roman"/>
                <w:b/>
                <w:color w:val="DC2626"/>
                <w:sz w:val="18"/>
              </w:rPr>
              <w:t>PENDING SIGNATURE</w:t>
            </w:r>
          </w:p>
        </w:tc>
      </w:tr>
      <w:tr>
        <w:trPr>
          <w:cantSplit/>
        </w:trPr>
        <w:tc>
          <w:tcPr>
            <w:tcW w:type="dxa" w:w="1152"/>
            <w:tcMar>
              <w:top w:w="100" w:type="dxa"/>
              <w:bottom w:w="100" w:type="dxa"/>
              <w:left w:w="140" w:type="dxa"/>
              <w:right w:w="140" w:type="dxa"/>
            </w:tcMar>
            <w:shd w:fill="FFFFFF"/>
          </w:tcPr>
          <w:p>
            <w:pPr>
              <w:jc w:val="center"/>
            </w:pPr>
            <w:r>
              <w:rPr>
                <w:rFonts w:ascii="Times New Roman" w:hAnsi="Times New Roman"/>
                <w:sz w:val="18"/>
              </w:rPr>
              <w:t>ADM-03</w:t>
            </w:r>
          </w:p>
        </w:tc>
        <w:tc>
          <w:tcPr>
            <w:tcW w:type="dxa" w:w="1728"/>
            <w:tcMar>
              <w:top w:w="100" w:type="dxa"/>
              <w:bottom w:w="100" w:type="dxa"/>
              <w:left w:w="140" w:type="dxa"/>
              <w:right w:w="140" w:type="dxa"/>
            </w:tcMar>
            <w:shd w:fill="FFFFFF"/>
          </w:tcPr>
          <w:p>
            <w:pPr>
              <w:jc w:val="center"/>
            </w:pPr>
            <w:r>
              <w:rPr>
                <w:rFonts w:ascii="Times New Roman" w:hAnsi="Times New Roman"/>
                <w:sz w:val="18"/>
              </w:rPr>
              <w:t>Declaration (Page i)</w:t>
            </w:r>
          </w:p>
        </w:tc>
        <w:tc>
          <w:tcPr>
            <w:tcW w:type="dxa" w:w="3168"/>
            <w:tcMar>
              <w:top w:w="100" w:type="dxa"/>
              <w:bottom w:w="100" w:type="dxa"/>
              <w:left w:w="140" w:type="dxa"/>
              <w:right w:w="140" w:type="dxa"/>
            </w:tcMar>
            <w:shd w:fill="FFFFFF"/>
          </w:tcPr>
          <w:p>
            <w:pPr>
              <w:jc w:val="left"/>
            </w:pPr>
            <w:r>
              <w:rPr>
                <w:rFonts w:ascii="Times New Roman" w:hAnsi="Times New Roman"/>
                <w:sz w:val="18"/>
              </w:rPr>
              <w:t>Physical signature above 'P Surya (23BDS0327)'</w:t>
            </w:r>
          </w:p>
        </w:tc>
        <w:tc>
          <w:tcPr>
            <w:tcW w:type="dxa" w:w="1728"/>
            <w:tcMar>
              <w:top w:w="100" w:type="dxa"/>
              <w:bottom w:w="100" w:type="dxa"/>
              <w:left w:w="140" w:type="dxa"/>
              <w:right w:w="140" w:type="dxa"/>
            </w:tcMar>
            <w:shd w:fill="FFFFFF"/>
          </w:tcPr>
          <w:p>
            <w:pPr>
              <w:jc w:val="left"/>
            </w:pPr>
            <w:r>
              <w:rPr>
                <w:rFonts w:ascii="Times New Roman" w:hAnsi="Times New Roman"/>
                <w:sz w:val="18"/>
              </w:rPr>
              <w:t>P Surya</w:t>
            </w:r>
          </w:p>
        </w:tc>
        <w:tc>
          <w:tcPr>
            <w:tcW w:type="dxa" w:w="1152"/>
            <w:tcMar>
              <w:top w:w="100" w:type="dxa"/>
              <w:bottom w:w="100" w:type="dxa"/>
              <w:left w:w="140" w:type="dxa"/>
              <w:right w:w="140" w:type="dxa"/>
            </w:tcMar>
            <w:shd w:fill="FFFFFF"/>
          </w:tcPr>
          <w:p>
            <w:pPr>
              <w:jc w:val="center"/>
            </w:pPr>
            <w:r>
              <w:rPr>
                <w:rFonts w:ascii="Times New Roman" w:hAnsi="Times New Roman"/>
                <w:b/>
                <w:color w:val="DC2626"/>
                <w:sz w:val="18"/>
              </w:rPr>
              <w:t>PENDING SIGNATURE</w:t>
            </w:r>
          </w:p>
        </w:tc>
      </w:tr>
      <w:tr>
        <w:trPr>
          <w:cantSplit/>
        </w:trPr>
        <w:tc>
          <w:tcPr>
            <w:tcW w:type="dxa" w:w="1152"/>
            <w:tcMar>
              <w:top w:w="100" w:type="dxa"/>
              <w:bottom w:w="100" w:type="dxa"/>
              <w:left w:w="140" w:type="dxa"/>
              <w:right w:w="140" w:type="dxa"/>
            </w:tcMar>
            <w:shd w:fill="F9FAFB"/>
          </w:tcPr>
          <w:p>
            <w:pPr>
              <w:jc w:val="center"/>
            </w:pPr>
            <w:r>
              <w:rPr>
                <w:rFonts w:ascii="Times New Roman" w:hAnsi="Times New Roman"/>
                <w:sz w:val="18"/>
              </w:rPr>
              <w:t>ADM-04</w:t>
            </w:r>
          </w:p>
        </w:tc>
        <w:tc>
          <w:tcPr>
            <w:tcW w:type="dxa" w:w="1728"/>
            <w:tcMar>
              <w:top w:w="100" w:type="dxa"/>
              <w:bottom w:w="100" w:type="dxa"/>
              <w:left w:w="140" w:type="dxa"/>
              <w:right w:w="140" w:type="dxa"/>
            </w:tcMar>
            <w:shd w:fill="F9FAFB"/>
          </w:tcPr>
          <w:p>
            <w:pPr>
              <w:jc w:val="center"/>
            </w:pPr>
            <w:r>
              <w:rPr>
                <w:rFonts w:ascii="Times New Roman" w:hAnsi="Times New Roman"/>
                <w:sz w:val="18"/>
              </w:rPr>
              <w:t>Certificate (Page ii)</w:t>
            </w:r>
          </w:p>
        </w:tc>
        <w:tc>
          <w:tcPr>
            <w:tcW w:type="dxa" w:w="3168"/>
            <w:tcMar>
              <w:top w:w="100" w:type="dxa"/>
              <w:bottom w:w="100" w:type="dxa"/>
              <w:left w:w="140" w:type="dxa"/>
              <w:right w:w="140" w:type="dxa"/>
            </w:tcMar>
            <w:shd w:fill="F9FAFB"/>
          </w:tcPr>
          <w:p>
            <w:pPr>
              <w:jc w:val="left"/>
            </w:pPr>
            <w:r>
              <w:rPr>
                <w:rFonts w:ascii="Times New Roman" w:hAnsi="Times New Roman"/>
                <w:sz w:val="18"/>
              </w:rPr>
              <w:t>Project Guide signature &amp; department seal</w:t>
            </w:r>
          </w:p>
        </w:tc>
        <w:tc>
          <w:tcPr>
            <w:tcW w:type="dxa" w:w="1728"/>
            <w:tcMar>
              <w:top w:w="100" w:type="dxa"/>
              <w:bottom w:w="100" w:type="dxa"/>
              <w:left w:w="140" w:type="dxa"/>
              <w:right w:w="140" w:type="dxa"/>
            </w:tcMar>
            <w:shd w:fill="F9FAFB"/>
          </w:tcPr>
          <w:p>
            <w:pPr>
              <w:jc w:val="left"/>
            </w:pPr>
            <w:r>
              <w:rPr>
                <w:rFonts w:ascii="Times New Roman" w:hAnsi="Times New Roman"/>
                <w:sz w:val="18"/>
              </w:rPr>
              <w:t>Dr. Kankana Roy (Guide)</w:t>
            </w:r>
          </w:p>
        </w:tc>
        <w:tc>
          <w:tcPr>
            <w:tcW w:type="dxa" w:w="1152"/>
            <w:tcMar>
              <w:top w:w="100" w:type="dxa"/>
              <w:bottom w:w="100" w:type="dxa"/>
              <w:left w:w="140" w:type="dxa"/>
              <w:right w:w="140" w:type="dxa"/>
            </w:tcMar>
            <w:shd w:fill="F9FAFB"/>
          </w:tcPr>
          <w:p>
            <w:pPr>
              <w:jc w:val="center"/>
            </w:pPr>
            <w:r>
              <w:rPr>
                <w:rFonts w:ascii="Times New Roman" w:hAnsi="Times New Roman"/>
                <w:b/>
                <w:color w:val="DC2626"/>
                <w:sz w:val="18"/>
              </w:rPr>
              <w:t>PENDING SIGNATURE</w:t>
            </w:r>
          </w:p>
        </w:tc>
      </w:tr>
      <w:tr>
        <w:trPr>
          <w:cantSplit/>
        </w:trPr>
        <w:tc>
          <w:tcPr>
            <w:tcW w:type="dxa" w:w="1152"/>
            <w:tcMar>
              <w:top w:w="100" w:type="dxa"/>
              <w:bottom w:w="100" w:type="dxa"/>
              <w:left w:w="140" w:type="dxa"/>
              <w:right w:w="140" w:type="dxa"/>
            </w:tcMar>
            <w:shd w:fill="FFFFFF"/>
          </w:tcPr>
          <w:p>
            <w:pPr>
              <w:jc w:val="center"/>
            </w:pPr>
            <w:r>
              <w:rPr>
                <w:rFonts w:ascii="Times New Roman" w:hAnsi="Times New Roman"/>
                <w:sz w:val="18"/>
              </w:rPr>
              <w:t>ADM-05</w:t>
            </w:r>
          </w:p>
        </w:tc>
        <w:tc>
          <w:tcPr>
            <w:tcW w:type="dxa" w:w="1728"/>
            <w:tcMar>
              <w:top w:w="100" w:type="dxa"/>
              <w:bottom w:w="100" w:type="dxa"/>
              <w:left w:w="140" w:type="dxa"/>
              <w:right w:w="140" w:type="dxa"/>
            </w:tcMar>
            <w:shd w:fill="FFFFFF"/>
          </w:tcPr>
          <w:p>
            <w:pPr>
              <w:jc w:val="center"/>
            </w:pPr>
            <w:r>
              <w:rPr>
                <w:rFonts w:ascii="Times New Roman" w:hAnsi="Times New Roman"/>
                <w:sz w:val="18"/>
              </w:rPr>
              <w:t>Certificate (Page ii)</w:t>
            </w:r>
          </w:p>
        </w:tc>
        <w:tc>
          <w:tcPr>
            <w:tcW w:type="dxa" w:w="3168"/>
            <w:tcMar>
              <w:top w:w="100" w:type="dxa"/>
              <w:bottom w:w="100" w:type="dxa"/>
              <w:left w:w="140" w:type="dxa"/>
              <w:right w:w="140" w:type="dxa"/>
            </w:tcMar>
            <w:shd w:fill="FFFFFF"/>
          </w:tcPr>
          <w:p>
            <w:pPr>
              <w:jc w:val="left"/>
            </w:pPr>
            <w:r>
              <w:rPr>
                <w:rFonts w:ascii="Times New Roman" w:hAnsi="Times New Roman"/>
                <w:sz w:val="18"/>
              </w:rPr>
              <w:t>Panel In-Charge signature &amp; name confirmation (Panel P028)</w:t>
            </w:r>
          </w:p>
        </w:tc>
        <w:tc>
          <w:tcPr>
            <w:tcW w:type="dxa" w:w="1728"/>
            <w:tcMar>
              <w:top w:w="100" w:type="dxa"/>
              <w:bottom w:w="100" w:type="dxa"/>
              <w:left w:w="140" w:type="dxa"/>
              <w:right w:w="140" w:type="dxa"/>
            </w:tcMar>
            <w:shd w:fill="FFFFFF"/>
          </w:tcPr>
          <w:p>
            <w:pPr>
              <w:jc w:val="left"/>
            </w:pPr>
            <w:r>
              <w:rPr>
                <w:rFonts w:ascii="Times New Roman" w:hAnsi="Times New Roman"/>
                <w:sz w:val="18"/>
              </w:rPr>
              <w:t>Dr. Kanagaraj K / Panel In-Charge</w:t>
            </w:r>
          </w:p>
        </w:tc>
        <w:tc>
          <w:tcPr>
            <w:tcW w:type="dxa" w:w="1152"/>
            <w:tcMar>
              <w:top w:w="100" w:type="dxa"/>
              <w:bottom w:w="100" w:type="dxa"/>
              <w:left w:w="140" w:type="dxa"/>
              <w:right w:w="140" w:type="dxa"/>
            </w:tcMar>
            <w:shd w:fill="FFFFFF"/>
          </w:tcPr>
          <w:p>
            <w:pPr>
              <w:jc w:val="center"/>
            </w:pPr>
            <w:r>
              <w:rPr>
                <w:rFonts w:ascii="Times New Roman" w:hAnsi="Times New Roman"/>
                <w:b/>
                <w:color w:val="DC2626"/>
                <w:sz w:val="18"/>
              </w:rPr>
              <w:t>PENDING REVIEW 3</w:t>
            </w:r>
          </w:p>
        </w:tc>
      </w:tr>
      <w:tr>
        <w:trPr>
          <w:cantSplit/>
        </w:trPr>
        <w:tc>
          <w:tcPr>
            <w:tcW w:type="dxa" w:w="1152"/>
            <w:tcMar>
              <w:top w:w="100" w:type="dxa"/>
              <w:bottom w:w="100" w:type="dxa"/>
              <w:left w:w="140" w:type="dxa"/>
              <w:right w:w="140" w:type="dxa"/>
            </w:tcMar>
            <w:shd w:fill="F9FAFB"/>
          </w:tcPr>
          <w:p>
            <w:pPr>
              <w:jc w:val="center"/>
            </w:pPr>
            <w:r>
              <w:rPr>
                <w:rFonts w:ascii="Times New Roman" w:hAnsi="Times New Roman"/>
                <w:sz w:val="18"/>
              </w:rPr>
              <w:t>ADM-06</w:t>
            </w:r>
          </w:p>
        </w:tc>
        <w:tc>
          <w:tcPr>
            <w:tcW w:type="dxa" w:w="1728"/>
            <w:tcMar>
              <w:top w:w="100" w:type="dxa"/>
              <w:bottom w:w="100" w:type="dxa"/>
              <w:left w:w="140" w:type="dxa"/>
              <w:right w:w="140" w:type="dxa"/>
            </w:tcMar>
            <w:shd w:fill="F9FAFB"/>
          </w:tcPr>
          <w:p>
            <w:pPr>
              <w:jc w:val="center"/>
            </w:pPr>
            <w:r>
              <w:rPr>
                <w:rFonts w:ascii="Times New Roman" w:hAnsi="Times New Roman"/>
                <w:sz w:val="18"/>
              </w:rPr>
              <w:t>Certificate (Page ii)</w:t>
            </w:r>
          </w:p>
        </w:tc>
        <w:tc>
          <w:tcPr>
            <w:tcW w:type="dxa" w:w="3168"/>
            <w:tcMar>
              <w:top w:w="100" w:type="dxa"/>
              <w:bottom w:w="100" w:type="dxa"/>
              <w:left w:w="140" w:type="dxa"/>
              <w:right w:w="140" w:type="dxa"/>
            </w:tcMar>
            <w:shd w:fill="F9FAFB"/>
          </w:tcPr>
          <w:p>
            <w:pPr>
              <w:jc w:val="left"/>
            </w:pPr>
            <w:r>
              <w:rPr>
                <w:rFonts w:ascii="Times New Roman" w:hAnsi="Times New Roman"/>
                <w:sz w:val="18"/>
              </w:rPr>
              <w:t>Internal / External Examiner(s) signatures</w:t>
            </w:r>
          </w:p>
        </w:tc>
        <w:tc>
          <w:tcPr>
            <w:tcW w:type="dxa" w:w="1728"/>
            <w:tcMar>
              <w:top w:w="100" w:type="dxa"/>
              <w:bottom w:w="100" w:type="dxa"/>
              <w:left w:w="140" w:type="dxa"/>
              <w:right w:w="140" w:type="dxa"/>
            </w:tcMar>
            <w:shd w:fill="F9FAFB"/>
          </w:tcPr>
          <w:p>
            <w:pPr>
              <w:jc w:val="left"/>
            </w:pPr>
            <w:r>
              <w:rPr>
                <w:rFonts w:ascii="Times New Roman" w:hAnsi="Times New Roman"/>
                <w:sz w:val="18"/>
              </w:rPr>
              <w:t>Review Examiners</w:t>
            </w:r>
          </w:p>
        </w:tc>
        <w:tc>
          <w:tcPr>
            <w:tcW w:type="dxa" w:w="1152"/>
            <w:tcMar>
              <w:top w:w="100" w:type="dxa"/>
              <w:bottom w:w="100" w:type="dxa"/>
              <w:left w:w="140" w:type="dxa"/>
              <w:right w:w="140" w:type="dxa"/>
            </w:tcMar>
            <w:shd w:fill="F9FAFB"/>
          </w:tcPr>
          <w:p>
            <w:pPr>
              <w:jc w:val="center"/>
            </w:pPr>
            <w:r>
              <w:rPr>
                <w:rFonts w:ascii="Times New Roman" w:hAnsi="Times New Roman"/>
                <w:b/>
                <w:color w:val="DC2626"/>
                <w:sz w:val="18"/>
              </w:rPr>
              <w:t>PENDING REVIEW 3</w:t>
            </w:r>
          </w:p>
        </w:tc>
      </w:tr>
      <w:tr>
        <w:trPr>
          <w:cantSplit/>
        </w:trPr>
        <w:tc>
          <w:tcPr>
            <w:tcW w:type="dxa" w:w="1152"/>
            <w:tcMar>
              <w:top w:w="100" w:type="dxa"/>
              <w:bottom w:w="100" w:type="dxa"/>
              <w:left w:w="140" w:type="dxa"/>
              <w:right w:w="140" w:type="dxa"/>
            </w:tcMar>
            <w:shd w:fill="FFFFFF"/>
          </w:tcPr>
          <w:p>
            <w:pPr>
              <w:jc w:val="center"/>
            </w:pPr>
            <w:r>
              <w:rPr>
                <w:rFonts w:ascii="Times New Roman" w:hAnsi="Times New Roman"/>
                <w:sz w:val="18"/>
              </w:rPr>
              <w:t>ADM-07</w:t>
            </w:r>
          </w:p>
        </w:tc>
        <w:tc>
          <w:tcPr>
            <w:tcW w:type="dxa" w:w="1728"/>
            <w:tcMar>
              <w:top w:w="100" w:type="dxa"/>
              <w:bottom w:w="100" w:type="dxa"/>
              <w:left w:w="140" w:type="dxa"/>
              <w:right w:w="140" w:type="dxa"/>
            </w:tcMar>
            <w:shd w:fill="FFFFFF"/>
          </w:tcPr>
          <w:p>
            <w:pPr>
              <w:jc w:val="center"/>
            </w:pPr>
            <w:r>
              <w:rPr>
                <w:rFonts w:ascii="Times New Roman" w:hAnsi="Times New Roman"/>
                <w:sz w:val="18"/>
              </w:rPr>
              <w:t>Certificate (Page ii)</w:t>
            </w:r>
          </w:p>
        </w:tc>
        <w:tc>
          <w:tcPr>
            <w:tcW w:type="dxa" w:w="3168"/>
            <w:tcMar>
              <w:top w:w="100" w:type="dxa"/>
              <w:bottom w:w="100" w:type="dxa"/>
              <w:left w:w="140" w:type="dxa"/>
              <w:right w:w="140" w:type="dxa"/>
            </w:tcMar>
            <w:shd w:fill="FFFFFF"/>
          </w:tcPr>
          <w:p>
            <w:pPr>
              <w:jc w:val="left"/>
            </w:pPr>
            <w:r>
              <w:rPr>
                <w:rFonts w:ascii="Times New Roman" w:hAnsi="Times New Roman"/>
                <w:sz w:val="18"/>
              </w:rPr>
              <w:t>Dean / HOD signature &amp; SCOPE institutional seal</w:t>
            </w:r>
          </w:p>
        </w:tc>
        <w:tc>
          <w:tcPr>
            <w:tcW w:type="dxa" w:w="1728"/>
            <w:tcMar>
              <w:top w:w="100" w:type="dxa"/>
              <w:bottom w:w="100" w:type="dxa"/>
              <w:left w:w="140" w:type="dxa"/>
              <w:right w:w="140" w:type="dxa"/>
            </w:tcMar>
            <w:shd w:fill="FFFFFF"/>
          </w:tcPr>
          <w:p>
            <w:pPr>
              <w:jc w:val="left"/>
            </w:pPr>
            <w:r>
              <w:rPr>
                <w:rFonts w:ascii="Times New Roman" w:hAnsi="Times New Roman"/>
                <w:sz w:val="18"/>
              </w:rPr>
              <w:t>Dr. Jaisankar N (Dean)</w:t>
            </w:r>
          </w:p>
        </w:tc>
        <w:tc>
          <w:tcPr>
            <w:tcW w:type="dxa" w:w="1152"/>
            <w:tcMar>
              <w:top w:w="100" w:type="dxa"/>
              <w:bottom w:w="100" w:type="dxa"/>
              <w:left w:w="140" w:type="dxa"/>
              <w:right w:w="140" w:type="dxa"/>
            </w:tcMar>
            <w:shd w:fill="FFFFFF"/>
          </w:tcPr>
          <w:p>
            <w:pPr>
              <w:jc w:val="center"/>
            </w:pPr>
            <w:r>
              <w:rPr>
                <w:rFonts w:ascii="Times New Roman" w:hAnsi="Times New Roman"/>
                <w:b/>
                <w:color w:val="DC2626"/>
                <w:sz w:val="18"/>
              </w:rPr>
              <w:t>PENDING SUBMISSION</w:t>
            </w:r>
          </w:p>
        </w:tc>
      </w:tr>
      <w:tr>
        <w:trPr>
          <w:cantSplit/>
        </w:trPr>
        <w:tc>
          <w:tcPr>
            <w:tcW w:type="dxa" w:w="1152"/>
            <w:tcMar>
              <w:top w:w="100" w:type="dxa"/>
              <w:bottom w:w="100" w:type="dxa"/>
              <w:left w:w="140" w:type="dxa"/>
              <w:right w:w="140" w:type="dxa"/>
            </w:tcMar>
            <w:shd w:fill="F9FAFB"/>
          </w:tcPr>
          <w:p>
            <w:pPr>
              <w:jc w:val="center"/>
            </w:pPr>
            <w:r>
              <w:rPr>
                <w:rFonts w:ascii="Times New Roman" w:hAnsi="Times New Roman"/>
                <w:sz w:val="18"/>
              </w:rPr>
              <w:t>ADM-08</w:t>
            </w:r>
          </w:p>
        </w:tc>
        <w:tc>
          <w:tcPr>
            <w:tcW w:type="dxa" w:w="1728"/>
            <w:tcMar>
              <w:top w:w="100" w:type="dxa"/>
              <w:bottom w:w="100" w:type="dxa"/>
              <w:left w:w="140" w:type="dxa"/>
              <w:right w:w="140" w:type="dxa"/>
            </w:tcMar>
            <w:shd w:fill="F9FAFB"/>
          </w:tcPr>
          <w:p>
            <w:pPr>
              <w:jc w:val="center"/>
            </w:pPr>
            <w:r>
              <w:rPr>
                <w:rFonts w:ascii="Times New Roman" w:hAnsi="Times New Roman"/>
                <w:sz w:val="18"/>
              </w:rPr>
              <w:t>Review Details</w:t>
            </w:r>
          </w:p>
        </w:tc>
        <w:tc>
          <w:tcPr>
            <w:tcW w:type="dxa" w:w="3168"/>
            <w:tcMar>
              <w:top w:w="100" w:type="dxa"/>
              <w:bottom w:w="100" w:type="dxa"/>
              <w:left w:w="140" w:type="dxa"/>
              <w:right w:w="140" w:type="dxa"/>
            </w:tcMar>
            <w:shd w:fill="F9FAFB"/>
          </w:tcPr>
          <w:p>
            <w:pPr>
              <w:jc w:val="left"/>
            </w:pPr>
            <w:r>
              <w:rPr>
                <w:rFonts w:ascii="Times New Roman" w:hAnsi="Times New Roman"/>
                <w:sz w:val="18"/>
              </w:rPr>
              <w:t>Verify Panel P028, SJT505 venue, 28 Oct 2026 @ 11:30 AM</w:t>
            </w:r>
          </w:p>
        </w:tc>
        <w:tc>
          <w:tcPr>
            <w:tcW w:type="dxa" w:w="1728"/>
            <w:tcMar>
              <w:top w:w="100" w:type="dxa"/>
              <w:bottom w:w="100" w:type="dxa"/>
              <w:left w:w="140" w:type="dxa"/>
              <w:right w:w="140" w:type="dxa"/>
            </w:tcMar>
            <w:shd w:fill="F9FAFB"/>
          </w:tcPr>
          <w:p>
            <w:pPr>
              <w:jc w:val="left"/>
            </w:pPr>
            <w:r>
              <w:rPr>
                <w:rFonts w:ascii="Times New Roman" w:hAnsi="Times New Roman"/>
                <w:sz w:val="18"/>
              </w:rPr>
              <w:t>Student Team</w:t>
            </w:r>
          </w:p>
        </w:tc>
        <w:tc>
          <w:tcPr>
            <w:tcW w:type="dxa" w:w="1152"/>
            <w:tcMar>
              <w:top w:w="100" w:type="dxa"/>
              <w:bottom w:w="100" w:type="dxa"/>
              <w:left w:w="140" w:type="dxa"/>
              <w:right w:w="140" w:type="dxa"/>
            </w:tcMar>
            <w:shd w:fill="F9FAFB"/>
          </w:tcPr>
          <w:p>
            <w:pPr>
              <w:jc w:val="center"/>
            </w:pPr>
            <w:r>
              <w:rPr>
                <w:rFonts w:ascii="Times New Roman" w:hAnsi="Times New Roman"/>
                <w:b/>
                <w:color w:val="059669"/>
                <w:sz w:val="18"/>
              </w:rPr>
              <w:t>CONFIRMED ACCURATE</w:t>
            </w:r>
          </w:p>
        </w:tc>
      </w:tr>
    </w:tbl>
    <w:p>
      <w:pPr>
        <w:keepNext/>
        <w:spacing w:before="320" w:after="80"/>
      </w:pPr>
      <w:r>
        <w:rPr>
          <w:rFonts w:ascii="Times New Roman" w:hAnsi="Times New Roman"/>
          <w:b/>
          <w:color w:val="1E3A8A"/>
          <w:sz w:val="23"/>
        </w:rPr>
        <w:t>3. CODEBASE VERIFICATION &amp; TECHNICAL AUDIT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0"/>
        <w:gridCol w:w="2250"/>
        <w:gridCol w:w="2250"/>
        <w:gridCol w:w="2250"/>
      </w:tblGrid>
      <w:tr>
        <w:trPr>
          <w:tblHeader/>
          <w:cantSplit/>
        </w:trPr>
        <w:tc>
          <w:tcPr>
            <w:tcW w:type="dxa" w:w="1728"/>
            <w:tcMar>
              <w:top w:w="120" w:type="dxa"/>
              <w:bottom w:w="120" w:type="dxa"/>
              <w:left w:w="140" w:type="dxa"/>
              <w:right w:w="140" w:type="dxa"/>
            </w:tcMar>
            <w:shd w:fill="1E3A8A"/>
          </w:tcPr>
          <w:p>
            <w:pPr>
              <w:jc w:val="center"/>
            </w:pPr>
            <w:r>
              <w:rPr>
                <w:rFonts w:ascii="Times New Roman" w:hAnsi="Times New Roman"/>
                <w:b/>
                <w:color w:val="FFFFFF"/>
                <w:sz w:val="19"/>
              </w:rPr>
              <w:t>Technical Subsystem</w:t>
            </w:r>
          </w:p>
        </w:tc>
        <w:tc>
          <w:tcPr>
            <w:tcW w:type="dxa" w:w="2304"/>
            <w:tcMar>
              <w:top w:w="120" w:type="dxa"/>
              <w:bottom w:w="120" w:type="dxa"/>
              <w:left w:w="140" w:type="dxa"/>
              <w:right w:w="140" w:type="dxa"/>
            </w:tcMar>
            <w:shd w:fill="1E3A8A"/>
          </w:tcPr>
          <w:p>
            <w:pPr>
              <w:jc w:val="center"/>
            </w:pPr>
            <w:r>
              <w:rPr>
                <w:rFonts w:ascii="Times New Roman" w:hAnsi="Times New Roman"/>
                <w:b/>
                <w:color w:val="FFFFFF"/>
                <w:sz w:val="19"/>
              </w:rPr>
              <w:t>Claim in Report</w:t>
            </w:r>
          </w:p>
        </w:tc>
        <w:tc>
          <w:tcPr>
            <w:tcW w:type="dxa" w:w="2880"/>
            <w:tcMar>
              <w:top w:w="120" w:type="dxa"/>
              <w:bottom w:w="120" w:type="dxa"/>
              <w:left w:w="140" w:type="dxa"/>
              <w:right w:w="140" w:type="dxa"/>
            </w:tcMar>
            <w:shd w:fill="1E3A8A"/>
          </w:tcPr>
          <w:p>
            <w:pPr>
              <w:jc w:val="center"/>
            </w:pPr>
            <w:r>
              <w:rPr>
                <w:rFonts w:ascii="Times New Roman" w:hAnsi="Times New Roman"/>
                <w:b/>
                <w:color w:val="FFFFFF"/>
                <w:sz w:val="19"/>
              </w:rPr>
              <w:t>Repository Ground Truth State</w:t>
            </w:r>
          </w:p>
        </w:tc>
        <w:tc>
          <w:tcPr>
            <w:tcW w:type="dxa" w:w="2016"/>
            <w:tcMar>
              <w:top w:w="120" w:type="dxa"/>
              <w:bottom w:w="120" w:type="dxa"/>
              <w:left w:w="140" w:type="dxa"/>
              <w:right w:w="140" w:type="dxa"/>
            </w:tcMar>
            <w:shd w:fill="1E3A8A"/>
          </w:tcPr>
          <w:p>
            <w:pPr>
              <w:jc w:val="center"/>
            </w:pPr>
            <w:r>
              <w:rPr>
                <w:rFonts w:ascii="Times New Roman" w:hAnsi="Times New Roman"/>
                <w:b/>
                <w:color w:val="FFFFFF"/>
                <w:sz w:val="19"/>
              </w:rPr>
              <w:t>Audit Finding</w:t>
            </w:r>
          </w:p>
        </w:tc>
      </w:tr>
      <w:tr>
        <w:trPr>
          <w:cantSplit/>
        </w:trPr>
        <w:tc>
          <w:tcPr>
            <w:tcW w:type="dxa" w:w="1728"/>
            <w:tcMar>
              <w:top w:w="100" w:type="dxa"/>
              <w:bottom w:w="100" w:type="dxa"/>
              <w:left w:w="140" w:type="dxa"/>
              <w:right w:w="140" w:type="dxa"/>
            </w:tcMar>
            <w:shd w:fill="FFFFFF"/>
          </w:tcPr>
          <w:p>
            <w:pPr>
              <w:jc w:val="left"/>
            </w:pPr>
            <w:r>
              <w:rPr>
                <w:rFonts w:ascii="Times New Roman" w:hAnsi="Times New Roman"/>
                <w:b/>
                <w:sz w:val="18"/>
              </w:rPr>
              <w:t>Object Detector</w:t>
            </w:r>
          </w:p>
        </w:tc>
        <w:tc>
          <w:tcPr>
            <w:tcW w:type="dxa" w:w="2304"/>
            <w:tcMar>
              <w:top w:w="100" w:type="dxa"/>
              <w:bottom w:w="100" w:type="dxa"/>
              <w:left w:w="140" w:type="dxa"/>
              <w:right w:w="140" w:type="dxa"/>
            </w:tcMar>
            <w:shd w:fill="FFFFFF"/>
          </w:tcPr>
          <w:p>
            <w:pPr>
              <w:jc w:val="left"/>
            </w:pPr>
            <w:r>
              <w:rPr>
                <w:rFonts w:ascii="Times New Roman" w:hAnsi="Times New Roman"/>
                <w:sz w:val="18"/>
              </w:rPr>
              <w:t>End-to-End NMS-Free YOLO (2,434,188 parameters, 9.43 MB ONNX).</w:t>
            </w:r>
          </w:p>
        </w:tc>
        <w:tc>
          <w:tcPr>
            <w:tcW w:type="dxa" w:w="2880"/>
            <w:tcMar>
              <w:top w:w="100" w:type="dxa"/>
              <w:bottom w:w="100" w:type="dxa"/>
              <w:left w:w="140" w:type="dxa"/>
              <w:right w:w="140" w:type="dxa"/>
            </w:tcMar>
            <w:shd w:fill="FFFFFF"/>
          </w:tcPr>
          <w:p>
            <w:pPr>
              <w:jc w:val="left"/>
            </w:pPr>
            <w:r>
              <w:rPr>
                <w:rFonts w:ascii="Times New Roman" w:hAnsi="Times New Roman"/>
                <w:sz w:val="18"/>
              </w:rPr>
              <w:t>public/models/yolo26n.onnx verified; possesses YOLOv10-Nano dual assignment topology.</w:t>
            </w:r>
          </w:p>
        </w:tc>
        <w:tc>
          <w:tcPr>
            <w:tcW w:type="dxa" w:w="2016"/>
            <w:tcMar>
              <w:top w:w="100" w:type="dxa"/>
              <w:bottom w:w="100" w:type="dxa"/>
              <w:left w:w="140" w:type="dxa"/>
              <w:right w:w="140" w:type="dxa"/>
            </w:tcMar>
            <w:shd w:fill="FFFFFF"/>
          </w:tcPr>
          <w:p>
            <w:pPr>
              <w:jc w:val="left"/>
            </w:pPr>
            <w:r>
              <w:rPr>
                <w:rFonts w:ascii="Times New Roman" w:hAnsi="Times New Roman"/>
                <w:b/>
                <w:color w:val="059669"/>
                <w:sz w:val="18"/>
              </w:rPr>
              <w:t>VERIFIED ACCURATE: Avoids claiming nonexistent official 'YOLO26'.</w:t>
            </w:r>
          </w:p>
        </w:tc>
      </w:tr>
      <w:tr>
        <w:trPr>
          <w:cantSplit/>
        </w:trPr>
        <w:tc>
          <w:tcPr>
            <w:tcW w:type="dxa" w:w="1728"/>
            <w:tcMar>
              <w:top w:w="100" w:type="dxa"/>
              <w:bottom w:w="100" w:type="dxa"/>
              <w:left w:w="140" w:type="dxa"/>
              <w:right w:w="140" w:type="dxa"/>
            </w:tcMar>
            <w:shd w:fill="F9FAFB"/>
          </w:tcPr>
          <w:p>
            <w:pPr>
              <w:jc w:val="left"/>
            </w:pPr>
            <w:r>
              <w:rPr>
                <w:rFonts w:ascii="Times New Roman" w:hAnsi="Times New Roman"/>
                <w:b/>
                <w:sz w:val="18"/>
              </w:rPr>
              <w:t>Multi-Target Tracking</w:t>
            </w:r>
          </w:p>
        </w:tc>
        <w:tc>
          <w:tcPr>
            <w:tcW w:type="dxa" w:w="2304"/>
            <w:tcMar>
              <w:top w:w="100" w:type="dxa"/>
              <w:bottom w:w="100" w:type="dxa"/>
              <w:left w:w="140" w:type="dxa"/>
              <w:right w:w="140" w:type="dxa"/>
            </w:tcMar>
            <w:shd w:fill="F9FAFB"/>
          </w:tcPr>
          <w:p>
            <w:pPr>
              <w:jc w:val="left"/>
            </w:pPr>
            <w:r>
              <w:rPr>
                <w:rFonts w:ascii="Times New Roman" w:hAnsi="Times New Roman"/>
                <w:sz w:val="18"/>
              </w:rPr>
              <w:t>Two-stage ByteTrack with Kalman filtering and greedy IoU matching.</w:t>
            </w:r>
          </w:p>
        </w:tc>
        <w:tc>
          <w:tcPr>
            <w:tcW w:type="dxa" w:w="2880"/>
            <w:tcMar>
              <w:top w:w="100" w:type="dxa"/>
              <w:bottom w:w="100" w:type="dxa"/>
              <w:left w:w="140" w:type="dxa"/>
              <w:right w:w="140" w:type="dxa"/>
            </w:tcMar>
            <w:shd w:fill="F9FAFB"/>
          </w:tcPr>
          <w:p>
            <w:pPr>
              <w:jc w:val="left"/>
            </w:pPr>
            <w:r>
              <w:rPr>
                <w:rFonts w:ascii="Times New Roman" w:hAnsi="Times New Roman"/>
                <w:sz w:val="18"/>
              </w:rPr>
              <w:t>Implemented in visionsense/bytetrack.py and src/tracking/bytetrack.ts.</w:t>
            </w:r>
          </w:p>
        </w:tc>
        <w:tc>
          <w:tcPr>
            <w:tcW w:type="dxa" w:w="2016"/>
            <w:tcMar>
              <w:top w:w="100" w:type="dxa"/>
              <w:bottom w:w="100" w:type="dxa"/>
              <w:left w:w="140" w:type="dxa"/>
              <w:right w:w="140" w:type="dxa"/>
            </w:tcMar>
            <w:shd w:fill="F9FAFB"/>
          </w:tcPr>
          <w:p>
            <w:pPr>
              <w:jc w:val="left"/>
            </w:pPr>
            <w:r>
              <w:rPr>
                <w:rFonts w:ascii="Times New Roman" w:hAnsi="Times New Roman"/>
                <w:b/>
                <w:color w:val="059669"/>
                <w:sz w:val="18"/>
              </w:rPr>
              <w:t>VERIFIED ACCURATE: Code-inspected and tested across sequential frames.</w:t>
            </w:r>
          </w:p>
        </w:tc>
      </w:tr>
      <w:tr>
        <w:trPr>
          <w:cantSplit/>
        </w:trPr>
        <w:tc>
          <w:tcPr>
            <w:tcW w:type="dxa" w:w="1728"/>
            <w:tcMar>
              <w:top w:w="100" w:type="dxa"/>
              <w:bottom w:w="100" w:type="dxa"/>
              <w:left w:w="140" w:type="dxa"/>
              <w:right w:w="140" w:type="dxa"/>
            </w:tcMar>
            <w:shd w:fill="FFFFFF"/>
          </w:tcPr>
          <w:p>
            <w:pPr>
              <w:jc w:val="left"/>
            </w:pPr>
            <w:r>
              <w:rPr>
                <w:rFonts w:ascii="Times New Roman" w:hAnsi="Times New Roman"/>
                <w:b/>
                <w:sz w:val="18"/>
              </w:rPr>
              <w:t>Optical Flow Motion</w:t>
            </w:r>
          </w:p>
        </w:tc>
        <w:tc>
          <w:tcPr>
            <w:tcW w:type="dxa" w:w="2304"/>
            <w:tcMar>
              <w:top w:w="100" w:type="dxa"/>
              <w:bottom w:w="100" w:type="dxa"/>
              <w:left w:w="140" w:type="dxa"/>
              <w:right w:w="140" w:type="dxa"/>
            </w:tcMar>
            <w:shd w:fill="FFFFFF"/>
          </w:tcPr>
          <w:p>
            <w:pPr>
              <w:jc w:val="left"/>
            </w:pPr>
            <w:r>
              <w:rPr>
                <w:rFonts w:ascii="Times New Roman" w:hAnsi="Times New Roman"/>
                <w:sz w:val="18"/>
              </w:rPr>
              <w:t>Farneback dense flow (48x27 grid) in Python; regularized Lucas-Kanade in TS.</w:t>
            </w:r>
          </w:p>
        </w:tc>
        <w:tc>
          <w:tcPr>
            <w:tcW w:type="dxa" w:w="2880"/>
            <w:tcMar>
              <w:top w:w="100" w:type="dxa"/>
              <w:bottom w:w="100" w:type="dxa"/>
              <w:left w:w="140" w:type="dxa"/>
              <w:right w:w="140" w:type="dxa"/>
            </w:tcMar>
            <w:shd w:fill="FFFFFF"/>
          </w:tcPr>
          <w:p>
            <w:pPr>
              <w:jc w:val="left"/>
            </w:pPr>
            <w:r>
              <w:rPr>
                <w:rFonts w:ascii="Times New Roman" w:hAnsi="Times New Roman"/>
                <w:sz w:val="18"/>
              </w:rPr>
              <w:t>Implemented in visionsense/optical_flow.py and src/cv/denseOpticalFlow.ts.</w:t>
            </w:r>
          </w:p>
        </w:tc>
        <w:tc>
          <w:tcPr>
            <w:tcW w:type="dxa" w:w="2016"/>
            <w:tcMar>
              <w:top w:w="100" w:type="dxa"/>
              <w:bottom w:w="100" w:type="dxa"/>
              <w:left w:w="140" w:type="dxa"/>
              <w:right w:w="140" w:type="dxa"/>
            </w:tcMar>
            <w:shd w:fill="FFFFFF"/>
          </w:tcPr>
          <w:p>
            <w:pPr>
              <w:jc w:val="left"/>
            </w:pPr>
            <w:r>
              <w:rPr>
                <w:rFonts w:ascii="Times New Roman" w:hAnsi="Times New Roman"/>
                <w:b/>
                <w:color w:val="059669"/>
                <w:sz w:val="18"/>
              </w:rPr>
              <w:t>VERIFIED ACCURATE: Dual-path implementations documented distinctly.</w:t>
            </w:r>
          </w:p>
        </w:tc>
      </w:tr>
      <w:tr>
        <w:trPr>
          <w:cantSplit/>
        </w:trPr>
        <w:tc>
          <w:tcPr>
            <w:tcW w:type="dxa" w:w="1728"/>
            <w:tcMar>
              <w:top w:w="100" w:type="dxa"/>
              <w:bottom w:w="100" w:type="dxa"/>
              <w:left w:w="140" w:type="dxa"/>
              <w:right w:w="140" w:type="dxa"/>
            </w:tcMar>
            <w:shd w:fill="F9FAFB"/>
          </w:tcPr>
          <w:p>
            <w:pPr>
              <w:jc w:val="left"/>
            </w:pPr>
            <w:r>
              <w:rPr>
                <w:rFonts w:ascii="Times New Roman" w:hAnsi="Times New Roman"/>
                <w:b/>
                <w:sz w:val="18"/>
              </w:rPr>
              <w:t>Temporal Anomaly Engine</w:t>
            </w:r>
          </w:p>
        </w:tc>
        <w:tc>
          <w:tcPr>
            <w:tcW w:type="dxa" w:w="2304"/>
            <w:tcMar>
              <w:top w:w="100" w:type="dxa"/>
              <w:bottom w:w="100" w:type="dxa"/>
              <w:left w:w="140" w:type="dxa"/>
              <w:right w:w="140" w:type="dxa"/>
            </w:tcMar>
            <w:shd w:fill="F9FAFB"/>
          </w:tcPr>
          <w:p>
            <w:pPr>
              <w:jc w:val="left"/>
            </w:pPr>
            <w:r>
              <w:rPr>
                <w:rFonts w:ascii="Times New Roman" w:hAnsi="Times New Roman"/>
                <w:sz w:val="18"/>
              </w:rPr>
              <w:t>Bi-GRU neural network with attention; heuristic surge/dispersal/bottleneck rules.</w:t>
            </w:r>
          </w:p>
        </w:tc>
        <w:tc>
          <w:tcPr>
            <w:tcW w:type="dxa" w:w="2880"/>
            <w:tcMar>
              <w:top w:w="100" w:type="dxa"/>
              <w:bottom w:w="100" w:type="dxa"/>
              <w:left w:w="140" w:type="dxa"/>
              <w:right w:w="140" w:type="dxa"/>
            </w:tcMar>
            <w:shd w:fill="F9FAFB"/>
          </w:tcPr>
          <w:p>
            <w:pPr>
              <w:jc w:val="left"/>
            </w:pPr>
            <w:r>
              <w:rPr>
                <w:rFonts w:ascii="Times New Roman" w:hAnsi="Times New Roman"/>
                <w:sz w:val="18"/>
              </w:rPr>
              <w:t>Implemented in visionsense/temporal_analysis.py with sliding window K=24.</w:t>
            </w:r>
          </w:p>
        </w:tc>
        <w:tc>
          <w:tcPr>
            <w:tcW w:type="dxa" w:w="2016"/>
            <w:tcMar>
              <w:top w:w="100" w:type="dxa"/>
              <w:bottom w:w="100" w:type="dxa"/>
              <w:left w:w="140" w:type="dxa"/>
              <w:right w:w="140" w:type="dxa"/>
            </w:tcMar>
            <w:shd w:fill="F9FAFB"/>
          </w:tcPr>
          <w:p>
            <w:pPr>
              <w:jc w:val="left"/>
            </w:pPr>
            <w:r>
              <w:rPr>
                <w:rFonts w:ascii="Times New Roman" w:hAnsi="Times New Roman"/>
                <w:b/>
                <w:color w:val="059669"/>
                <w:sz w:val="18"/>
              </w:rPr>
              <w:t>VERIFIED ACCURATE: Both neural model and rule-based fallback active.</w:t>
            </w:r>
          </w:p>
        </w:tc>
      </w:tr>
      <w:tr>
        <w:trPr>
          <w:cantSplit/>
        </w:trPr>
        <w:tc>
          <w:tcPr>
            <w:tcW w:type="dxa" w:w="1728"/>
            <w:tcMar>
              <w:top w:w="100" w:type="dxa"/>
              <w:bottom w:w="100" w:type="dxa"/>
              <w:left w:w="140" w:type="dxa"/>
              <w:right w:w="140" w:type="dxa"/>
            </w:tcMar>
            <w:shd w:fill="FFFFFF"/>
          </w:tcPr>
          <w:p>
            <w:pPr>
              <w:jc w:val="left"/>
            </w:pPr>
            <w:r>
              <w:rPr>
                <w:rFonts w:ascii="Times New Roman" w:hAnsi="Times New Roman"/>
                <w:b/>
                <w:sz w:val="18"/>
              </w:rPr>
              <w:t>Crowd Safety Engine</w:t>
            </w:r>
          </w:p>
        </w:tc>
        <w:tc>
          <w:tcPr>
            <w:tcW w:type="dxa" w:w="2304"/>
            <w:tcMar>
              <w:top w:w="100" w:type="dxa"/>
              <w:bottom w:w="100" w:type="dxa"/>
              <w:left w:w="140" w:type="dxa"/>
              <w:right w:w="140" w:type="dxa"/>
            </w:tcMar>
            <w:shd w:fill="FFFFFF"/>
          </w:tcPr>
          <w:p>
            <w:pPr>
              <w:jc w:val="left"/>
            </w:pPr>
            <w:r>
              <w:rPr>
                <w:rFonts w:ascii="Times New Roman" w:hAnsi="Times New Roman"/>
                <w:sz w:val="18"/>
              </w:rPr>
              <w:t>people_count &lt;= 20 : NORMAL, &gt; 20 : WARNING with 3-frame debouncing &amp; 5.0s cooldown.</w:t>
            </w:r>
          </w:p>
        </w:tc>
        <w:tc>
          <w:tcPr>
            <w:tcW w:type="dxa" w:w="2880"/>
            <w:tcMar>
              <w:top w:w="100" w:type="dxa"/>
              <w:bottom w:w="100" w:type="dxa"/>
              <w:left w:w="140" w:type="dxa"/>
              <w:right w:w="140" w:type="dxa"/>
            </w:tcMar>
            <w:shd w:fill="FFFFFF"/>
          </w:tcPr>
          <w:p>
            <w:pPr>
              <w:jc w:val="left"/>
            </w:pPr>
            <w:r>
              <w:rPr>
                <w:rFonts w:ascii="Times New Roman" w:hAnsi="Times New Roman"/>
                <w:sz w:val="18"/>
              </w:rPr>
              <w:t>Implemented in visionsense/safety_engine.py; verified via automated test suite.</w:t>
            </w:r>
          </w:p>
        </w:tc>
        <w:tc>
          <w:tcPr>
            <w:tcW w:type="dxa" w:w="2016"/>
            <w:tcMar>
              <w:top w:w="100" w:type="dxa"/>
              <w:bottom w:w="100" w:type="dxa"/>
              <w:left w:w="140" w:type="dxa"/>
              <w:right w:w="140" w:type="dxa"/>
            </w:tcMar>
            <w:shd w:fill="FFFFFF"/>
          </w:tcPr>
          <w:p>
            <w:pPr>
              <w:jc w:val="left"/>
            </w:pPr>
            <w:r>
              <w:rPr>
                <w:rFonts w:ascii="Times New Roman" w:hAnsi="Times New Roman"/>
                <w:b/>
                <w:color w:val="059669"/>
                <w:sz w:val="18"/>
              </w:rPr>
              <w:t>VERIFIED ACCURATE: All automated unit tests passed 100%.</w:t>
            </w:r>
          </w:p>
        </w:tc>
      </w:tr>
      <w:tr>
        <w:trPr>
          <w:cantSplit/>
        </w:trPr>
        <w:tc>
          <w:tcPr>
            <w:tcW w:type="dxa" w:w="1728"/>
            <w:tcMar>
              <w:top w:w="100" w:type="dxa"/>
              <w:bottom w:w="100" w:type="dxa"/>
              <w:left w:w="140" w:type="dxa"/>
              <w:right w:w="140" w:type="dxa"/>
            </w:tcMar>
            <w:shd w:fill="F9FAFB"/>
          </w:tcPr>
          <w:p>
            <w:pPr>
              <w:jc w:val="left"/>
            </w:pPr>
            <w:r>
              <w:rPr>
                <w:rFonts w:ascii="Times New Roman" w:hAnsi="Times New Roman"/>
                <w:b/>
                <w:sz w:val="18"/>
              </w:rPr>
              <w:t>Validation Benchmark</w:t>
            </w:r>
          </w:p>
        </w:tc>
        <w:tc>
          <w:tcPr>
            <w:tcW w:type="dxa" w:w="2304"/>
            <w:tcMar>
              <w:top w:w="100" w:type="dxa"/>
              <w:bottom w:w="100" w:type="dxa"/>
              <w:left w:w="140" w:type="dxa"/>
              <w:right w:w="140" w:type="dxa"/>
            </w:tcMar>
            <w:shd w:fill="F9FAFB"/>
          </w:tcPr>
          <w:p>
            <w:pPr>
              <w:jc w:val="left"/>
            </w:pPr>
            <w:r>
              <w:rPr>
                <w:rFonts w:ascii="Times New Roman" w:hAnsi="Times New Roman"/>
                <w:sz w:val="18"/>
              </w:rPr>
              <w:t>15 curated surveillance clips (7 violence, 8 normal) with confusion matrix metrics.</w:t>
            </w:r>
          </w:p>
        </w:tc>
        <w:tc>
          <w:tcPr>
            <w:tcW w:type="dxa" w:w="2880"/>
            <w:tcMar>
              <w:top w:w="100" w:type="dxa"/>
              <w:bottom w:w="100" w:type="dxa"/>
              <w:left w:w="140" w:type="dxa"/>
              <w:right w:w="140" w:type="dxa"/>
            </w:tcMar>
            <w:shd w:fill="F9FAFB"/>
          </w:tcPr>
          <w:p>
            <w:pPr>
              <w:jc w:val="left"/>
            </w:pPr>
            <w:r>
              <w:rPr>
                <w:rFonts w:ascii="Times New Roman" w:hAnsi="Times New Roman"/>
                <w:sz w:val="18"/>
              </w:rPr>
              <w:t>Stored in public/datasets/; automated tests evaluate manifest and metrics.</w:t>
            </w:r>
          </w:p>
        </w:tc>
        <w:tc>
          <w:tcPr>
            <w:tcW w:type="dxa" w:w="2016"/>
            <w:tcMar>
              <w:top w:w="100" w:type="dxa"/>
              <w:bottom w:w="100" w:type="dxa"/>
              <w:left w:w="140" w:type="dxa"/>
              <w:right w:w="140" w:type="dxa"/>
            </w:tcMar>
            <w:shd w:fill="F9FAFB"/>
          </w:tcPr>
          <w:p>
            <w:pPr>
              <w:jc w:val="left"/>
            </w:pPr>
            <w:r>
              <w:rPr>
                <w:rFonts w:ascii="Times New Roman" w:hAnsi="Times New Roman"/>
                <w:b/>
                <w:color w:val="059669"/>
                <w:sz w:val="18"/>
              </w:rPr>
              <w:t>VERIFIED ACCURATE: Explicitly labeled as functional test library.</w:t>
            </w:r>
          </w:p>
        </w:tc>
      </w:tr>
      <w:tr>
        <w:trPr>
          <w:cantSplit/>
        </w:trPr>
        <w:tc>
          <w:tcPr>
            <w:tcW w:type="dxa" w:w="1728"/>
            <w:tcMar>
              <w:top w:w="100" w:type="dxa"/>
              <w:bottom w:w="100" w:type="dxa"/>
              <w:left w:w="140" w:type="dxa"/>
              <w:right w:w="140" w:type="dxa"/>
            </w:tcMar>
            <w:shd w:fill="FFFFFF"/>
          </w:tcPr>
          <w:p>
            <w:pPr>
              <w:jc w:val="left"/>
            </w:pPr>
            <w:r>
              <w:rPr>
                <w:rFonts w:ascii="Times New Roman" w:hAnsi="Times New Roman"/>
                <w:b/>
                <w:sz w:val="18"/>
              </w:rPr>
              <w:t>Public Benchmark Datasets</w:t>
            </w:r>
          </w:p>
        </w:tc>
        <w:tc>
          <w:tcPr>
            <w:tcW w:type="dxa" w:w="2304"/>
            <w:tcMar>
              <w:top w:w="100" w:type="dxa"/>
              <w:bottom w:w="100" w:type="dxa"/>
              <w:left w:w="140" w:type="dxa"/>
              <w:right w:w="140" w:type="dxa"/>
            </w:tcMar>
            <w:shd w:fill="FFFFFF"/>
          </w:tcPr>
          <w:p>
            <w:pPr>
              <w:jc w:val="left"/>
            </w:pPr>
            <w:r>
              <w:rPr>
                <w:rFonts w:ascii="Times New Roman" w:hAnsi="Times New Roman"/>
                <w:sz w:val="18"/>
              </w:rPr>
              <w:t>UCSD Ped2, ShanghaiTech, and MOT17 referenced for future formal evaluation.</w:t>
            </w:r>
          </w:p>
        </w:tc>
        <w:tc>
          <w:tcPr>
            <w:tcW w:type="dxa" w:w="2880"/>
            <w:tcMar>
              <w:top w:w="100" w:type="dxa"/>
              <w:bottom w:w="100" w:type="dxa"/>
              <w:left w:w="140" w:type="dxa"/>
              <w:right w:w="140" w:type="dxa"/>
            </w:tcMar>
            <w:shd w:fill="FFFFFF"/>
          </w:tcPr>
          <w:p>
            <w:pPr>
              <w:jc w:val="left"/>
            </w:pPr>
            <w:r>
              <w:rPr>
                <w:rFonts w:ascii="Times New Roman" w:hAnsi="Times New Roman"/>
                <w:sz w:val="18"/>
              </w:rPr>
              <w:t>Physical video assets not stored in repo; specs cited from primary literature.</w:t>
            </w:r>
          </w:p>
        </w:tc>
        <w:tc>
          <w:tcPr>
            <w:tcW w:type="dxa" w:w="2016"/>
            <w:tcMar>
              <w:top w:w="100" w:type="dxa"/>
              <w:bottom w:w="100" w:type="dxa"/>
              <w:left w:w="140" w:type="dxa"/>
              <w:right w:w="140" w:type="dxa"/>
            </w:tcMar>
            <w:shd w:fill="FFFFFF"/>
          </w:tcPr>
          <w:p>
            <w:pPr>
              <w:jc w:val="left"/>
            </w:pPr>
            <w:r>
              <w:rPr>
                <w:rFonts w:ascii="Times New Roman" w:hAnsi="Times New Roman"/>
                <w:b/>
                <w:color w:val="059669"/>
                <w:sz w:val="18"/>
              </w:rPr>
              <w:t>VERIFIED HONEST: Transparently stated as future controlled GPU execution.</w:t>
            </w:r>
          </w:p>
        </w:tc>
      </w:tr>
    </w:tbl>
    <w:p>
      <w:pPr>
        <w:keepNext/>
        <w:spacing w:before="320" w:after="80"/>
      </w:pPr>
      <w:r>
        <w:rPr>
          <w:rFonts w:ascii="Times New Roman" w:hAnsi="Times New Roman"/>
          <w:b/>
          <w:color w:val="1E3A8A"/>
          <w:sz w:val="23"/>
        </w:rPr>
        <w:t>4. HARD-COPY PRINTING &amp; BINDING GUIDELINES</w:t>
      </w:r>
    </w:p>
    <w:p>
      <w:pPr>
        <w:spacing w:line="276" w:lineRule="auto" w:after="120"/>
        <w:jc w:val="both"/>
      </w:pPr>
      <w:r>
        <w:t>•  Paper Size &amp; Margins: Print on Standard A4 paper (210 x 297 mm) with 100% scale (no 'fit to printable area' downscaling). The left margin is formatted at 1.25 inches to provide ample binding clearance for spiral or hard-cover binding.</w:t>
        <w:br/>
        <w:t>•  Color Printing Recommendation: Color printing is strongly recommended for the 21 figures—specifically the High-Level Architecture (Figure 4.1), DCA/Temporal Subsystem (Figure 4.4), SOC Dashboard (Figure 6.1), Canvas HUD (Figure 6.3), Confusion Matrix (Figure 7.1), and Cost Comparison (Figure 7.3).</w:t>
        <w:br/>
        <w:t>•  Double-Sided vs. Single-Sided: Review university guidelines regarding single-sided vs double-sided binding. Each major chapter and front matter section starts on a fresh page break.</w:t>
        <w:br/>
        <w:t>•  Submission Deadline: Ready for immediate review and submission on 28 October 2026 at 11:30 AM in SJT505.</w:t>
      </w:r>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VIT SCOPE | BCSE497J Project-I Verification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