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8D73" w14:textId="77777777" w:rsidR="0020713F" w:rsidRDefault="0020713F">
      <w:pPr>
        <w:spacing w:before="2000"/>
      </w:pPr>
    </w:p>
    <w:p w14:paraId="252F422E" w14:textId="77777777" w:rsidR="0020713F" w:rsidRDefault="00000000">
      <w:pPr>
        <w:jc w:val="center"/>
      </w:pPr>
      <w:r>
        <w:rPr>
          <w:rFonts w:ascii="Calibri" w:eastAsia="Calibri" w:hAnsi="Calibri" w:cs="Calibri"/>
          <w:b/>
          <w:bCs/>
          <w:color w:val="1F4E78"/>
          <w:sz w:val="56"/>
          <w:szCs w:val="56"/>
        </w:rPr>
        <w:t>Evaluating Pricing Strategies</w:t>
      </w:r>
    </w:p>
    <w:p w14:paraId="210AAA8A" w14:textId="77777777" w:rsidR="0020713F" w:rsidRDefault="00000000">
      <w:pPr>
        <w:spacing w:before="120"/>
        <w:jc w:val="center"/>
      </w:pPr>
      <w:r>
        <w:rPr>
          <w:rFonts w:ascii="Calibri" w:eastAsia="Calibri" w:hAnsi="Calibri" w:cs="Calibri"/>
          <w:b/>
          <w:bCs/>
          <w:color w:val="2E75B6"/>
          <w:sz w:val="40"/>
          <w:szCs w:val="40"/>
        </w:rPr>
        <w:t>Through A/B Testing Analysis</w:t>
      </w:r>
    </w:p>
    <w:p w14:paraId="313D4314" w14:textId="77777777" w:rsidR="0020713F" w:rsidRDefault="00000000">
      <w:pPr>
        <w:spacing w:before="400"/>
        <w:jc w:val="center"/>
      </w:pPr>
      <w:r>
        <w:rPr>
          <w:rFonts w:ascii="Calibri" w:eastAsia="Calibri" w:hAnsi="Calibri" w:cs="Calibri"/>
          <w:i/>
          <w:iCs/>
          <w:color w:val="595959"/>
          <w:sz w:val="26"/>
          <w:szCs w:val="26"/>
        </w:rPr>
        <w:t>An eCommerce Pricing Experimentation Framework</w:t>
      </w:r>
    </w:p>
    <w:p w14:paraId="16433308" w14:textId="77777777" w:rsidR="0020713F" w:rsidRDefault="0020713F">
      <w:pPr>
        <w:spacing w:before="1600"/>
      </w:pPr>
    </w:p>
    <w:p w14:paraId="2B096870" w14:textId="77777777" w:rsidR="0020713F" w:rsidRDefault="00000000">
      <w:pPr>
        <w:jc w:val="center"/>
      </w:pPr>
      <w:r>
        <w:rPr>
          <w:rFonts w:ascii="Calibri" w:eastAsia="Calibri" w:hAnsi="Calibri" w:cs="Calibri"/>
          <w:color w:val="595959"/>
          <w:sz w:val="22"/>
          <w:szCs w:val="22"/>
        </w:rPr>
        <w:t>Week 5 Task — Pricing Strategy Evaluation</w:t>
      </w:r>
    </w:p>
    <w:p w14:paraId="22F862D0" w14:textId="77777777" w:rsidR="0020713F" w:rsidRDefault="00000000">
      <w:pPr>
        <w:spacing w:before="80"/>
        <w:jc w:val="center"/>
      </w:pPr>
      <w:r>
        <w:rPr>
          <w:rFonts w:ascii="Calibri" w:eastAsia="Calibri" w:hAnsi="Calibri" w:cs="Calibri"/>
          <w:color w:val="595959"/>
          <w:sz w:val="22"/>
          <w:szCs w:val="22"/>
        </w:rPr>
        <w:t>Prepared by: Shailesh</w:t>
      </w:r>
    </w:p>
    <w:p w14:paraId="2DF37C09" w14:textId="1FA86263" w:rsidR="0020713F" w:rsidRDefault="00000000">
      <w:pPr>
        <w:spacing w:before="80"/>
        <w:jc w:val="center"/>
      </w:pPr>
      <w:r>
        <w:rPr>
          <w:rFonts w:ascii="Calibri" w:eastAsia="Calibri" w:hAnsi="Calibri" w:cs="Calibri"/>
          <w:color w:val="595959"/>
          <w:sz w:val="22"/>
          <w:szCs w:val="22"/>
        </w:rPr>
        <w:t xml:space="preserve">Dataset: AB_Pricing_Test_Dataset.xlsx </w:t>
      </w:r>
    </w:p>
    <w:p w14:paraId="70EA4121" w14:textId="77777777" w:rsidR="0020713F" w:rsidRDefault="00000000">
      <w:pPr>
        <w:spacing w:before="80"/>
        <w:jc w:val="center"/>
      </w:pPr>
      <w:r>
        <w:rPr>
          <w:rFonts w:ascii="Calibri" w:eastAsia="Calibri" w:hAnsi="Calibri" w:cs="Calibri"/>
          <w:color w:val="595959"/>
          <w:sz w:val="22"/>
          <w:szCs w:val="22"/>
        </w:rPr>
        <w:t>September 2026</w:t>
      </w:r>
    </w:p>
    <w:p w14:paraId="65D1835A" w14:textId="77777777" w:rsidR="0020713F" w:rsidRDefault="0020713F">
      <w:pPr>
        <w:sectPr w:rsidR="0020713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31A8F0FB" w14:textId="77777777" w:rsidR="0020713F" w:rsidRDefault="00000000">
      <w:pPr>
        <w:pStyle w:val="Heading1"/>
      </w:pPr>
      <w:r>
        <w:lastRenderedPageBreak/>
        <w:t>1. Introduction</w:t>
      </w:r>
    </w:p>
    <w:p w14:paraId="3931AC7E" w14:textId="77777777" w:rsidR="0020713F" w:rsidRDefault="00000000">
      <w:pPr>
        <w:spacing w:after="160" w:line="276" w:lineRule="auto"/>
        <w:jc w:val="both"/>
      </w:pPr>
      <w:r>
        <w:rPr>
          <w:rFonts w:ascii="Calibri" w:eastAsia="Calibri" w:hAnsi="Calibri" w:cs="Calibri"/>
          <w:sz w:val="22"/>
          <w:szCs w:val="22"/>
        </w:rPr>
        <w:t>Pricing is one of the highest-leverage decisions an eCommerce business can make: a change of a few percentage points in price directly touches conversion rate, average order value (AOV), margin, and customer lifetime value simultaneously — often in opposing directions. Because pricing effects are rarely intuitive and frequently interact with traffic source, device, and seasonality, controlled experimentation (A/B testing) is the most reliable way to evaluate a pricing strategy before rolling it out to the full customer base.</w:t>
      </w:r>
    </w:p>
    <w:p w14:paraId="41B33969" w14:textId="77777777" w:rsidR="0020713F" w:rsidRDefault="00000000">
      <w:pPr>
        <w:spacing w:after="160" w:line="276" w:lineRule="auto"/>
        <w:jc w:val="both"/>
      </w:pPr>
      <w:r>
        <w:rPr>
          <w:rFonts w:ascii="Calibri" w:eastAsia="Calibri" w:hAnsi="Calibri" w:cs="Calibri"/>
          <w:sz w:val="22"/>
          <w:szCs w:val="22"/>
        </w:rPr>
        <w:t>This report develops a conceptual and statistical framework for testing eCommerce pricing strategies using A/B (and A/B/n) testing, applies that framework to a simulated 500-session dataset covering three pricing arms for a single SKU, and translates the statistical results into a business recommendation. The accompanying workbook, AB_Pricing_Test_Dataset.xlsx, contains the full session-level dataset (Raw Data sheet) and a formula-driven summary dashboard (Summary &amp; Stats sheet) that recalculates automatically if the underlying data changes — every figure quoted in this report can be traced back to that workbook.</w:t>
      </w:r>
    </w:p>
    <w:p w14:paraId="13AE509B" w14:textId="77777777" w:rsidR="0020713F" w:rsidRDefault="00000000">
      <w:pPr>
        <w:pStyle w:val="Heading2"/>
        <w:spacing w:before="240"/>
      </w:pPr>
      <w:r>
        <w:t>1.1 Business Context</w:t>
      </w:r>
    </w:p>
    <w:p w14:paraId="21570D85" w14:textId="77777777" w:rsidR="0020713F" w:rsidRDefault="00000000">
      <w:pPr>
        <w:spacing w:after="160" w:line="276" w:lineRule="auto"/>
        <w:jc w:val="both"/>
      </w:pPr>
      <w:r>
        <w:rPr>
          <w:rFonts w:ascii="Calibri" w:eastAsia="Calibri" w:hAnsi="Calibri" w:cs="Calibri"/>
          <w:sz w:val="22"/>
          <w:szCs w:val="22"/>
        </w:rPr>
        <w:t>The subject SKU is a mid-market wireless headphone priced at a standard list price of $79.99. The business question is whether a discount strategy (lower price to drive volume) or a premium/dynamic pricing strategy (higher price to capture willingness-to-pay) outperforms the status quo, and by which metric "outperform" should be judged — conversion rate, AOV, or total revenue per visitor (RPV).</w:t>
      </w:r>
    </w:p>
    <w:p w14:paraId="23AE7E89" w14:textId="77777777" w:rsidR="0020713F" w:rsidRDefault="00000000">
      <w:pPr>
        <w:pStyle w:val="Heading1"/>
      </w:pPr>
      <w:r>
        <w:t>2. Hypothesis</w:t>
      </w:r>
    </w:p>
    <w:p w14:paraId="783911BA" w14:textId="77777777" w:rsidR="0020713F" w:rsidRDefault="00000000">
      <w:pPr>
        <w:spacing w:after="160" w:line="276" w:lineRule="auto"/>
        <w:jc w:val="both"/>
      </w:pPr>
      <w:r>
        <w:rPr>
          <w:rFonts w:ascii="Calibri" w:eastAsia="Calibri" w:hAnsi="Calibri" w:cs="Calibri"/>
          <w:sz w:val="22"/>
          <w:szCs w:val="22"/>
        </w:rPr>
        <w:t>The experiment is framed as a three-arm test: a Control arm (standard pricing) and two Treatment arms (discount pricing and premium/dynamic pricing). For each treatment we specify a null and alternative hypothesis pair for the two metrics that most directly capture pricing trade-offs: conversion rate and revenue per visitor.</w:t>
      </w:r>
    </w:p>
    <w:p w14:paraId="406A031B" w14:textId="77777777" w:rsidR="0020713F" w:rsidRDefault="00000000">
      <w:pPr>
        <w:pStyle w:val="Heading2"/>
        <w:spacing w:before="240"/>
      </w:pPr>
      <w:r>
        <w:t>2.1 Primary Hypotheses</w:t>
      </w:r>
    </w:p>
    <w:p w14:paraId="3E060A6F" w14:textId="77777777" w:rsidR="0020713F" w:rsidRDefault="00000000">
      <w:pPr>
        <w:pStyle w:val="ListParagraph"/>
        <w:numPr>
          <w:ilvl w:val="0"/>
          <w:numId w:val="1"/>
        </w:numPr>
        <w:spacing w:after="80"/>
      </w:pPr>
      <w:r>
        <w:rPr>
          <w:rFonts w:ascii="Calibri" w:eastAsia="Calibri" w:hAnsi="Calibri" w:cs="Calibri"/>
          <w:sz w:val="22"/>
          <w:szCs w:val="22"/>
        </w:rPr>
        <w:t>H1 (Discount vs. Control) — Null: Discount pricing (-20%) produces the same conversion rate as standard pricing. Alternative: Discount pricing increases conversion rate.</w:t>
      </w:r>
    </w:p>
    <w:p w14:paraId="08CB262F" w14:textId="77777777" w:rsidR="0020713F" w:rsidRDefault="00000000">
      <w:pPr>
        <w:pStyle w:val="ListParagraph"/>
        <w:numPr>
          <w:ilvl w:val="0"/>
          <w:numId w:val="1"/>
        </w:numPr>
        <w:spacing w:after="80"/>
      </w:pPr>
      <w:r>
        <w:rPr>
          <w:rFonts w:ascii="Calibri" w:eastAsia="Calibri" w:hAnsi="Calibri" w:cs="Calibri"/>
          <w:sz w:val="22"/>
          <w:szCs w:val="22"/>
        </w:rPr>
        <w:t>H2 (Premium vs. Control) — Null: Premium/dynamic pricing (+15%) produces the same conversion rate as standard pricing. Alternative: Premium pricing decreases conversion rate but increases average order value.</w:t>
      </w:r>
    </w:p>
    <w:p w14:paraId="74849517" w14:textId="77777777" w:rsidR="0020713F" w:rsidRDefault="00000000">
      <w:pPr>
        <w:pStyle w:val="ListParagraph"/>
        <w:numPr>
          <w:ilvl w:val="0"/>
          <w:numId w:val="1"/>
        </w:numPr>
        <w:spacing w:after="80"/>
      </w:pPr>
      <w:r>
        <w:rPr>
          <w:rFonts w:ascii="Calibri" w:eastAsia="Calibri" w:hAnsi="Calibri" w:cs="Calibri"/>
          <w:sz w:val="22"/>
          <w:szCs w:val="22"/>
        </w:rPr>
        <w:t>H3 (Revenue per Visitor) — Null: Revenue per visitor is equal across all three pricing arms. Alternative: Revenue per visitor differs across arms, identifying a revenue-maximizing price point.</w:t>
      </w:r>
    </w:p>
    <w:p w14:paraId="1D588027" w14:textId="77777777" w:rsidR="0020713F" w:rsidRDefault="00000000">
      <w:pPr>
        <w:spacing w:after="160" w:line="276" w:lineRule="auto"/>
        <w:jc w:val="both"/>
      </w:pPr>
      <w:r>
        <w:rPr>
          <w:rFonts w:ascii="Calibri" w:eastAsia="Calibri" w:hAnsi="Calibri" w:cs="Calibri"/>
          <w:sz w:val="22"/>
          <w:szCs w:val="22"/>
        </w:rPr>
        <w:t>These hypotheses are tested at a 5% significance level (α = 0.05) using two-tailed tests unless a one-directional business rationale is stated explicitly.</w:t>
      </w:r>
    </w:p>
    <w:p w14:paraId="6739281D" w14:textId="77777777" w:rsidR="0020713F" w:rsidRDefault="00000000">
      <w:pPr>
        <w:pStyle w:val="Heading1"/>
      </w:pPr>
      <w:r>
        <w:lastRenderedPageBreak/>
        <w:t>3. Testing Methodology</w:t>
      </w:r>
    </w:p>
    <w:p w14:paraId="16C4D979" w14:textId="77777777" w:rsidR="0020713F" w:rsidRDefault="00000000">
      <w:pPr>
        <w:pStyle w:val="Heading2"/>
        <w:spacing w:before="240"/>
      </w:pPr>
      <w:r>
        <w:t>3.1 Experimental Design</w:t>
      </w:r>
    </w:p>
    <w:p w14:paraId="18D7B0E1" w14:textId="77777777" w:rsidR="0020713F" w:rsidRDefault="00000000">
      <w:pPr>
        <w:spacing w:after="160" w:line="276" w:lineRule="auto"/>
        <w:jc w:val="both"/>
      </w:pPr>
      <w:r>
        <w:rPr>
          <w:rFonts w:ascii="Calibri" w:eastAsia="Calibri" w:hAnsi="Calibri" w:cs="Calibri"/>
          <w:sz w:val="22"/>
          <w:szCs w:val="22"/>
        </w:rPr>
        <w:t>The design is a between-subjects, single-factor (price) experiment with three levels, randomly assigned at the visitor-session level to avoid contamination between arms: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200"/>
        <w:gridCol w:w="2000"/>
      </w:tblGrid>
      <w:tr w:rsidR="0020713F" w14:paraId="17007B77" w14:textId="77777777">
        <w:tblPrEx>
          <w:tblCellMar>
            <w:top w:w="0" w:type="dxa"/>
            <w:bottom w:w="0" w:type="dxa"/>
          </w:tblCellMar>
        </w:tblPrEx>
        <w:trPr>
          <w:tblHeader/>
        </w:trPr>
        <w:tc>
          <w:tcPr>
            <w:tcW w:w="2600" w:type="dxa"/>
            <w:shd w:val="clear" w:color="auto" w:fill="1F4E78"/>
            <w:tcMar>
              <w:top w:w="80" w:type="dxa"/>
              <w:left w:w="100" w:type="dxa"/>
              <w:bottom w:w="80" w:type="dxa"/>
              <w:right w:w="100" w:type="dxa"/>
            </w:tcMar>
            <w:vAlign w:val="center"/>
          </w:tcPr>
          <w:p w14:paraId="25A96AE0" w14:textId="77777777" w:rsidR="0020713F" w:rsidRDefault="00000000">
            <w:pPr>
              <w:jc w:val="center"/>
            </w:pPr>
            <w:r>
              <w:rPr>
                <w:rFonts w:ascii="Calibri" w:eastAsia="Calibri" w:hAnsi="Calibri" w:cs="Calibri"/>
                <w:b/>
                <w:bCs/>
                <w:color w:val="FFFFFF"/>
              </w:rPr>
              <w:t>Arm</w:t>
            </w:r>
          </w:p>
        </w:tc>
        <w:tc>
          <w:tcPr>
            <w:tcW w:w="2600" w:type="dxa"/>
            <w:shd w:val="clear" w:color="auto" w:fill="1F4E78"/>
            <w:tcMar>
              <w:top w:w="80" w:type="dxa"/>
              <w:left w:w="100" w:type="dxa"/>
              <w:bottom w:w="80" w:type="dxa"/>
              <w:right w:w="100" w:type="dxa"/>
            </w:tcMar>
            <w:vAlign w:val="center"/>
          </w:tcPr>
          <w:p w14:paraId="6F75E39F" w14:textId="77777777" w:rsidR="0020713F" w:rsidRDefault="00000000">
            <w:pPr>
              <w:jc w:val="center"/>
            </w:pPr>
            <w:r>
              <w:rPr>
                <w:rFonts w:ascii="Calibri" w:eastAsia="Calibri" w:hAnsi="Calibri" w:cs="Calibri"/>
                <w:b/>
                <w:bCs/>
                <w:color w:val="FFFFFF"/>
              </w:rPr>
              <w:t>Price Shown</w:t>
            </w:r>
          </w:p>
        </w:tc>
        <w:tc>
          <w:tcPr>
            <w:tcW w:w="3200" w:type="dxa"/>
            <w:shd w:val="clear" w:color="auto" w:fill="1F4E78"/>
            <w:tcMar>
              <w:top w:w="80" w:type="dxa"/>
              <w:left w:w="100" w:type="dxa"/>
              <w:bottom w:w="80" w:type="dxa"/>
              <w:right w:w="100" w:type="dxa"/>
            </w:tcMar>
            <w:vAlign w:val="center"/>
          </w:tcPr>
          <w:p w14:paraId="18AA3935" w14:textId="77777777" w:rsidR="0020713F" w:rsidRDefault="00000000">
            <w:pPr>
              <w:jc w:val="center"/>
            </w:pPr>
            <w:r>
              <w:rPr>
                <w:rFonts w:ascii="Calibri" w:eastAsia="Calibri" w:hAnsi="Calibri" w:cs="Calibri"/>
                <w:b/>
                <w:bCs/>
                <w:color w:val="FFFFFF"/>
              </w:rPr>
              <w:t>Role</w:t>
            </w:r>
          </w:p>
        </w:tc>
        <w:tc>
          <w:tcPr>
            <w:tcW w:w="2000" w:type="dxa"/>
            <w:shd w:val="clear" w:color="auto" w:fill="1F4E78"/>
            <w:tcMar>
              <w:top w:w="80" w:type="dxa"/>
              <w:left w:w="100" w:type="dxa"/>
              <w:bottom w:w="80" w:type="dxa"/>
              <w:right w:w="100" w:type="dxa"/>
            </w:tcMar>
            <w:vAlign w:val="center"/>
          </w:tcPr>
          <w:p w14:paraId="55617634" w14:textId="77777777" w:rsidR="0020713F" w:rsidRDefault="00000000">
            <w:pPr>
              <w:jc w:val="center"/>
            </w:pPr>
            <w:r>
              <w:rPr>
                <w:rFonts w:ascii="Calibri" w:eastAsia="Calibri" w:hAnsi="Calibri" w:cs="Calibri"/>
                <w:b/>
                <w:bCs/>
                <w:color w:val="FFFFFF"/>
              </w:rPr>
              <w:t>Sample Size (n)</w:t>
            </w:r>
          </w:p>
        </w:tc>
      </w:tr>
      <w:tr w:rsidR="0020713F" w14:paraId="7030F659" w14:textId="77777777">
        <w:tblPrEx>
          <w:tblCellMar>
            <w:top w:w="0" w:type="dxa"/>
            <w:bottom w:w="0" w:type="dxa"/>
          </w:tblCellMar>
        </w:tblPrEx>
        <w:tc>
          <w:tcPr>
            <w:tcW w:w="2600" w:type="dxa"/>
            <w:tcMar>
              <w:top w:w="80" w:type="dxa"/>
              <w:left w:w="100" w:type="dxa"/>
              <w:bottom w:w="80" w:type="dxa"/>
              <w:right w:w="100" w:type="dxa"/>
            </w:tcMar>
            <w:vAlign w:val="center"/>
          </w:tcPr>
          <w:p w14:paraId="088D3E27" w14:textId="77777777" w:rsidR="0020713F" w:rsidRDefault="00000000">
            <w:r>
              <w:rPr>
                <w:rFonts w:ascii="Calibri" w:eastAsia="Calibri" w:hAnsi="Calibri" w:cs="Calibri"/>
                <w:color w:val="000000"/>
              </w:rPr>
              <w:t>Control</w:t>
            </w:r>
          </w:p>
        </w:tc>
        <w:tc>
          <w:tcPr>
            <w:tcW w:w="2600" w:type="dxa"/>
            <w:tcMar>
              <w:top w:w="80" w:type="dxa"/>
              <w:left w:w="100" w:type="dxa"/>
              <w:bottom w:w="80" w:type="dxa"/>
              <w:right w:w="100" w:type="dxa"/>
            </w:tcMar>
            <w:vAlign w:val="center"/>
          </w:tcPr>
          <w:p w14:paraId="2D96214E" w14:textId="77777777" w:rsidR="0020713F" w:rsidRDefault="00000000">
            <w:pPr>
              <w:jc w:val="center"/>
            </w:pPr>
            <w:r>
              <w:rPr>
                <w:rFonts w:ascii="Calibri" w:eastAsia="Calibri" w:hAnsi="Calibri" w:cs="Calibri"/>
                <w:color w:val="000000"/>
              </w:rPr>
              <w:t>$79.99 (list price)</w:t>
            </w:r>
          </w:p>
        </w:tc>
        <w:tc>
          <w:tcPr>
            <w:tcW w:w="3200" w:type="dxa"/>
            <w:tcMar>
              <w:top w:w="80" w:type="dxa"/>
              <w:left w:w="100" w:type="dxa"/>
              <w:bottom w:w="80" w:type="dxa"/>
              <w:right w:w="100" w:type="dxa"/>
            </w:tcMar>
            <w:vAlign w:val="center"/>
          </w:tcPr>
          <w:p w14:paraId="73887D95" w14:textId="77777777" w:rsidR="0020713F" w:rsidRDefault="00000000">
            <w:pPr>
              <w:jc w:val="center"/>
            </w:pPr>
            <w:r>
              <w:rPr>
                <w:rFonts w:ascii="Calibri" w:eastAsia="Calibri" w:hAnsi="Calibri" w:cs="Calibri"/>
                <w:color w:val="000000"/>
              </w:rPr>
              <w:t>Baseline / status quo</w:t>
            </w:r>
          </w:p>
        </w:tc>
        <w:tc>
          <w:tcPr>
            <w:tcW w:w="2000" w:type="dxa"/>
            <w:tcMar>
              <w:top w:w="80" w:type="dxa"/>
              <w:left w:w="100" w:type="dxa"/>
              <w:bottom w:w="80" w:type="dxa"/>
              <w:right w:w="100" w:type="dxa"/>
            </w:tcMar>
            <w:vAlign w:val="center"/>
          </w:tcPr>
          <w:p w14:paraId="5646AB92" w14:textId="77777777" w:rsidR="0020713F" w:rsidRDefault="00000000">
            <w:pPr>
              <w:jc w:val="center"/>
            </w:pPr>
            <w:r>
              <w:rPr>
                <w:rFonts w:ascii="Calibri" w:eastAsia="Calibri" w:hAnsi="Calibri" w:cs="Calibri"/>
                <w:color w:val="000000"/>
              </w:rPr>
              <w:t>175</w:t>
            </w:r>
          </w:p>
        </w:tc>
      </w:tr>
      <w:tr w:rsidR="0020713F" w14:paraId="50E8D72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167AD45" w14:textId="77777777" w:rsidR="0020713F" w:rsidRDefault="00000000">
            <w:r>
              <w:rPr>
                <w:rFonts w:ascii="Calibri" w:eastAsia="Calibri" w:hAnsi="Calibri" w:cs="Calibri"/>
                <w:color w:val="000000"/>
              </w:rPr>
              <w:t>Treatment A</w:t>
            </w:r>
          </w:p>
        </w:tc>
        <w:tc>
          <w:tcPr>
            <w:tcW w:w="2600" w:type="dxa"/>
            <w:shd w:val="clear" w:color="auto" w:fill="F2F2F2"/>
            <w:tcMar>
              <w:top w:w="80" w:type="dxa"/>
              <w:left w:w="100" w:type="dxa"/>
              <w:bottom w:w="80" w:type="dxa"/>
              <w:right w:w="100" w:type="dxa"/>
            </w:tcMar>
            <w:vAlign w:val="center"/>
          </w:tcPr>
          <w:p w14:paraId="216EEA23" w14:textId="77777777" w:rsidR="0020713F" w:rsidRDefault="00000000">
            <w:pPr>
              <w:jc w:val="center"/>
            </w:pPr>
            <w:r>
              <w:rPr>
                <w:rFonts w:ascii="Calibri" w:eastAsia="Calibri" w:hAnsi="Calibri" w:cs="Calibri"/>
                <w:color w:val="000000"/>
              </w:rPr>
              <w:t>$63.99 (-20% discount)</w:t>
            </w:r>
          </w:p>
        </w:tc>
        <w:tc>
          <w:tcPr>
            <w:tcW w:w="3200" w:type="dxa"/>
            <w:shd w:val="clear" w:color="auto" w:fill="F2F2F2"/>
            <w:tcMar>
              <w:top w:w="80" w:type="dxa"/>
              <w:left w:w="100" w:type="dxa"/>
              <w:bottom w:w="80" w:type="dxa"/>
              <w:right w:w="100" w:type="dxa"/>
            </w:tcMar>
            <w:vAlign w:val="center"/>
          </w:tcPr>
          <w:p w14:paraId="371911CA" w14:textId="77777777" w:rsidR="0020713F" w:rsidRDefault="00000000">
            <w:pPr>
              <w:jc w:val="center"/>
            </w:pPr>
            <w:r>
              <w:rPr>
                <w:rFonts w:ascii="Calibri" w:eastAsia="Calibri" w:hAnsi="Calibri" w:cs="Calibri"/>
                <w:color w:val="000000"/>
              </w:rPr>
              <w:t>Volume / demand-elasticity test</w:t>
            </w:r>
          </w:p>
        </w:tc>
        <w:tc>
          <w:tcPr>
            <w:tcW w:w="2000" w:type="dxa"/>
            <w:shd w:val="clear" w:color="auto" w:fill="F2F2F2"/>
            <w:tcMar>
              <w:top w:w="80" w:type="dxa"/>
              <w:left w:w="100" w:type="dxa"/>
              <w:bottom w:w="80" w:type="dxa"/>
              <w:right w:w="100" w:type="dxa"/>
            </w:tcMar>
            <w:vAlign w:val="center"/>
          </w:tcPr>
          <w:p w14:paraId="57CC3A63" w14:textId="77777777" w:rsidR="0020713F" w:rsidRDefault="00000000">
            <w:pPr>
              <w:jc w:val="center"/>
            </w:pPr>
            <w:r>
              <w:rPr>
                <w:rFonts w:ascii="Calibri" w:eastAsia="Calibri" w:hAnsi="Calibri" w:cs="Calibri"/>
                <w:color w:val="000000"/>
              </w:rPr>
              <w:t>165</w:t>
            </w:r>
          </w:p>
        </w:tc>
      </w:tr>
      <w:tr w:rsidR="0020713F" w14:paraId="5507250D" w14:textId="77777777">
        <w:tblPrEx>
          <w:tblCellMar>
            <w:top w:w="0" w:type="dxa"/>
            <w:bottom w:w="0" w:type="dxa"/>
          </w:tblCellMar>
        </w:tblPrEx>
        <w:tc>
          <w:tcPr>
            <w:tcW w:w="2600" w:type="dxa"/>
            <w:tcMar>
              <w:top w:w="80" w:type="dxa"/>
              <w:left w:w="100" w:type="dxa"/>
              <w:bottom w:w="80" w:type="dxa"/>
              <w:right w:w="100" w:type="dxa"/>
            </w:tcMar>
            <w:vAlign w:val="center"/>
          </w:tcPr>
          <w:p w14:paraId="0F9308A7" w14:textId="77777777" w:rsidR="0020713F" w:rsidRDefault="00000000">
            <w:r>
              <w:rPr>
                <w:rFonts w:ascii="Calibri" w:eastAsia="Calibri" w:hAnsi="Calibri" w:cs="Calibri"/>
                <w:color w:val="000000"/>
              </w:rPr>
              <w:t>Treatment B</w:t>
            </w:r>
          </w:p>
        </w:tc>
        <w:tc>
          <w:tcPr>
            <w:tcW w:w="2600" w:type="dxa"/>
            <w:tcMar>
              <w:top w:w="80" w:type="dxa"/>
              <w:left w:w="100" w:type="dxa"/>
              <w:bottom w:w="80" w:type="dxa"/>
              <w:right w:w="100" w:type="dxa"/>
            </w:tcMar>
            <w:vAlign w:val="center"/>
          </w:tcPr>
          <w:p w14:paraId="16BFB075" w14:textId="77777777" w:rsidR="0020713F" w:rsidRDefault="00000000">
            <w:pPr>
              <w:jc w:val="center"/>
            </w:pPr>
            <w:r>
              <w:rPr>
                <w:rFonts w:ascii="Calibri" w:eastAsia="Calibri" w:hAnsi="Calibri" w:cs="Calibri"/>
                <w:color w:val="000000"/>
              </w:rPr>
              <w:t>$91.99 (+15% premium)</w:t>
            </w:r>
          </w:p>
        </w:tc>
        <w:tc>
          <w:tcPr>
            <w:tcW w:w="3200" w:type="dxa"/>
            <w:tcMar>
              <w:top w:w="80" w:type="dxa"/>
              <w:left w:w="100" w:type="dxa"/>
              <w:bottom w:w="80" w:type="dxa"/>
              <w:right w:w="100" w:type="dxa"/>
            </w:tcMar>
            <w:vAlign w:val="center"/>
          </w:tcPr>
          <w:p w14:paraId="52E13E69" w14:textId="77777777" w:rsidR="0020713F" w:rsidRDefault="00000000">
            <w:pPr>
              <w:jc w:val="center"/>
            </w:pPr>
            <w:r>
              <w:rPr>
                <w:rFonts w:ascii="Calibri" w:eastAsia="Calibri" w:hAnsi="Calibri" w:cs="Calibri"/>
                <w:color w:val="000000"/>
              </w:rPr>
              <w:t>Margin / willingness-to-pay test</w:t>
            </w:r>
          </w:p>
        </w:tc>
        <w:tc>
          <w:tcPr>
            <w:tcW w:w="2000" w:type="dxa"/>
            <w:tcMar>
              <w:top w:w="80" w:type="dxa"/>
              <w:left w:w="100" w:type="dxa"/>
              <w:bottom w:w="80" w:type="dxa"/>
              <w:right w:w="100" w:type="dxa"/>
            </w:tcMar>
            <w:vAlign w:val="center"/>
          </w:tcPr>
          <w:p w14:paraId="26242E0B" w14:textId="77777777" w:rsidR="0020713F" w:rsidRDefault="00000000">
            <w:pPr>
              <w:jc w:val="center"/>
            </w:pPr>
            <w:r>
              <w:rPr>
                <w:rFonts w:ascii="Calibri" w:eastAsia="Calibri" w:hAnsi="Calibri" w:cs="Calibri"/>
                <w:color w:val="000000"/>
              </w:rPr>
              <w:t>160</w:t>
            </w:r>
          </w:p>
        </w:tc>
      </w:tr>
    </w:tbl>
    <w:p w14:paraId="0E254163" w14:textId="77777777" w:rsidR="0020713F" w:rsidRDefault="00000000">
      <w:pPr>
        <w:spacing w:before="80" w:after="240"/>
        <w:jc w:val="center"/>
      </w:pPr>
      <w:r>
        <w:rPr>
          <w:rFonts w:ascii="Calibri" w:eastAsia="Calibri" w:hAnsi="Calibri" w:cs="Calibri"/>
          <w:i/>
          <w:iCs/>
          <w:color w:val="595959"/>
          <w:sz w:val="18"/>
          <w:szCs w:val="18"/>
        </w:rPr>
        <w:t>Table 1. Experimental arms, pricing, and sample allocation (500 total sessions).</w:t>
      </w:r>
    </w:p>
    <w:p w14:paraId="464A2863" w14:textId="77777777" w:rsidR="0020713F" w:rsidRDefault="00000000">
      <w:pPr>
        <w:spacing w:after="160" w:line="276" w:lineRule="auto"/>
        <w:jc w:val="both"/>
      </w:pPr>
      <w:r>
        <w:rPr>
          <w:rFonts w:ascii="Calibri" w:eastAsia="Calibri" w:hAnsi="Calibri" w:cs="Calibri"/>
          <w:sz w:val="22"/>
          <w:szCs w:val="22"/>
        </w:rPr>
        <w:t>Randomization occurred at the point of first page view, with the assigned price persisted for the visitor's full session (cookie-based) to prevent a visitor from seeing multiple prices. A minimum detectable effect (MDE) calculation should precede any live test: for a baseline conversion rate near 12% and a desired power of 0.80 at α = 0.05, detecting a 3-percentage-point lift requires roughly 900–1,000 sessions per arm — meaningfully more than the 500-session illustrative sample used here. This gap is addressed directly in Section 6 (Recommendations).</w:t>
      </w:r>
    </w:p>
    <w:p w14:paraId="25FC4B5D" w14:textId="77777777" w:rsidR="0020713F" w:rsidRDefault="00000000">
      <w:pPr>
        <w:pStyle w:val="Heading2"/>
        <w:spacing w:before="240"/>
      </w:pPr>
      <w:r>
        <w:t>3.2 Variables Tracked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5000"/>
      </w:tblGrid>
      <w:tr w:rsidR="0020713F" w14:paraId="106D5343" w14:textId="77777777">
        <w:tblPrEx>
          <w:tblCellMar>
            <w:top w:w="0" w:type="dxa"/>
            <w:bottom w:w="0" w:type="dxa"/>
          </w:tblCellMar>
        </w:tblPrEx>
        <w:trPr>
          <w:tblHeader/>
        </w:trPr>
        <w:tc>
          <w:tcPr>
            <w:tcW w:w="3000" w:type="dxa"/>
            <w:shd w:val="clear" w:color="auto" w:fill="1F4E78"/>
            <w:tcMar>
              <w:top w:w="80" w:type="dxa"/>
              <w:left w:w="100" w:type="dxa"/>
              <w:bottom w:w="80" w:type="dxa"/>
              <w:right w:w="100" w:type="dxa"/>
            </w:tcMar>
            <w:vAlign w:val="center"/>
          </w:tcPr>
          <w:p w14:paraId="5AE3E9C1" w14:textId="77777777" w:rsidR="0020713F" w:rsidRDefault="00000000">
            <w:pPr>
              <w:jc w:val="center"/>
            </w:pPr>
            <w:r>
              <w:rPr>
                <w:rFonts w:ascii="Calibri" w:eastAsia="Calibri" w:hAnsi="Calibri" w:cs="Calibri"/>
                <w:b/>
                <w:bCs/>
                <w:color w:val="FFFFFF"/>
              </w:rPr>
              <w:t>Variable</w:t>
            </w:r>
          </w:p>
        </w:tc>
        <w:tc>
          <w:tcPr>
            <w:tcW w:w="2400" w:type="dxa"/>
            <w:shd w:val="clear" w:color="auto" w:fill="1F4E78"/>
            <w:tcMar>
              <w:top w:w="80" w:type="dxa"/>
              <w:left w:w="100" w:type="dxa"/>
              <w:bottom w:w="80" w:type="dxa"/>
              <w:right w:w="100" w:type="dxa"/>
            </w:tcMar>
            <w:vAlign w:val="center"/>
          </w:tcPr>
          <w:p w14:paraId="748B6914" w14:textId="77777777" w:rsidR="0020713F" w:rsidRDefault="00000000">
            <w:pPr>
              <w:jc w:val="center"/>
            </w:pPr>
            <w:r>
              <w:rPr>
                <w:rFonts w:ascii="Calibri" w:eastAsia="Calibri" w:hAnsi="Calibri" w:cs="Calibri"/>
                <w:b/>
                <w:bCs/>
                <w:color w:val="FFFFFF"/>
              </w:rPr>
              <w:t>Type</w:t>
            </w:r>
          </w:p>
        </w:tc>
        <w:tc>
          <w:tcPr>
            <w:tcW w:w="5000" w:type="dxa"/>
            <w:shd w:val="clear" w:color="auto" w:fill="1F4E78"/>
            <w:tcMar>
              <w:top w:w="80" w:type="dxa"/>
              <w:left w:w="100" w:type="dxa"/>
              <w:bottom w:w="80" w:type="dxa"/>
              <w:right w:w="100" w:type="dxa"/>
            </w:tcMar>
            <w:vAlign w:val="center"/>
          </w:tcPr>
          <w:p w14:paraId="234B078C" w14:textId="77777777" w:rsidR="0020713F" w:rsidRDefault="00000000">
            <w:pPr>
              <w:jc w:val="center"/>
            </w:pPr>
            <w:r>
              <w:rPr>
                <w:rFonts w:ascii="Calibri" w:eastAsia="Calibri" w:hAnsi="Calibri" w:cs="Calibri"/>
                <w:b/>
                <w:bCs/>
                <w:color w:val="FFFFFF"/>
              </w:rPr>
              <w:t>Purpose</w:t>
            </w:r>
          </w:p>
        </w:tc>
      </w:tr>
      <w:tr w:rsidR="0020713F" w14:paraId="56B4CD95" w14:textId="77777777">
        <w:tblPrEx>
          <w:tblCellMar>
            <w:top w:w="0" w:type="dxa"/>
            <w:bottom w:w="0" w:type="dxa"/>
          </w:tblCellMar>
        </w:tblPrEx>
        <w:tc>
          <w:tcPr>
            <w:tcW w:w="3000" w:type="dxa"/>
            <w:tcMar>
              <w:top w:w="80" w:type="dxa"/>
              <w:left w:w="100" w:type="dxa"/>
              <w:bottom w:w="80" w:type="dxa"/>
              <w:right w:w="100" w:type="dxa"/>
            </w:tcMar>
            <w:vAlign w:val="center"/>
          </w:tcPr>
          <w:p w14:paraId="4D1FFD2B" w14:textId="77777777" w:rsidR="0020713F" w:rsidRDefault="00000000">
            <w:r>
              <w:rPr>
                <w:rFonts w:ascii="Calibri" w:eastAsia="Calibri" w:hAnsi="Calibri" w:cs="Calibri"/>
                <w:color w:val="000000"/>
              </w:rPr>
              <w:t>Group / price shown</w:t>
            </w:r>
          </w:p>
        </w:tc>
        <w:tc>
          <w:tcPr>
            <w:tcW w:w="2400" w:type="dxa"/>
            <w:tcMar>
              <w:top w:w="80" w:type="dxa"/>
              <w:left w:w="100" w:type="dxa"/>
              <w:bottom w:w="80" w:type="dxa"/>
              <w:right w:w="100" w:type="dxa"/>
            </w:tcMar>
            <w:vAlign w:val="center"/>
          </w:tcPr>
          <w:p w14:paraId="5F402D91" w14:textId="77777777" w:rsidR="0020713F" w:rsidRDefault="00000000">
            <w:pPr>
              <w:jc w:val="center"/>
            </w:pPr>
            <w:r>
              <w:rPr>
                <w:rFonts w:ascii="Calibri" w:eastAsia="Calibri" w:hAnsi="Calibri" w:cs="Calibri"/>
                <w:color w:val="000000"/>
              </w:rPr>
              <w:t>Independent (categorical)</w:t>
            </w:r>
          </w:p>
        </w:tc>
        <w:tc>
          <w:tcPr>
            <w:tcW w:w="5000" w:type="dxa"/>
            <w:tcMar>
              <w:top w:w="80" w:type="dxa"/>
              <w:left w:w="100" w:type="dxa"/>
              <w:bottom w:w="80" w:type="dxa"/>
              <w:right w:w="100" w:type="dxa"/>
            </w:tcMar>
            <w:vAlign w:val="center"/>
          </w:tcPr>
          <w:p w14:paraId="3C20F070" w14:textId="77777777" w:rsidR="0020713F" w:rsidRDefault="00000000">
            <w:pPr>
              <w:jc w:val="center"/>
            </w:pPr>
            <w:r>
              <w:rPr>
                <w:rFonts w:ascii="Calibri" w:eastAsia="Calibri" w:hAnsi="Calibri" w:cs="Calibri"/>
                <w:color w:val="000000"/>
              </w:rPr>
              <w:t>Defines the experimental arm</w:t>
            </w:r>
          </w:p>
        </w:tc>
      </w:tr>
      <w:tr w:rsidR="0020713F" w14:paraId="3193D96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13F9F3F" w14:textId="77777777" w:rsidR="0020713F" w:rsidRDefault="00000000">
            <w:r>
              <w:rPr>
                <w:rFonts w:ascii="Calibri" w:eastAsia="Calibri" w:hAnsi="Calibri" w:cs="Calibri"/>
                <w:color w:val="000000"/>
              </w:rPr>
              <w:t>Added to cart (0/1)</w:t>
            </w:r>
          </w:p>
        </w:tc>
        <w:tc>
          <w:tcPr>
            <w:tcW w:w="2400" w:type="dxa"/>
            <w:shd w:val="clear" w:color="auto" w:fill="F2F2F2"/>
            <w:tcMar>
              <w:top w:w="80" w:type="dxa"/>
              <w:left w:w="100" w:type="dxa"/>
              <w:bottom w:w="80" w:type="dxa"/>
              <w:right w:w="100" w:type="dxa"/>
            </w:tcMar>
            <w:vAlign w:val="center"/>
          </w:tcPr>
          <w:p w14:paraId="30CD3716" w14:textId="77777777" w:rsidR="0020713F" w:rsidRDefault="00000000">
            <w:pPr>
              <w:jc w:val="center"/>
            </w:pPr>
            <w:r>
              <w:rPr>
                <w:rFonts w:ascii="Calibri" w:eastAsia="Calibri" w:hAnsi="Calibri" w:cs="Calibri"/>
                <w:color w:val="000000"/>
              </w:rPr>
              <w:t>Dependent (funnel)</w:t>
            </w:r>
          </w:p>
        </w:tc>
        <w:tc>
          <w:tcPr>
            <w:tcW w:w="5000" w:type="dxa"/>
            <w:shd w:val="clear" w:color="auto" w:fill="F2F2F2"/>
            <w:tcMar>
              <w:top w:w="80" w:type="dxa"/>
              <w:left w:w="100" w:type="dxa"/>
              <w:bottom w:w="80" w:type="dxa"/>
              <w:right w:w="100" w:type="dxa"/>
            </w:tcMar>
            <w:vAlign w:val="center"/>
          </w:tcPr>
          <w:p w14:paraId="4BC722EE" w14:textId="77777777" w:rsidR="0020713F" w:rsidRDefault="00000000">
            <w:pPr>
              <w:jc w:val="center"/>
            </w:pPr>
            <w:r>
              <w:rPr>
                <w:rFonts w:ascii="Calibri" w:eastAsia="Calibri" w:hAnsi="Calibri" w:cs="Calibri"/>
                <w:color w:val="000000"/>
              </w:rPr>
              <w:t>Upper-funnel engagement signal</w:t>
            </w:r>
          </w:p>
        </w:tc>
      </w:tr>
      <w:tr w:rsidR="0020713F" w14:paraId="11C71794" w14:textId="77777777">
        <w:tblPrEx>
          <w:tblCellMar>
            <w:top w:w="0" w:type="dxa"/>
            <w:bottom w:w="0" w:type="dxa"/>
          </w:tblCellMar>
        </w:tblPrEx>
        <w:tc>
          <w:tcPr>
            <w:tcW w:w="3000" w:type="dxa"/>
            <w:tcMar>
              <w:top w:w="80" w:type="dxa"/>
              <w:left w:w="100" w:type="dxa"/>
              <w:bottom w:w="80" w:type="dxa"/>
              <w:right w:w="100" w:type="dxa"/>
            </w:tcMar>
            <w:vAlign w:val="center"/>
          </w:tcPr>
          <w:p w14:paraId="10092A0E" w14:textId="77777777" w:rsidR="0020713F" w:rsidRDefault="00000000">
            <w:r>
              <w:rPr>
                <w:rFonts w:ascii="Calibri" w:eastAsia="Calibri" w:hAnsi="Calibri" w:cs="Calibri"/>
                <w:color w:val="000000"/>
              </w:rPr>
              <w:t>Converted / purchased (0/1)</w:t>
            </w:r>
          </w:p>
        </w:tc>
        <w:tc>
          <w:tcPr>
            <w:tcW w:w="2400" w:type="dxa"/>
            <w:tcMar>
              <w:top w:w="80" w:type="dxa"/>
              <w:left w:w="100" w:type="dxa"/>
              <w:bottom w:w="80" w:type="dxa"/>
              <w:right w:w="100" w:type="dxa"/>
            </w:tcMar>
            <w:vAlign w:val="center"/>
          </w:tcPr>
          <w:p w14:paraId="4A9F0D70" w14:textId="77777777" w:rsidR="0020713F" w:rsidRDefault="00000000">
            <w:pPr>
              <w:jc w:val="center"/>
            </w:pPr>
            <w:r>
              <w:rPr>
                <w:rFonts w:ascii="Calibri" w:eastAsia="Calibri" w:hAnsi="Calibri" w:cs="Calibri"/>
                <w:color w:val="000000"/>
              </w:rPr>
              <w:t>Dependent (primary)</w:t>
            </w:r>
          </w:p>
        </w:tc>
        <w:tc>
          <w:tcPr>
            <w:tcW w:w="5000" w:type="dxa"/>
            <w:tcMar>
              <w:top w:w="80" w:type="dxa"/>
              <w:left w:w="100" w:type="dxa"/>
              <w:bottom w:w="80" w:type="dxa"/>
              <w:right w:w="100" w:type="dxa"/>
            </w:tcMar>
            <w:vAlign w:val="center"/>
          </w:tcPr>
          <w:p w14:paraId="52D35DEC" w14:textId="77777777" w:rsidR="0020713F" w:rsidRDefault="00000000">
            <w:pPr>
              <w:jc w:val="center"/>
            </w:pPr>
            <w:r>
              <w:rPr>
                <w:rFonts w:ascii="Calibri" w:eastAsia="Calibri" w:hAnsi="Calibri" w:cs="Calibri"/>
                <w:color w:val="000000"/>
              </w:rPr>
              <w:t>Core conversion outcome</w:t>
            </w:r>
          </w:p>
        </w:tc>
      </w:tr>
      <w:tr w:rsidR="0020713F" w14:paraId="4BC931F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DE05160" w14:textId="77777777" w:rsidR="0020713F" w:rsidRDefault="00000000">
            <w:r>
              <w:rPr>
                <w:rFonts w:ascii="Calibri" w:eastAsia="Calibri" w:hAnsi="Calibri" w:cs="Calibri"/>
                <w:color w:val="000000"/>
              </w:rPr>
              <w:t>Order value (USD)</w:t>
            </w:r>
          </w:p>
        </w:tc>
        <w:tc>
          <w:tcPr>
            <w:tcW w:w="2400" w:type="dxa"/>
            <w:shd w:val="clear" w:color="auto" w:fill="F2F2F2"/>
            <w:tcMar>
              <w:top w:w="80" w:type="dxa"/>
              <w:left w:w="100" w:type="dxa"/>
              <w:bottom w:w="80" w:type="dxa"/>
              <w:right w:w="100" w:type="dxa"/>
            </w:tcMar>
            <w:vAlign w:val="center"/>
          </w:tcPr>
          <w:p w14:paraId="419E83BA" w14:textId="77777777" w:rsidR="0020713F" w:rsidRDefault="00000000">
            <w:pPr>
              <w:jc w:val="center"/>
            </w:pPr>
            <w:r>
              <w:rPr>
                <w:rFonts w:ascii="Calibri" w:eastAsia="Calibri" w:hAnsi="Calibri" w:cs="Calibri"/>
                <w:color w:val="000000"/>
              </w:rPr>
              <w:t>Dependent (revenue)</w:t>
            </w:r>
          </w:p>
        </w:tc>
        <w:tc>
          <w:tcPr>
            <w:tcW w:w="5000" w:type="dxa"/>
            <w:shd w:val="clear" w:color="auto" w:fill="F2F2F2"/>
            <w:tcMar>
              <w:top w:w="80" w:type="dxa"/>
              <w:left w:w="100" w:type="dxa"/>
              <w:bottom w:w="80" w:type="dxa"/>
              <w:right w:w="100" w:type="dxa"/>
            </w:tcMar>
            <w:vAlign w:val="center"/>
          </w:tcPr>
          <w:p w14:paraId="793044B8" w14:textId="77777777" w:rsidR="0020713F" w:rsidRDefault="00000000">
            <w:pPr>
              <w:jc w:val="center"/>
            </w:pPr>
            <w:r>
              <w:rPr>
                <w:rFonts w:ascii="Calibri" w:eastAsia="Calibri" w:hAnsi="Calibri" w:cs="Calibri"/>
                <w:color w:val="000000"/>
              </w:rPr>
              <w:t>Drives AOV and revenue-per-visitor</w:t>
            </w:r>
          </w:p>
        </w:tc>
      </w:tr>
      <w:tr w:rsidR="0020713F" w14:paraId="42C968B7" w14:textId="77777777">
        <w:tblPrEx>
          <w:tblCellMar>
            <w:top w:w="0" w:type="dxa"/>
            <w:bottom w:w="0" w:type="dxa"/>
          </w:tblCellMar>
        </w:tblPrEx>
        <w:tc>
          <w:tcPr>
            <w:tcW w:w="3000" w:type="dxa"/>
            <w:tcMar>
              <w:top w:w="80" w:type="dxa"/>
              <w:left w:w="100" w:type="dxa"/>
              <w:bottom w:w="80" w:type="dxa"/>
              <w:right w:w="100" w:type="dxa"/>
            </w:tcMar>
            <w:vAlign w:val="center"/>
          </w:tcPr>
          <w:p w14:paraId="008FAD87" w14:textId="77777777" w:rsidR="0020713F" w:rsidRDefault="00000000">
            <w:r>
              <w:rPr>
                <w:rFonts w:ascii="Calibri" w:eastAsia="Calibri" w:hAnsi="Calibri" w:cs="Calibri"/>
                <w:color w:val="000000"/>
              </w:rPr>
              <w:t>Device type, traffic source</w:t>
            </w:r>
          </w:p>
        </w:tc>
        <w:tc>
          <w:tcPr>
            <w:tcW w:w="2400" w:type="dxa"/>
            <w:tcMar>
              <w:top w:w="80" w:type="dxa"/>
              <w:left w:w="100" w:type="dxa"/>
              <w:bottom w:w="80" w:type="dxa"/>
              <w:right w:w="100" w:type="dxa"/>
            </w:tcMar>
            <w:vAlign w:val="center"/>
          </w:tcPr>
          <w:p w14:paraId="2300B5C3" w14:textId="77777777" w:rsidR="0020713F" w:rsidRDefault="00000000">
            <w:pPr>
              <w:jc w:val="center"/>
            </w:pPr>
            <w:r>
              <w:rPr>
                <w:rFonts w:ascii="Calibri" w:eastAsia="Calibri" w:hAnsi="Calibri" w:cs="Calibri"/>
                <w:color w:val="000000"/>
              </w:rPr>
              <w:t>Covariate</w:t>
            </w:r>
          </w:p>
        </w:tc>
        <w:tc>
          <w:tcPr>
            <w:tcW w:w="5000" w:type="dxa"/>
            <w:tcMar>
              <w:top w:w="80" w:type="dxa"/>
              <w:left w:w="100" w:type="dxa"/>
              <w:bottom w:w="80" w:type="dxa"/>
              <w:right w:w="100" w:type="dxa"/>
            </w:tcMar>
            <w:vAlign w:val="center"/>
          </w:tcPr>
          <w:p w14:paraId="6D49C9A3" w14:textId="77777777" w:rsidR="0020713F" w:rsidRDefault="00000000">
            <w:pPr>
              <w:jc w:val="center"/>
            </w:pPr>
            <w:r>
              <w:rPr>
                <w:rFonts w:ascii="Calibri" w:eastAsia="Calibri" w:hAnsi="Calibri" w:cs="Calibri"/>
                <w:color w:val="000000"/>
              </w:rPr>
              <w:t>Segmentation and confound control</w:t>
            </w:r>
          </w:p>
        </w:tc>
      </w:tr>
      <w:tr w:rsidR="0020713F" w14:paraId="25FCFADF"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3C30554" w14:textId="77777777" w:rsidR="0020713F" w:rsidRDefault="00000000">
            <w:r>
              <w:rPr>
                <w:rFonts w:ascii="Calibri" w:eastAsia="Calibri" w:hAnsi="Calibri" w:cs="Calibri"/>
                <w:color w:val="000000"/>
              </w:rPr>
              <w:t>Session duration, pages viewed</w:t>
            </w:r>
          </w:p>
        </w:tc>
        <w:tc>
          <w:tcPr>
            <w:tcW w:w="2400" w:type="dxa"/>
            <w:shd w:val="clear" w:color="auto" w:fill="F2F2F2"/>
            <w:tcMar>
              <w:top w:w="80" w:type="dxa"/>
              <w:left w:w="100" w:type="dxa"/>
              <w:bottom w:w="80" w:type="dxa"/>
              <w:right w:w="100" w:type="dxa"/>
            </w:tcMar>
            <w:vAlign w:val="center"/>
          </w:tcPr>
          <w:p w14:paraId="2BB040FB" w14:textId="77777777" w:rsidR="0020713F" w:rsidRDefault="00000000">
            <w:pPr>
              <w:jc w:val="center"/>
            </w:pPr>
            <w:r>
              <w:rPr>
                <w:rFonts w:ascii="Calibri" w:eastAsia="Calibri" w:hAnsi="Calibri" w:cs="Calibri"/>
                <w:color w:val="000000"/>
              </w:rPr>
              <w:t>Covariate</w:t>
            </w:r>
          </w:p>
        </w:tc>
        <w:tc>
          <w:tcPr>
            <w:tcW w:w="5000" w:type="dxa"/>
            <w:shd w:val="clear" w:color="auto" w:fill="F2F2F2"/>
            <w:tcMar>
              <w:top w:w="80" w:type="dxa"/>
              <w:left w:w="100" w:type="dxa"/>
              <w:bottom w:w="80" w:type="dxa"/>
              <w:right w:w="100" w:type="dxa"/>
            </w:tcMar>
            <w:vAlign w:val="center"/>
          </w:tcPr>
          <w:p w14:paraId="23B9B261" w14:textId="77777777" w:rsidR="0020713F" w:rsidRDefault="00000000">
            <w:pPr>
              <w:jc w:val="center"/>
            </w:pPr>
            <w:r>
              <w:rPr>
                <w:rFonts w:ascii="Calibri" w:eastAsia="Calibri" w:hAnsi="Calibri" w:cs="Calibri"/>
                <w:color w:val="000000"/>
              </w:rPr>
              <w:t>Engagement / product-page friction</w:t>
            </w:r>
          </w:p>
        </w:tc>
      </w:tr>
    </w:tbl>
    <w:p w14:paraId="7531095C" w14:textId="77777777" w:rsidR="0020713F" w:rsidRDefault="00000000">
      <w:pPr>
        <w:spacing w:before="80" w:after="240"/>
        <w:jc w:val="center"/>
      </w:pPr>
      <w:r>
        <w:rPr>
          <w:rFonts w:ascii="Calibri" w:eastAsia="Calibri" w:hAnsi="Calibri" w:cs="Calibri"/>
          <w:i/>
          <w:iCs/>
          <w:color w:val="595959"/>
          <w:sz w:val="18"/>
          <w:szCs w:val="18"/>
        </w:rPr>
        <w:t>Table 2. Variables captured at the session level in the Raw Data sheet.</w:t>
      </w:r>
    </w:p>
    <w:p w14:paraId="75411225" w14:textId="77777777" w:rsidR="0020713F" w:rsidRDefault="00000000">
      <w:pPr>
        <w:pStyle w:val="Heading2"/>
        <w:spacing w:before="240"/>
      </w:pPr>
      <w:r>
        <w:t>3.3 Statistical Methods</w:t>
      </w:r>
    </w:p>
    <w:p w14:paraId="5C61FBDE" w14:textId="77777777" w:rsidR="0020713F" w:rsidRDefault="00000000">
      <w:pPr>
        <w:pStyle w:val="ListParagraph"/>
        <w:numPr>
          <w:ilvl w:val="0"/>
          <w:numId w:val="1"/>
        </w:numPr>
        <w:spacing w:after="80"/>
      </w:pPr>
      <w:r>
        <w:rPr>
          <w:rFonts w:ascii="Calibri" w:eastAsia="Calibri" w:hAnsi="Calibri" w:cs="Calibri"/>
          <w:sz w:val="22"/>
          <w:szCs w:val="22"/>
        </w:rPr>
        <w:t>Two-proportion z-test — pairwise comparison of conversion rate between two arms.</w:t>
      </w:r>
    </w:p>
    <w:p w14:paraId="3608592D" w14:textId="77777777" w:rsidR="0020713F" w:rsidRDefault="00000000">
      <w:pPr>
        <w:pStyle w:val="ListParagraph"/>
        <w:numPr>
          <w:ilvl w:val="0"/>
          <w:numId w:val="1"/>
        </w:numPr>
        <w:spacing w:after="80"/>
      </w:pPr>
      <w:r>
        <w:rPr>
          <w:rFonts w:ascii="Calibri" w:eastAsia="Calibri" w:hAnsi="Calibri" w:cs="Calibri"/>
          <w:sz w:val="22"/>
          <w:szCs w:val="22"/>
        </w:rPr>
        <w:t>Chi-square test of independence — tests whether conversion is associated with pricing arm across all three groups simultaneously.</w:t>
      </w:r>
    </w:p>
    <w:p w14:paraId="7951F1E7" w14:textId="77777777" w:rsidR="0020713F" w:rsidRDefault="00000000">
      <w:pPr>
        <w:pStyle w:val="ListParagraph"/>
        <w:numPr>
          <w:ilvl w:val="0"/>
          <w:numId w:val="1"/>
        </w:numPr>
        <w:spacing w:after="80"/>
      </w:pPr>
      <w:r>
        <w:rPr>
          <w:rFonts w:ascii="Calibri" w:eastAsia="Calibri" w:hAnsi="Calibri" w:cs="Calibri"/>
          <w:sz w:val="22"/>
          <w:szCs w:val="22"/>
        </w:rPr>
        <w:t>One-way ANOVA — tests whether mean order value differs across the three arms.</w:t>
      </w:r>
    </w:p>
    <w:p w14:paraId="57BA33F6" w14:textId="77777777" w:rsidR="0020713F" w:rsidRDefault="00000000">
      <w:pPr>
        <w:pStyle w:val="ListParagraph"/>
        <w:numPr>
          <w:ilvl w:val="0"/>
          <w:numId w:val="1"/>
        </w:numPr>
        <w:spacing w:after="80"/>
      </w:pPr>
      <w:r>
        <w:rPr>
          <w:rFonts w:ascii="Calibri" w:eastAsia="Calibri" w:hAnsi="Calibri" w:cs="Calibri"/>
          <w:sz w:val="22"/>
          <w:szCs w:val="22"/>
        </w:rPr>
        <w:t>Welch's t-test — pairwise AOV comparison where the two groups have unequal variance (used for Control vs. Premium).</w:t>
      </w:r>
    </w:p>
    <w:p w14:paraId="1D6846C0" w14:textId="77777777" w:rsidR="0020713F" w:rsidRDefault="00000000">
      <w:pPr>
        <w:pStyle w:val="ListParagraph"/>
        <w:numPr>
          <w:ilvl w:val="0"/>
          <w:numId w:val="1"/>
        </w:numPr>
        <w:spacing w:after="80"/>
      </w:pPr>
      <w:r>
        <w:rPr>
          <w:rFonts w:ascii="Calibri" w:eastAsia="Calibri" w:hAnsi="Calibri" w:cs="Calibri"/>
          <w:sz w:val="22"/>
          <w:szCs w:val="22"/>
        </w:rPr>
        <w:t>Wilson score confidence intervals — 95% CIs for conversion rate, more reliable than the normal approximation at these sample sizes.</w:t>
      </w:r>
    </w:p>
    <w:p w14:paraId="446EFA2F" w14:textId="77777777" w:rsidR="0020713F" w:rsidRDefault="00000000">
      <w:pPr>
        <w:spacing w:after="160" w:line="276" w:lineRule="auto"/>
        <w:jc w:val="both"/>
      </w:pPr>
      <w:r>
        <w:rPr>
          <w:rFonts w:ascii="Calibri" w:eastAsia="Calibri" w:hAnsi="Calibri" w:cs="Calibri"/>
          <w:sz w:val="22"/>
          <w:szCs w:val="22"/>
        </w:rPr>
        <w:lastRenderedPageBreak/>
        <w:t>All statistical tests were computed in Python (</w:t>
      </w:r>
      <w:proofErr w:type="spellStart"/>
      <w:proofErr w:type="gramStart"/>
      <w:r>
        <w:rPr>
          <w:rFonts w:ascii="Calibri" w:eastAsia="Calibri" w:hAnsi="Calibri" w:cs="Calibri"/>
          <w:sz w:val="22"/>
          <w:szCs w:val="22"/>
        </w:rPr>
        <w:t>scipy.stats</w:t>
      </w:r>
      <w:proofErr w:type="spellEnd"/>
      <w:proofErr w:type="gramEnd"/>
      <w:r>
        <w:rPr>
          <w:rFonts w:ascii="Calibri" w:eastAsia="Calibri" w:hAnsi="Calibri" w:cs="Calibri"/>
          <w:sz w:val="22"/>
          <w:szCs w:val="22"/>
        </w:rPr>
        <w:t>) directly from the session-level dataset; the resulting statistics and p-values are also reproduced on the Summary &amp; Stats sheet of the accompanying workbook for reference.</w:t>
      </w:r>
    </w:p>
    <w:p w14:paraId="7080AD05" w14:textId="77777777" w:rsidR="0020713F" w:rsidRDefault="00000000">
      <w:pPr>
        <w:pStyle w:val="Heading1"/>
      </w:pPr>
      <w:r>
        <w:t>4. Analysis</w:t>
      </w:r>
    </w:p>
    <w:p w14:paraId="137A91C1" w14:textId="77777777" w:rsidR="0020713F" w:rsidRDefault="00000000">
      <w:pPr>
        <w:pStyle w:val="Heading2"/>
        <w:spacing w:before="240"/>
      </w:pPr>
      <w:r>
        <w:t>4.1 Funnel and Conversion Results</w:t>
      </w:r>
    </w:p>
    <w:p w14:paraId="6036532E" w14:textId="77777777" w:rsidR="0020713F" w:rsidRDefault="00000000">
      <w:pPr>
        <w:spacing w:after="160" w:line="276" w:lineRule="auto"/>
        <w:jc w:val="both"/>
      </w:pPr>
      <w:r>
        <w:rPr>
          <w:rFonts w:ascii="Calibri" w:eastAsia="Calibri" w:hAnsi="Calibri" w:cs="Calibri"/>
          <w:sz w:val="22"/>
          <w:szCs w:val="22"/>
        </w:rPr>
        <w:t>Across 500 simulated sessions, the discount arm produced the highest raw conversion rate (15.2%) and the highest add-to-cart rate (38.8%), while the premium arm produced the lowest conversion rate (10.0%). The control arm sat in between (14.3%).</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600"/>
        <w:gridCol w:w="2400"/>
      </w:tblGrid>
      <w:tr w:rsidR="0020713F" w14:paraId="18A8C0A4" w14:textId="77777777">
        <w:tblPrEx>
          <w:tblCellMar>
            <w:top w:w="0" w:type="dxa"/>
            <w:bottom w:w="0" w:type="dxa"/>
          </w:tblCellMar>
        </w:tblPrEx>
        <w:trPr>
          <w:tblHeader/>
        </w:trPr>
        <w:tc>
          <w:tcPr>
            <w:tcW w:w="3000" w:type="dxa"/>
            <w:shd w:val="clear" w:color="auto" w:fill="1F4E78"/>
            <w:tcMar>
              <w:top w:w="80" w:type="dxa"/>
              <w:left w:w="100" w:type="dxa"/>
              <w:bottom w:w="80" w:type="dxa"/>
              <w:right w:w="100" w:type="dxa"/>
            </w:tcMar>
            <w:vAlign w:val="center"/>
          </w:tcPr>
          <w:p w14:paraId="1F220326" w14:textId="77777777" w:rsidR="0020713F" w:rsidRDefault="00000000">
            <w:pPr>
              <w:jc w:val="center"/>
            </w:pPr>
            <w:r>
              <w:rPr>
                <w:rFonts w:ascii="Calibri" w:eastAsia="Calibri" w:hAnsi="Calibri" w:cs="Calibri"/>
                <w:b/>
                <w:bCs/>
                <w:color w:val="FFFFFF"/>
              </w:rPr>
              <w:t>Metric</w:t>
            </w:r>
          </w:p>
        </w:tc>
        <w:tc>
          <w:tcPr>
            <w:tcW w:w="2400" w:type="dxa"/>
            <w:shd w:val="clear" w:color="auto" w:fill="1F4E78"/>
            <w:tcMar>
              <w:top w:w="80" w:type="dxa"/>
              <w:left w:w="100" w:type="dxa"/>
              <w:bottom w:w="80" w:type="dxa"/>
              <w:right w:w="100" w:type="dxa"/>
            </w:tcMar>
            <w:vAlign w:val="center"/>
          </w:tcPr>
          <w:p w14:paraId="76DF90CF" w14:textId="77777777" w:rsidR="0020713F" w:rsidRDefault="00000000">
            <w:pPr>
              <w:jc w:val="center"/>
            </w:pPr>
            <w:r>
              <w:rPr>
                <w:rFonts w:ascii="Calibri" w:eastAsia="Calibri" w:hAnsi="Calibri" w:cs="Calibri"/>
                <w:b/>
                <w:bCs/>
                <w:color w:val="FFFFFF"/>
              </w:rPr>
              <w:t>Control</w:t>
            </w:r>
          </w:p>
        </w:tc>
        <w:tc>
          <w:tcPr>
            <w:tcW w:w="2600" w:type="dxa"/>
            <w:shd w:val="clear" w:color="auto" w:fill="1F4E78"/>
            <w:tcMar>
              <w:top w:w="80" w:type="dxa"/>
              <w:left w:w="100" w:type="dxa"/>
              <w:bottom w:w="80" w:type="dxa"/>
              <w:right w:w="100" w:type="dxa"/>
            </w:tcMar>
            <w:vAlign w:val="center"/>
          </w:tcPr>
          <w:p w14:paraId="79C34464" w14:textId="77777777" w:rsidR="0020713F" w:rsidRDefault="00000000">
            <w:pPr>
              <w:jc w:val="center"/>
            </w:pPr>
            <w:r>
              <w:rPr>
                <w:rFonts w:ascii="Calibri" w:eastAsia="Calibri" w:hAnsi="Calibri" w:cs="Calibri"/>
                <w:b/>
                <w:bCs/>
                <w:color w:val="FFFFFF"/>
              </w:rPr>
              <w:t>Treatment A (Discount)</w:t>
            </w:r>
          </w:p>
        </w:tc>
        <w:tc>
          <w:tcPr>
            <w:tcW w:w="2400" w:type="dxa"/>
            <w:shd w:val="clear" w:color="auto" w:fill="1F4E78"/>
            <w:tcMar>
              <w:top w:w="80" w:type="dxa"/>
              <w:left w:w="100" w:type="dxa"/>
              <w:bottom w:w="80" w:type="dxa"/>
              <w:right w:w="100" w:type="dxa"/>
            </w:tcMar>
            <w:vAlign w:val="center"/>
          </w:tcPr>
          <w:p w14:paraId="53239F72" w14:textId="77777777" w:rsidR="0020713F" w:rsidRDefault="00000000">
            <w:pPr>
              <w:jc w:val="center"/>
            </w:pPr>
            <w:r>
              <w:rPr>
                <w:rFonts w:ascii="Calibri" w:eastAsia="Calibri" w:hAnsi="Calibri" w:cs="Calibri"/>
                <w:b/>
                <w:bCs/>
                <w:color w:val="FFFFFF"/>
              </w:rPr>
              <w:t>Treatment B (Premium)</w:t>
            </w:r>
          </w:p>
        </w:tc>
      </w:tr>
      <w:tr w:rsidR="0020713F" w14:paraId="0A50E538" w14:textId="77777777">
        <w:tblPrEx>
          <w:tblCellMar>
            <w:top w:w="0" w:type="dxa"/>
            <w:bottom w:w="0" w:type="dxa"/>
          </w:tblCellMar>
        </w:tblPrEx>
        <w:tc>
          <w:tcPr>
            <w:tcW w:w="3000" w:type="dxa"/>
            <w:tcMar>
              <w:top w:w="80" w:type="dxa"/>
              <w:left w:w="100" w:type="dxa"/>
              <w:bottom w:w="80" w:type="dxa"/>
              <w:right w:w="100" w:type="dxa"/>
            </w:tcMar>
            <w:vAlign w:val="center"/>
          </w:tcPr>
          <w:p w14:paraId="1CF32075" w14:textId="77777777" w:rsidR="0020713F" w:rsidRDefault="00000000">
            <w:r>
              <w:rPr>
                <w:rFonts w:ascii="Calibri" w:eastAsia="Calibri" w:hAnsi="Calibri" w:cs="Calibri"/>
                <w:color w:val="000000"/>
              </w:rPr>
              <w:t>Visitors (n)</w:t>
            </w:r>
          </w:p>
        </w:tc>
        <w:tc>
          <w:tcPr>
            <w:tcW w:w="2400" w:type="dxa"/>
            <w:tcMar>
              <w:top w:w="80" w:type="dxa"/>
              <w:left w:w="100" w:type="dxa"/>
              <w:bottom w:w="80" w:type="dxa"/>
              <w:right w:w="100" w:type="dxa"/>
            </w:tcMar>
            <w:vAlign w:val="center"/>
          </w:tcPr>
          <w:p w14:paraId="3630E9EB" w14:textId="77777777" w:rsidR="0020713F" w:rsidRDefault="00000000">
            <w:pPr>
              <w:jc w:val="center"/>
            </w:pPr>
            <w:r>
              <w:rPr>
                <w:rFonts w:ascii="Calibri" w:eastAsia="Calibri" w:hAnsi="Calibri" w:cs="Calibri"/>
                <w:color w:val="000000"/>
              </w:rPr>
              <w:t>175</w:t>
            </w:r>
          </w:p>
        </w:tc>
        <w:tc>
          <w:tcPr>
            <w:tcW w:w="2600" w:type="dxa"/>
            <w:tcMar>
              <w:top w:w="80" w:type="dxa"/>
              <w:left w:w="100" w:type="dxa"/>
              <w:bottom w:w="80" w:type="dxa"/>
              <w:right w:w="100" w:type="dxa"/>
            </w:tcMar>
            <w:vAlign w:val="center"/>
          </w:tcPr>
          <w:p w14:paraId="0D8AA5CE" w14:textId="77777777" w:rsidR="0020713F" w:rsidRDefault="00000000">
            <w:pPr>
              <w:jc w:val="center"/>
            </w:pPr>
            <w:r>
              <w:rPr>
                <w:rFonts w:ascii="Calibri" w:eastAsia="Calibri" w:hAnsi="Calibri" w:cs="Calibri"/>
                <w:color w:val="000000"/>
              </w:rPr>
              <w:t>165</w:t>
            </w:r>
          </w:p>
        </w:tc>
        <w:tc>
          <w:tcPr>
            <w:tcW w:w="2400" w:type="dxa"/>
            <w:tcMar>
              <w:top w:w="80" w:type="dxa"/>
              <w:left w:w="100" w:type="dxa"/>
              <w:bottom w:w="80" w:type="dxa"/>
              <w:right w:w="100" w:type="dxa"/>
            </w:tcMar>
            <w:vAlign w:val="center"/>
          </w:tcPr>
          <w:p w14:paraId="1B07839D" w14:textId="77777777" w:rsidR="0020713F" w:rsidRDefault="00000000">
            <w:pPr>
              <w:jc w:val="center"/>
            </w:pPr>
            <w:r>
              <w:rPr>
                <w:rFonts w:ascii="Calibri" w:eastAsia="Calibri" w:hAnsi="Calibri" w:cs="Calibri"/>
                <w:color w:val="000000"/>
              </w:rPr>
              <w:t>160</w:t>
            </w:r>
          </w:p>
        </w:tc>
      </w:tr>
      <w:tr w:rsidR="0020713F" w14:paraId="4F22DBA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C765E3F" w14:textId="77777777" w:rsidR="0020713F" w:rsidRDefault="00000000">
            <w:r>
              <w:rPr>
                <w:rFonts w:ascii="Calibri" w:eastAsia="Calibri" w:hAnsi="Calibri" w:cs="Calibri"/>
                <w:color w:val="000000"/>
              </w:rPr>
              <w:t>Add-to-cart rate</w:t>
            </w:r>
          </w:p>
        </w:tc>
        <w:tc>
          <w:tcPr>
            <w:tcW w:w="2400" w:type="dxa"/>
            <w:shd w:val="clear" w:color="auto" w:fill="F2F2F2"/>
            <w:tcMar>
              <w:top w:w="80" w:type="dxa"/>
              <w:left w:w="100" w:type="dxa"/>
              <w:bottom w:w="80" w:type="dxa"/>
              <w:right w:w="100" w:type="dxa"/>
            </w:tcMar>
            <w:vAlign w:val="center"/>
          </w:tcPr>
          <w:p w14:paraId="440A8CF9" w14:textId="77777777" w:rsidR="0020713F" w:rsidRDefault="00000000">
            <w:pPr>
              <w:jc w:val="center"/>
            </w:pPr>
            <w:r>
              <w:rPr>
                <w:rFonts w:ascii="Calibri" w:eastAsia="Calibri" w:hAnsi="Calibri" w:cs="Calibri"/>
                <w:color w:val="000000"/>
              </w:rPr>
              <w:t>28.6%</w:t>
            </w:r>
          </w:p>
        </w:tc>
        <w:tc>
          <w:tcPr>
            <w:tcW w:w="2600" w:type="dxa"/>
            <w:shd w:val="clear" w:color="auto" w:fill="F2F2F2"/>
            <w:tcMar>
              <w:top w:w="80" w:type="dxa"/>
              <w:left w:w="100" w:type="dxa"/>
              <w:bottom w:w="80" w:type="dxa"/>
              <w:right w:w="100" w:type="dxa"/>
            </w:tcMar>
            <w:vAlign w:val="center"/>
          </w:tcPr>
          <w:p w14:paraId="63CF107C" w14:textId="77777777" w:rsidR="0020713F" w:rsidRDefault="00000000">
            <w:pPr>
              <w:jc w:val="center"/>
            </w:pPr>
            <w:r>
              <w:rPr>
                <w:rFonts w:ascii="Calibri" w:eastAsia="Calibri" w:hAnsi="Calibri" w:cs="Calibri"/>
                <w:color w:val="000000"/>
              </w:rPr>
              <w:t>38.8%</w:t>
            </w:r>
          </w:p>
        </w:tc>
        <w:tc>
          <w:tcPr>
            <w:tcW w:w="2400" w:type="dxa"/>
            <w:shd w:val="clear" w:color="auto" w:fill="F2F2F2"/>
            <w:tcMar>
              <w:top w:w="80" w:type="dxa"/>
              <w:left w:w="100" w:type="dxa"/>
              <w:bottom w:w="80" w:type="dxa"/>
              <w:right w:w="100" w:type="dxa"/>
            </w:tcMar>
            <w:vAlign w:val="center"/>
          </w:tcPr>
          <w:p w14:paraId="19B851B2" w14:textId="77777777" w:rsidR="0020713F" w:rsidRDefault="00000000">
            <w:pPr>
              <w:jc w:val="center"/>
            </w:pPr>
            <w:r>
              <w:rPr>
                <w:rFonts w:ascii="Calibri" w:eastAsia="Calibri" w:hAnsi="Calibri" w:cs="Calibri"/>
                <w:color w:val="000000"/>
              </w:rPr>
              <w:t>19.4%</w:t>
            </w:r>
          </w:p>
        </w:tc>
      </w:tr>
      <w:tr w:rsidR="0020713F" w14:paraId="1F36C2ED" w14:textId="77777777">
        <w:tblPrEx>
          <w:tblCellMar>
            <w:top w:w="0" w:type="dxa"/>
            <w:bottom w:w="0" w:type="dxa"/>
          </w:tblCellMar>
        </w:tblPrEx>
        <w:tc>
          <w:tcPr>
            <w:tcW w:w="3000" w:type="dxa"/>
            <w:tcMar>
              <w:top w:w="80" w:type="dxa"/>
              <w:left w:w="100" w:type="dxa"/>
              <w:bottom w:w="80" w:type="dxa"/>
              <w:right w:w="100" w:type="dxa"/>
            </w:tcMar>
            <w:vAlign w:val="center"/>
          </w:tcPr>
          <w:p w14:paraId="075256AA" w14:textId="77777777" w:rsidR="0020713F" w:rsidRDefault="00000000">
            <w:r>
              <w:rPr>
                <w:rFonts w:ascii="Calibri" w:eastAsia="Calibri" w:hAnsi="Calibri" w:cs="Calibri"/>
                <w:color w:val="000000"/>
              </w:rPr>
              <w:t>Conversions</w:t>
            </w:r>
          </w:p>
        </w:tc>
        <w:tc>
          <w:tcPr>
            <w:tcW w:w="2400" w:type="dxa"/>
            <w:tcMar>
              <w:top w:w="80" w:type="dxa"/>
              <w:left w:w="100" w:type="dxa"/>
              <w:bottom w:w="80" w:type="dxa"/>
              <w:right w:w="100" w:type="dxa"/>
            </w:tcMar>
            <w:vAlign w:val="center"/>
          </w:tcPr>
          <w:p w14:paraId="7CD370ED" w14:textId="77777777" w:rsidR="0020713F" w:rsidRDefault="00000000">
            <w:pPr>
              <w:jc w:val="center"/>
            </w:pPr>
            <w:r>
              <w:rPr>
                <w:rFonts w:ascii="Calibri" w:eastAsia="Calibri" w:hAnsi="Calibri" w:cs="Calibri"/>
                <w:color w:val="000000"/>
              </w:rPr>
              <w:t>25</w:t>
            </w:r>
          </w:p>
        </w:tc>
        <w:tc>
          <w:tcPr>
            <w:tcW w:w="2600" w:type="dxa"/>
            <w:tcMar>
              <w:top w:w="80" w:type="dxa"/>
              <w:left w:w="100" w:type="dxa"/>
              <w:bottom w:w="80" w:type="dxa"/>
              <w:right w:w="100" w:type="dxa"/>
            </w:tcMar>
            <w:vAlign w:val="center"/>
          </w:tcPr>
          <w:p w14:paraId="56A024A4" w14:textId="77777777" w:rsidR="0020713F" w:rsidRDefault="00000000">
            <w:pPr>
              <w:jc w:val="center"/>
            </w:pPr>
            <w:r>
              <w:rPr>
                <w:rFonts w:ascii="Calibri" w:eastAsia="Calibri" w:hAnsi="Calibri" w:cs="Calibri"/>
                <w:color w:val="000000"/>
              </w:rPr>
              <w:t>25</w:t>
            </w:r>
          </w:p>
        </w:tc>
        <w:tc>
          <w:tcPr>
            <w:tcW w:w="2400" w:type="dxa"/>
            <w:tcMar>
              <w:top w:w="80" w:type="dxa"/>
              <w:left w:w="100" w:type="dxa"/>
              <w:bottom w:w="80" w:type="dxa"/>
              <w:right w:w="100" w:type="dxa"/>
            </w:tcMar>
            <w:vAlign w:val="center"/>
          </w:tcPr>
          <w:p w14:paraId="58AA7AD3" w14:textId="77777777" w:rsidR="0020713F" w:rsidRDefault="00000000">
            <w:pPr>
              <w:jc w:val="center"/>
            </w:pPr>
            <w:r>
              <w:rPr>
                <w:rFonts w:ascii="Calibri" w:eastAsia="Calibri" w:hAnsi="Calibri" w:cs="Calibri"/>
                <w:color w:val="000000"/>
              </w:rPr>
              <w:t>16</w:t>
            </w:r>
          </w:p>
        </w:tc>
      </w:tr>
      <w:tr w:rsidR="0020713F" w14:paraId="0F158E1B"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2E0C283" w14:textId="77777777" w:rsidR="0020713F" w:rsidRDefault="00000000">
            <w:r>
              <w:rPr>
                <w:rFonts w:ascii="Calibri" w:eastAsia="Calibri" w:hAnsi="Calibri" w:cs="Calibri"/>
                <w:color w:val="000000"/>
              </w:rPr>
              <w:t>Conversion rate</w:t>
            </w:r>
          </w:p>
        </w:tc>
        <w:tc>
          <w:tcPr>
            <w:tcW w:w="2400" w:type="dxa"/>
            <w:shd w:val="clear" w:color="auto" w:fill="F2F2F2"/>
            <w:tcMar>
              <w:top w:w="80" w:type="dxa"/>
              <w:left w:w="100" w:type="dxa"/>
              <w:bottom w:w="80" w:type="dxa"/>
              <w:right w:w="100" w:type="dxa"/>
            </w:tcMar>
            <w:vAlign w:val="center"/>
          </w:tcPr>
          <w:p w14:paraId="5392C8D8" w14:textId="77777777" w:rsidR="0020713F" w:rsidRDefault="00000000">
            <w:pPr>
              <w:jc w:val="center"/>
            </w:pPr>
            <w:r>
              <w:rPr>
                <w:rFonts w:ascii="Calibri" w:eastAsia="Calibri" w:hAnsi="Calibri" w:cs="Calibri"/>
                <w:color w:val="000000"/>
              </w:rPr>
              <w:t>14.3%</w:t>
            </w:r>
          </w:p>
        </w:tc>
        <w:tc>
          <w:tcPr>
            <w:tcW w:w="2600" w:type="dxa"/>
            <w:shd w:val="clear" w:color="auto" w:fill="F2F2F2"/>
            <w:tcMar>
              <w:top w:w="80" w:type="dxa"/>
              <w:left w:w="100" w:type="dxa"/>
              <w:bottom w:w="80" w:type="dxa"/>
              <w:right w:w="100" w:type="dxa"/>
            </w:tcMar>
            <w:vAlign w:val="center"/>
          </w:tcPr>
          <w:p w14:paraId="412FFB95" w14:textId="77777777" w:rsidR="0020713F" w:rsidRDefault="00000000">
            <w:pPr>
              <w:jc w:val="center"/>
            </w:pPr>
            <w:r>
              <w:rPr>
                <w:rFonts w:ascii="Calibri" w:eastAsia="Calibri" w:hAnsi="Calibri" w:cs="Calibri"/>
                <w:color w:val="000000"/>
              </w:rPr>
              <w:t>15.2%</w:t>
            </w:r>
          </w:p>
        </w:tc>
        <w:tc>
          <w:tcPr>
            <w:tcW w:w="2400" w:type="dxa"/>
            <w:shd w:val="clear" w:color="auto" w:fill="F2F2F2"/>
            <w:tcMar>
              <w:top w:w="80" w:type="dxa"/>
              <w:left w:w="100" w:type="dxa"/>
              <w:bottom w:w="80" w:type="dxa"/>
              <w:right w:w="100" w:type="dxa"/>
            </w:tcMar>
            <w:vAlign w:val="center"/>
          </w:tcPr>
          <w:p w14:paraId="68D3594B" w14:textId="77777777" w:rsidR="0020713F" w:rsidRDefault="00000000">
            <w:pPr>
              <w:jc w:val="center"/>
            </w:pPr>
            <w:r>
              <w:rPr>
                <w:rFonts w:ascii="Calibri" w:eastAsia="Calibri" w:hAnsi="Calibri" w:cs="Calibri"/>
                <w:color w:val="000000"/>
              </w:rPr>
              <w:t>10.0%</w:t>
            </w:r>
          </w:p>
        </w:tc>
      </w:tr>
      <w:tr w:rsidR="0020713F" w14:paraId="01DFD4E6" w14:textId="77777777">
        <w:tblPrEx>
          <w:tblCellMar>
            <w:top w:w="0" w:type="dxa"/>
            <w:bottom w:w="0" w:type="dxa"/>
          </w:tblCellMar>
        </w:tblPrEx>
        <w:tc>
          <w:tcPr>
            <w:tcW w:w="3000" w:type="dxa"/>
            <w:tcMar>
              <w:top w:w="80" w:type="dxa"/>
              <w:left w:w="100" w:type="dxa"/>
              <w:bottom w:w="80" w:type="dxa"/>
              <w:right w:w="100" w:type="dxa"/>
            </w:tcMar>
            <w:vAlign w:val="center"/>
          </w:tcPr>
          <w:p w14:paraId="48F95EF3" w14:textId="77777777" w:rsidR="0020713F" w:rsidRDefault="00000000">
            <w:r>
              <w:rPr>
                <w:rFonts w:ascii="Calibri" w:eastAsia="Calibri" w:hAnsi="Calibri" w:cs="Calibri"/>
                <w:color w:val="000000"/>
              </w:rPr>
              <w:t>95% CI (Wilson)</w:t>
            </w:r>
          </w:p>
        </w:tc>
        <w:tc>
          <w:tcPr>
            <w:tcW w:w="2400" w:type="dxa"/>
            <w:tcMar>
              <w:top w:w="80" w:type="dxa"/>
              <w:left w:w="100" w:type="dxa"/>
              <w:bottom w:w="80" w:type="dxa"/>
              <w:right w:w="100" w:type="dxa"/>
            </w:tcMar>
            <w:vAlign w:val="center"/>
          </w:tcPr>
          <w:p w14:paraId="21BC7283" w14:textId="77777777" w:rsidR="0020713F" w:rsidRDefault="00000000">
            <w:pPr>
              <w:jc w:val="center"/>
            </w:pPr>
            <w:r>
              <w:rPr>
                <w:rFonts w:ascii="Calibri" w:eastAsia="Calibri" w:hAnsi="Calibri" w:cs="Calibri"/>
                <w:color w:val="000000"/>
              </w:rPr>
              <w:t>[9.9%, 20.2%]</w:t>
            </w:r>
          </w:p>
        </w:tc>
        <w:tc>
          <w:tcPr>
            <w:tcW w:w="2600" w:type="dxa"/>
            <w:tcMar>
              <w:top w:w="80" w:type="dxa"/>
              <w:left w:w="100" w:type="dxa"/>
              <w:bottom w:w="80" w:type="dxa"/>
              <w:right w:w="100" w:type="dxa"/>
            </w:tcMar>
            <w:vAlign w:val="center"/>
          </w:tcPr>
          <w:p w14:paraId="5581C416" w14:textId="77777777" w:rsidR="0020713F" w:rsidRDefault="00000000">
            <w:pPr>
              <w:jc w:val="center"/>
            </w:pPr>
            <w:r>
              <w:rPr>
                <w:rFonts w:ascii="Calibri" w:eastAsia="Calibri" w:hAnsi="Calibri" w:cs="Calibri"/>
                <w:color w:val="000000"/>
              </w:rPr>
              <w:t>[10.5%, 21.4%]</w:t>
            </w:r>
          </w:p>
        </w:tc>
        <w:tc>
          <w:tcPr>
            <w:tcW w:w="2400" w:type="dxa"/>
            <w:tcMar>
              <w:top w:w="80" w:type="dxa"/>
              <w:left w:w="100" w:type="dxa"/>
              <w:bottom w:w="80" w:type="dxa"/>
              <w:right w:w="100" w:type="dxa"/>
            </w:tcMar>
            <w:vAlign w:val="center"/>
          </w:tcPr>
          <w:p w14:paraId="6E4C582E" w14:textId="77777777" w:rsidR="0020713F" w:rsidRDefault="00000000">
            <w:pPr>
              <w:jc w:val="center"/>
            </w:pPr>
            <w:r>
              <w:rPr>
                <w:rFonts w:ascii="Calibri" w:eastAsia="Calibri" w:hAnsi="Calibri" w:cs="Calibri"/>
                <w:color w:val="000000"/>
              </w:rPr>
              <w:t>[6.2%, 15.6%]</w:t>
            </w:r>
          </w:p>
        </w:tc>
      </w:tr>
    </w:tbl>
    <w:p w14:paraId="02F73C86" w14:textId="77777777" w:rsidR="0020713F" w:rsidRDefault="00000000">
      <w:pPr>
        <w:spacing w:before="80" w:after="240"/>
        <w:jc w:val="center"/>
      </w:pPr>
      <w:r>
        <w:rPr>
          <w:rFonts w:ascii="Calibri" w:eastAsia="Calibri" w:hAnsi="Calibri" w:cs="Calibri"/>
          <w:i/>
          <w:iCs/>
          <w:color w:val="595959"/>
          <w:sz w:val="18"/>
          <w:szCs w:val="18"/>
        </w:rPr>
        <w:t>Table 3. Funnel and conversion metrics by arm (see Summary &amp; Stats sheet, rows 6–15).</w:t>
      </w:r>
    </w:p>
    <w:p w14:paraId="61D9804D" w14:textId="77777777" w:rsidR="0020713F" w:rsidRDefault="00000000">
      <w:pPr>
        <w:spacing w:before="120" w:after="80"/>
        <w:jc w:val="center"/>
      </w:pPr>
      <w:r>
        <w:rPr>
          <w:noProof/>
        </w:rPr>
        <w:drawing>
          <wp:inline distT="0" distB="0" distL="0" distR="0" wp14:anchorId="1D2B2376" wp14:editId="1AFC3272">
            <wp:extent cx="5800000" cy="35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00000" cy="3500000"/>
                    </a:xfrm>
                    <a:prstGeom prst="rect">
                      <a:avLst/>
                    </a:prstGeom>
                  </pic:spPr>
                </pic:pic>
              </a:graphicData>
            </a:graphic>
          </wp:inline>
        </w:drawing>
      </w:r>
    </w:p>
    <w:p w14:paraId="701BED78" w14:textId="77777777" w:rsidR="0020713F" w:rsidRDefault="00000000">
      <w:pPr>
        <w:spacing w:before="80" w:after="240"/>
        <w:jc w:val="center"/>
      </w:pPr>
      <w:r>
        <w:rPr>
          <w:rFonts w:ascii="Calibri" w:eastAsia="Calibri" w:hAnsi="Calibri" w:cs="Calibri"/>
          <w:i/>
          <w:iCs/>
          <w:color w:val="595959"/>
          <w:sz w:val="18"/>
          <w:szCs w:val="18"/>
        </w:rPr>
        <w:t>Figure 1. Visitor → add-to-cart → purchase funnel by pricing arm.</w:t>
      </w:r>
    </w:p>
    <w:p w14:paraId="7A72158B" w14:textId="77777777" w:rsidR="0020713F" w:rsidRDefault="00000000">
      <w:pPr>
        <w:spacing w:before="120" w:after="80"/>
        <w:jc w:val="center"/>
      </w:pPr>
      <w:r>
        <w:rPr>
          <w:noProof/>
        </w:rPr>
        <w:lastRenderedPageBreak/>
        <w:drawing>
          <wp:inline distT="0" distB="0" distL="0" distR="0" wp14:anchorId="58280B51" wp14:editId="1346FC58">
            <wp:extent cx="5600000" cy="3600000"/>
            <wp:effectExtent l="0" t="0" r="0" b="0"/>
            <wp:docPr id="522640301" name="Picture 52264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00000" cy="3600000"/>
                    </a:xfrm>
                    <a:prstGeom prst="rect">
                      <a:avLst/>
                    </a:prstGeom>
                  </pic:spPr>
                </pic:pic>
              </a:graphicData>
            </a:graphic>
          </wp:inline>
        </w:drawing>
      </w:r>
    </w:p>
    <w:p w14:paraId="05B16691" w14:textId="77777777" w:rsidR="0020713F" w:rsidRDefault="00000000">
      <w:pPr>
        <w:spacing w:before="80" w:after="240"/>
        <w:jc w:val="center"/>
      </w:pPr>
      <w:r>
        <w:rPr>
          <w:rFonts w:ascii="Calibri" w:eastAsia="Calibri" w:hAnsi="Calibri" w:cs="Calibri"/>
          <w:i/>
          <w:iCs/>
          <w:color w:val="595959"/>
          <w:sz w:val="18"/>
          <w:szCs w:val="18"/>
        </w:rPr>
        <w:t>Figure 2. Conversion rate by pricing arm with 95% Wilson confidence intervals. The overlapping intervals visually confirm that no pairwise difference is statistically significant at this sample size.</w:t>
      </w:r>
    </w:p>
    <w:p w14:paraId="01B87FE7" w14:textId="77777777" w:rsidR="0020713F" w:rsidRDefault="00000000">
      <w:pPr>
        <w:pStyle w:val="Heading2"/>
        <w:spacing w:before="240"/>
      </w:pPr>
      <w:r>
        <w:t>4.2 Significance Testing</w:t>
      </w:r>
    </w:p>
    <w:p w14:paraId="1E0F6F60" w14:textId="77777777" w:rsidR="0020713F" w:rsidRDefault="00000000">
      <w:pPr>
        <w:spacing w:after="160" w:line="276" w:lineRule="auto"/>
        <w:jc w:val="both"/>
      </w:pPr>
      <w:r>
        <w:rPr>
          <w:rFonts w:ascii="Calibri" w:eastAsia="Calibri" w:hAnsi="Calibri" w:cs="Calibri"/>
          <w:sz w:val="22"/>
          <w:szCs w:val="22"/>
        </w:rPr>
        <w:t>The chi-square test of independence across all three arms returned χ² = 2.158 (</w:t>
      </w:r>
      <w:proofErr w:type="spellStart"/>
      <w:r>
        <w:rPr>
          <w:rFonts w:ascii="Calibri" w:eastAsia="Calibri" w:hAnsi="Calibri" w:cs="Calibri"/>
          <w:sz w:val="22"/>
          <w:szCs w:val="22"/>
        </w:rPr>
        <w:t>df</w:t>
      </w:r>
      <w:proofErr w:type="spellEnd"/>
      <w:r>
        <w:rPr>
          <w:rFonts w:ascii="Calibri" w:eastAsia="Calibri" w:hAnsi="Calibri" w:cs="Calibri"/>
          <w:sz w:val="22"/>
          <w:szCs w:val="22"/>
        </w:rPr>
        <w:t xml:space="preserve"> = 2, p = 0.340), and none of the three pairwise two-proportion z-tests reached significance at α = 0.05 (Control vs. Discount: z = -0.225, p = 0.822; Control vs. Premium: z = 1.196, p = 0.232; Discount vs. Premium: z = 1.398, p = 0.162). In other words, at n≈500 the conversion-rate differences observed are consistent with sampling noise and should not, on their own, be treated as proof that discounting lifts conversion or that premium pricing suppresses it — the directional pattern is plausible and matches pricing theory, but the sample is underpowered to confirm it.</w:t>
      </w:r>
    </w:p>
    <w:p w14:paraId="51308108" w14:textId="77777777" w:rsidR="0020713F" w:rsidRDefault="00000000">
      <w:pPr>
        <w:spacing w:after="160" w:line="276" w:lineRule="auto"/>
        <w:jc w:val="both"/>
      </w:pPr>
      <w:r>
        <w:rPr>
          <w:rFonts w:ascii="Calibri" w:eastAsia="Calibri" w:hAnsi="Calibri" w:cs="Calibri"/>
          <w:sz w:val="22"/>
          <w:szCs w:val="22"/>
        </w:rPr>
        <w:t>Average order value tells a materially different story. A one-way ANOVA across the three arms was highly significant (F = 14.279, p &lt; 0.0001), and a Welch's t-test isolating Control vs. Premium confirmed the effect (t = -2.922, p = 0.006). Premium pricing produced an AOV of $101.29 versus $90.52 for Control and $77.32 for Discount — a difference large enough to be detected reliably even at this sample size, because AOV varies less noisily than a binary conversion outcome and the underlying price gap (roughly $28 between Discount and Premium) is a large, mechanically-driven effect.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1600"/>
        <w:gridCol w:w="2400"/>
      </w:tblGrid>
      <w:tr w:rsidR="0020713F" w14:paraId="5AD4720A" w14:textId="77777777">
        <w:tblPrEx>
          <w:tblCellMar>
            <w:top w:w="0" w:type="dxa"/>
            <w:bottom w:w="0" w:type="dxa"/>
          </w:tblCellMar>
        </w:tblPrEx>
        <w:trPr>
          <w:tblHeader/>
        </w:trPr>
        <w:tc>
          <w:tcPr>
            <w:tcW w:w="4200" w:type="dxa"/>
            <w:shd w:val="clear" w:color="auto" w:fill="1F4E78"/>
            <w:tcMar>
              <w:top w:w="80" w:type="dxa"/>
              <w:left w:w="100" w:type="dxa"/>
              <w:bottom w:w="80" w:type="dxa"/>
              <w:right w:w="100" w:type="dxa"/>
            </w:tcMar>
            <w:vAlign w:val="center"/>
          </w:tcPr>
          <w:p w14:paraId="4CD2E181" w14:textId="77777777" w:rsidR="0020713F" w:rsidRDefault="00000000">
            <w:pPr>
              <w:jc w:val="center"/>
            </w:pPr>
            <w:r>
              <w:rPr>
                <w:rFonts w:ascii="Calibri" w:eastAsia="Calibri" w:hAnsi="Calibri" w:cs="Calibri"/>
                <w:b/>
                <w:bCs/>
                <w:color w:val="FFFFFF"/>
              </w:rPr>
              <w:t>Test</w:t>
            </w:r>
          </w:p>
        </w:tc>
        <w:tc>
          <w:tcPr>
            <w:tcW w:w="2200" w:type="dxa"/>
            <w:shd w:val="clear" w:color="auto" w:fill="1F4E78"/>
            <w:tcMar>
              <w:top w:w="80" w:type="dxa"/>
              <w:left w:w="100" w:type="dxa"/>
              <w:bottom w:w="80" w:type="dxa"/>
              <w:right w:w="100" w:type="dxa"/>
            </w:tcMar>
            <w:vAlign w:val="center"/>
          </w:tcPr>
          <w:p w14:paraId="5121E449" w14:textId="77777777" w:rsidR="0020713F" w:rsidRDefault="00000000">
            <w:pPr>
              <w:jc w:val="center"/>
            </w:pPr>
            <w:r>
              <w:rPr>
                <w:rFonts w:ascii="Calibri" w:eastAsia="Calibri" w:hAnsi="Calibri" w:cs="Calibri"/>
                <w:b/>
                <w:bCs/>
                <w:color w:val="FFFFFF"/>
              </w:rPr>
              <w:t>Statistic</w:t>
            </w:r>
          </w:p>
        </w:tc>
        <w:tc>
          <w:tcPr>
            <w:tcW w:w="1600" w:type="dxa"/>
            <w:shd w:val="clear" w:color="auto" w:fill="1F4E78"/>
            <w:tcMar>
              <w:top w:w="80" w:type="dxa"/>
              <w:left w:w="100" w:type="dxa"/>
              <w:bottom w:w="80" w:type="dxa"/>
              <w:right w:w="100" w:type="dxa"/>
            </w:tcMar>
            <w:vAlign w:val="center"/>
          </w:tcPr>
          <w:p w14:paraId="1C3F96DE" w14:textId="77777777" w:rsidR="0020713F" w:rsidRDefault="00000000">
            <w:pPr>
              <w:jc w:val="center"/>
            </w:pPr>
            <w:r>
              <w:rPr>
                <w:rFonts w:ascii="Calibri" w:eastAsia="Calibri" w:hAnsi="Calibri" w:cs="Calibri"/>
                <w:b/>
                <w:bCs/>
                <w:color w:val="FFFFFF"/>
              </w:rPr>
              <w:t>p-value</w:t>
            </w:r>
          </w:p>
        </w:tc>
        <w:tc>
          <w:tcPr>
            <w:tcW w:w="2400" w:type="dxa"/>
            <w:shd w:val="clear" w:color="auto" w:fill="1F4E78"/>
            <w:tcMar>
              <w:top w:w="80" w:type="dxa"/>
              <w:left w:w="100" w:type="dxa"/>
              <w:bottom w:w="80" w:type="dxa"/>
              <w:right w:w="100" w:type="dxa"/>
            </w:tcMar>
            <w:vAlign w:val="center"/>
          </w:tcPr>
          <w:p w14:paraId="4E8B8E07" w14:textId="77777777" w:rsidR="0020713F" w:rsidRDefault="00000000">
            <w:pPr>
              <w:jc w:val="center"/>
            </w:pPr>
            <w:r>
              <w:rPr>
                <w:rFonts w:ascii="Calibri" w:eastAsia="Calibri" w:hAnsi="Calibri" w:cs="Calibri"/>
                <w:b/>
                <w:bCs/>
                <w:color w:val="FFFFFF"/>
              </w:rPr>
              <w:t>Significant (α=0.05)?</w:t>
            </w:r>
          </w:p>
        </w:tc>
      </w:tr>
      <w:tr w:rsidR="0020713F" w14:paraId="64E702B7" w14:textId="77777777">
        <w:tblPrEx>
          <w:tblCellMar>
            <w:top w:w="0" w:type="dxa"/>
            <w:bottom w:w="0" w:type="dxa"/>
          </w:tblCellMar>
        </w:tblPrEx>
        <w:tc>
          <w:tcPr>
            <w:tcW w:w="4200" w:type="dxa"/>
            <w:tcMar>
              <w:top w:w="80" w:type="dxa"/>
              <w:left w:w="100" w:type="dxa"/>
              <w:bottom w:w="80" w:type="dxa"/>
              <w:right w:w="100" w:type="dxa"/>
            </w:tcMar>
            <w:vAlign w:val="center"/>
          </w:tcPr>
          <w:p w14:paraId="2327DF1F" w14:textId="77777777" w:rsidR="0020713F" w:rsidRDefault="00000000">
            <w:r>
              <w:rPr>
                <w:rFonts w:ascii="Calibri" w:eastAsia="Calibri" w:hAnsi="Calibri" w:cs="Calibri"/>
                <w:color w:val="000000"/>
              </w:rPr>
              <w:t>Chi-square: conversion ~ group</w:t>
            </w:r>
          </w:p>
        </w:tc>
        <w:tc>
          <w:tcPr>
            <w:tcW w:w="2200" w:type="dxa"/>
            <w:tcMar>
              <w:top w:w="80" w:type="dxa"/>
              <w:left w:w="100" w:type="dxa"/>
              <w:bottom w:w="80" w:type="dxa"/>
              <w:right w:w="100" w:type="dxa"/>
            </w:tcMar>
            <w:vAlign w:val="center"/>
          </w:tcPr>
          <w:p w14:paraId="4BA77AE8" w14:textId="77777777" w:rsidR="0020713F" w:rsidRDefault="00000000">
            <w:pPr>
              <w:jc w:val="center"/>
            </w:pPr>
            <w:r>
              <w:rPr>
                <w:rFonts w:ascii="Calibri" w:eastAsia="Calibri" w:hAnsi="Calibri" w:cs="Calibri"/>
                <w:color w:val="000000"/>
              </w:rPr>
              <w:t xml:space="preserve">χ² = 2.158, </w:t>
            </w:r>
            <w:proofErr w:type="spellStart"/>
            <w:r>
              <w:rPr>
                <w:rFonts w:ascii="Calibri" w:eastAsia="Calibri" w:hAnsi="Calibri" w:cs="Calibri"/>
                <w:color w:val="000000"/>
              </w:rPr>
              <w:t>df</w:t>
            </w:r>
            <w:proofErr w:type="spellEnd"/>
            <w:r>
              <w:rPr>
                <w:rFonts w:ascii="Calibri" w:eastAsia="Calibri" w:hAnsi="Calibri" w:cs="Calibri"/>
                <w:color w:val="000000"/>
              </w:rPr>
              <w:t>=2</w:t>
            </w:r>
          </w:p>
        </w:tc>
        <w:tc>
          <w:tcPr>
            <w:tcW w:w="1600" w:type="dxa"/>
            <w:tcMar>
              <w:top w:w="80" w:type="dxa"/>
              <w:left w:w="100" w:type="dxa"/>
              <w:bottom w:w="80" w:type="dxa"/>
              <w:right w:w="100" w:type="dxa"/>
            </w:tcMar>
            <w:vAlign w:val="center"/>
          </w:tcPr>
          <w:p w14:paraId="7322FD88" w14:textId="77777777" w:rsidR="0020713F" w:rsidRDefault="00000000">
            <w:pPr>
              <w:jc w:val="center"/>
            </w:pPr>
            <w:r>
              <w:rPr>
                <w:rFonts w:ascii="Calibri" w:eastAsia="Calibri" w:hAnsi="Calibri" w:cs="Calibri"/>
                <w:color w:val="000000"/>
              </w:rPr>
              <w:t>0.340</w:t>
            </w:r>
          </w:p>
        </w:tc>
        <w:tc>
          <w:tcPr>
            <w:tcW w:w="2400" w:type="dxa"/>
            <w:tcMar>
              <w:top w:w="80" w:type="dxa"/>
              <w:left w:w="100" w:type="dxa"/>
              <w:bottom w:w="80" w:type="dxa"/>
              <w:right w:w="100" w:type="dxa"/>
            </w:tcMar>
            <w:vAlign w:val="center"/>
          </w:tcPr>
          <w:p w14:paraId="20652FC9" w14:textId="77777777" w:rsidR="0020713F" w:rsidRDefault="00000000">
            <w:pPr>
              <w:jc w:val="center"/>
            </w:pPr>
            <w:r>
              <w:rPr>
                <w:rFonts w:ascii="Calibri" w:eastAsia="Calibri" w:hAnsi="Calibri" w:cs="Calibri"/>
                <w:color w:val="000000"/>
              </w:rPr>
              <w:t>No</w:t>
            </w:r>
          </w:p>
        </w:tc>
      </w:tr>
      <w:tr w:rsidR="0020713F" w14:paraId="5EC39D17"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0D601860" w14:textId="77777777" w:rsidR="0020713F" w:rsidRDefault="00000000">
            <w:r>
              <w:rPr>
                <w:rFonts w:ascii="Calibri" w:eastAsia="Calibri" w:hAnsi="Calibri" w:cs="Calibri"/>
                <w:color w:val="000000"/>
              </w:rPr>
              <w:t>z-test: Control vs Discount (conversion)</w:t>
            </w:r>
          </w:p>
        </w:tc>
        <w:tc>
          <w:tcPr>
            <w:tcW w:w="2200" w:type="dxa"/>
            <w:shd w:val="clear" w:color="auto" w:fill="F2F2F2"/>
            <w:tcMar>
              <w:top w:w="80" w:type="dxa"/>
              <w:left w:w="100" w:type="dxa"/>
              <w:bottom w:w="80" w:type="dxa"/>
              <w:right w:w="100" w:type="dxa"/>
            </w:tcMar>
            <w:vAlign w:val="center"/>
          </w:tcPr>
          <w:p w14:paraId="3A93D1F3" w14:textId="77777777" w:rsidR="0020713F" w:rsidRDefault="00000000">
            <w:pPr>
              <w:jc w:val="center"/>
            </w:pPr>
            <w:r>
              <w:rPr>
                <w:rFonts w:ascii="Calibri" w:eastAsia="Calibri" w:hAnsi="Calibri" w:cs="Calibri"/>
                <w:color w:val="000000"/>
              </w:rPr>
              <w:t>z = -0.225</w:t>
            </w:r>
          </w:p>
        </w:tc>
        <w:tc>
          <w:tcPr>
            <w:tcW w:w="1600" w:type="dxa"/>
            <w:shd w:val="clear" w:color="auto" w:fill="F2F2F2"/>
            <w:tcMar>
              <w:top w:w="80" w:type="dxa"/>
              <w:left w:w="100" w:type="dxa"/>
              <w:bottom w:w="80" w:type="dxa"/>
              <w:right w:w="100" w:type="dxa"/>
            </w:tcMar>
            <w:vAlign w:val="center"/>
          </w:tcPr>
          <w:p w14:paraId="53EA1E29" w14:textId="77777777" w:rsidR="0020713F" w:rsidRDefault="00000000">
            <w:pPr>
              <w:jc w:val="center"/>
            </w:pPr>
            <w:r>
              <w:rPr>
                <w:rFonts w:ascii="Calibri" w:eastAsia="Calibri" w:hAnsi="Calibri" w:cs="Calibri"/>
                <w:color w:val="000000"/>
              </w:rPr>
              <w:t>0.822</w:t>
            </w:r>
          </w:p>
        </w:tc>
        <w:tc>
          <w:tcPr>
            <w:tcW w:w="2400" w:type="dxa"/>
            <w:shd w:val="clear" w:color="auto" w:fill="F2F2F2"/>
            <w:tcMar>
              <w:top w:w="80" w:type="dxa"/>
              <w:left w:w="100" w:type="dxa"/>
              <w:bottom w:w="80" w:type="dxa"/>
              <w:right w:w="100" w:type="dxa"/>
            </w:tcMar>
            <w:vAlign w:val="center"/>
          </w:tcPr>
          <w:p w14:paraId="5793DE4A" w14:textId="77777777" w:rsidR="0020713F" w:rsidRDefault="00000000">
            <w:pPr>
              <w:jc w:val="center"/>
            </w:pPr>
            <w:r>
              <w:rPr>
                <w:rFonts w:ascii="Calibri" w:eastAsia="Calibri" w:hAnsi="Calibri" w:cs="Calibri"/>
                <w:color w:val="000000"/>
              </w:rPr>
              <w:t>No</w:t>
            </w:r>
          </w:p>
        </w:tc>
      </w:tr>
      <w:tr w:rsidR="0020713F" w14:paraId="2FD09153" w14:textId="77777777">
        <w:tblPrEx>
          <w:tblCellMar>
            <w:top w:w="0" w:type="dxa"/>
            <w:bottom w:w="0" w:type="dxa"/>
          </w:tblCellMar>
        </w:tblPrEx>
        <w:tc>
          <w:tcPr>
            <w:tcW w:w="4200" w:type="dxa"/>
            <w:tcMar>
              <w:top w:w="80" w:type="dxa"/>
              <w:left w:w="100" w:type="dxa"/>
              <w:bottom w:w="80" w:type="dxa"/>
              <w:right w:w="100" w:type="dxa"/>
            </w:tcMar>
            <w:vAlign w:val="center"/>
          </w:tcPr>
          <w:p w14:paraId="116E5DE4" w14:textId="77777777" w:rsidR="0020713F" w:rsidRDefault="00000000">
            <w:r>
              <w:rPr>
                <w:rFonts w:ascii="Calibri" w:eastAsia="Calibri" w:hAnsi="Calibri" w:cs="Calibri"/>
                <w:color w:val="000000"/>
              </w:rPr>
              <w:t>z-test: Control vs Premium (conversion)</w:t>
            </w:r>
          </w:p>
        </w:tc>
        <w:tc>
          <w:tcPr>
            <w:tcW w:w="2200" w:type="dxa"/>
            <w:tcMar>
              <w:top w:w="80" w:type="dxa"/>
              <w:left w:w="100" w:type="dxa"/>
              <w:bottom w:w="80" w:type="dxa"/>
              <w:right w:w="100" w:type="dxa"/>
            </w:tcMar>
            <w:vAlign w:val="center"/>
          </w:tcPr>
          <w:p w14:paraId="5214A1D5" w14:textId="77777777" w:rsidR="0020713F" w:rsidRDefault="00000000">
            <w:pPr>
              <w:jc w:val="center"/>
            </w:pPr>
            <w:r>
              <w:rPr>
                <w:rFonts w:ascii="Calibri" w:eastAsia="Calibri" w:hAnsi="Calibri" w:cs="Calibri"/>
                <w:color w:val="000000"/>
              </w:rPr>
              <w:t>z = 1.196</w:t>
            </w:r>
          </w:p>
        </w:tc>
        <w:tc>
          <w:tcPr>
            <w:tcW w:w="1600" w:type="dxa"/>
            <w:tcMar>
              <w:top w:w="80" w:type="dxa"/>
              <w:left w:w="100" w:type="dxa"/>
              <w:bottom w:w="80" w:type="dxa"/>
              <w:right w:w="100" w:type="dxa"/>
            </w:tcMar>
            <w:vAlign w:val="center"/>
          </w:tcPr>
          <w:p w14:paraId="7C915672" w14:textId="77777777" w:rsidR="0020713F" w:rsidRDefault="00000000">
            <w:pPr>
              <w:jc w:val="center"/>
            </w:pPr>
            <w:r>
              <w:rPr>
                <w:rFonts w:ascii="Calibri" w:eastAsia="Calibri" w:hAnsi="Calibri" w:cs="Calibri"/>
                <w:color w:val="000000"/>
              </w:rPr>
              <w:t>0.232</w:t>
            </w:r>
          </w:p>
        </w:tc>
        <w:tc>
          <w:tcPr>
            <w:tcW w:w="2400" w:type="dxa"/>
            <w:tcMar>
              <w:top w:w="80" w:type="dxa"/>
              <w:left w:w="100" w:type="dxa"/>
              <w:bottom w:w="80" w:type="dxa"/>
              <w:right w:w="100" w:type="dxa"/>
            </w:tcMar>
            <w:vAlign w:val="center"/>
          </w:tcPr>
          <w:p w14:paraId="6EAE4D18" w14:textId="77777777" w:rsidR="0020713F" w:rsidRDefault="00000000">
            <w:pPr>
              <w:jc w:val="center"/>
            </w:pPr>
            <w:r>
              <w:rPr>
                <w:rFonts w:ascii="Calibri" w:eastAsia="Calibri" w:hAnsi="Calibri" w:cs="Calibri"/>
                <w:color w:val="000000"/>
              </w:rPr>
              <w:t>No</w:t>
            </w:r>
          </w:p>
        </w:tc>
      </w:tr>
      <w:tr w:rsidR="0020713F" w14:paraId="06FFF064"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6F63DD83" w14:textId="77777777" w:rsidR="0020713F" w:rsidRDefault="00000000">
            <w:r>
              <w:rPr>
                <w:rFonts w:ascii="Calibri" w:eastAsia="Calibri" w:hAnsi="Calibri" w:cs="Calibri"/>
                <w:color w:val="000000"/>
              </w:rPr>
              <w:lastRenderedPageBreak/>
              <w:t>z-test: Discount vs Premium (conversion)</w:t>
            </w:r>
          </w:p>
        </w:tc>
        <w:tc>
          <w:tcPr>
            <w:tcW w:w="2200" w:type="dxa"/>
            <w:shd w:val="clear" w:color="auto" w:fill="F2F2F2"/>
            <w:tcMar>
              <w:top w:w="80" w:type="dxa"/>
              <w:left w:w="100" w:type="dxa"/>
              <w:bottom w:w="80" w:type="dxa"/>
              <w:right w:w="100" w:type="dxa"/>
            </w:tcMar>
            <w:vAlign w:val="center"/>
          </w:tcPr>
          <w:p w14:paraId="6535EBEA" w14:textId="77777777" w:rsidR="0020713F" w:rsidRDefault="00000000">
            <w:pPr>
              <w:jc w:val="center"/>
            </w:pPr>
            <w:r>
              <w:rPr>
                <w:rFonts w:ascii="Calibri" w:eastAsia="Calibri" w:hAnsi="Calibri" w:cs="Calibri"/>
                <w:color w:val="000000"/>
              </w:rPr>
              <w:t>z = 1.398</w:t>
            </w:r>
          </w:p>
        </w:tc>
        <w:tc>
          <w:tcPr>
            <w:tcW w:w="1600" w:type="dxa"/>
            <w:shd w:val="clear" w:color="auto" w:fill="F2F2F2"/>
            <w:tcMar>
              <w:top w:w="80" w:type="dxa"/>
              <w:left w:w="100" w:type="dxa"/>
              <w:bottom w:w="80" w:type="dxa"/>
              <w:right w:w="100" w:type="dxa"/>
            </w:tcMar>
            <w:vAlign w:val="center"/>
          </w:tcPr>
          <w:p w14:paraId="60A85DA0" w14:textId="77777777" w:rsidR="0020713F" w:rsidRDefault="00000000">
            <w:pPr>
              <w:jc w:val="center"/>
            </w:pPr>
            <w:r>
              <w:rPr>
                <w:rFonts w:ascii="Calibri" w:eastAsia="Calibri" w:hAnsi="Calibri" w:cs="Calibri"/>
                <w:color w:val="000000"/>
              </w:rPr>
              <w:t>0.162</w:t>
            </w:r>
          </w:p>
        </w:tc>
        <w:tc>
          <w:tcPr>
            <w:tcW w:w="2400" w:type="dxa"/>
            <w:shd w:val="clear" w:color="auto" w:fill="F2F2F2"/>
            <w:tcMar>
              <w:top w:w="80" w:type="dxa"/>
              <w:left w:w="100" w:type="dxa"/>
              <w:bottom w:w="80" w:type="dxa"/>
              <w:right w:w="100" w:type="dxa"/>
            </w:tcMar>
            <w:vAlign w:val="center"/>
          </w:tcPr>
          <w:p w14:paraId="361CB95D" w14:textId="77777777" w:rsidR="0020713F" w:rsidRDefault="00000000">
            <w:pPr>
              <w:jc w:val="center"/>
            </w:pPr>
            <w:r>
              <w:rPr>
                <w:rFonts w:ascii="Calibri" w:eastAsia="Calibri" w:hAnsi="Calibri" w:cs="Calibri"/>
                <w:color w:val="000000"/>
              </w:rPr>
              <w:t>No</w:t>
            </w:r>
          </w:p>
        </w:tc>
      </w:tr>
      <w:tr w:rsidR="0020713F" w14:paraId="4C3286E8" w14:textId="77777777">
        <w:tblPrEx>
          <w:tblCellMar>
            <w:top w:w="0" w:type="dxa"/>
            <w:bottom w:w="0" w:type="dxa"/>
          </w:tblCellMar>
        </w:tblPrEx>
        <w:tc>
          <w:tcPr>
            <w:tcW w:w="4200" w:type="dxa"/>
            <w:tcMar>
              <w:top w:w="80" w:type="dxa"/>
              <w:left w:w="100" w:type="dxa"/>
              <w:bottom w:w="80" w:type="dxa"/>
              <w:right w:w="100" w:type="dxa"/>
            </w:tcMar>
            <w:vAlign w:val="center"/>
          </w:tcPr>
          <w:p w14:paraId="23B5EA5F" w14:textId="77777777" w:rsidR="0020713F" w:rsidRDefault="00000000">
            <w:r>
              <w:rPr>
                <w:rFonts w:ascii="Calibri" w:eastAsia="Calibri" w:hAnsi="Calibri" w:cs="Calibri"/>
                <w:color w:val="000000"/>
              </w:rPr>
              <w:t>ANOVA: AOV ~ group</w:t>
            </w:r>
          </w:p>
        </w:tc>
        <w:tc>
          <w:tcPr>
            <w:tcW w:w="2200" w:type="dxa"/>
            <w:tcMar>
              <w:top w:w="80" w:type="dxa"/>
              <w:left w:w="100" w:type="dxa"/>
              <w:bottom w:w="80" w:type="dxa"/>
              <w:right w:w="100" w:type="dxa"/>
            </w:tcMar>
            <w:vAlign w:val="center"/>
          </w:tcPr>
          <w:p w14:paraId="14ED0147" w14:textId="77777777" w:rsidR="0020713F" w:rsidRDefault="00000000">
            <w:pPr>
              <w:jc w:val="center"/>
            </w:pPr>
            <w:r>
              <w:rPr>
                <w:rFonts w:ascii="Calibri" w:eastAsia="Calibri" w:hAnsi="Calibri" w:cs="Calibri"/>
                <w:color w:val="000000"/>
              </w:rPr>
              <w:t>F = 14.279</w:t>
            </w:r>
          </w:p>
        </w:tc>
        <w:tc>
          <w:tcPr>
            <w:tcW w:w="1600" w:type="dxa"/>
            <w:tcMar>
              <w:top w:w="80" w:type="dxa"/>
              <w:left w:w="100" w:type="dxa"/>
              <w:bottom w:w="80" w:type="dxa"/>
              <w:right w:w="100" w:type="dxa"/>
            </w:tcMar>
            <w:vAlign w:val="center"/>
          </w:tcPr>
          <w:p w14:paraId="6356AE33" w14:textId="77777777" w:rsidR="0020713F" w:rsidRDefault="00000000">
            <w:pPr>
              <w:jc w:val="center"/>
            </w:pPr>
            <w:r>
              <w:rPr>
                <w:rFonts w:ascii="Calibri" w:eastAsia="Calibri" w:hAnsi="Calibri" w:cs="Calibri"/>
                <w:color w:val="000000"/>
              </w:rPr>
              <w:t>&lt;0.0001</w:t>
            </w:r>
          </w:p>
        </w:tc>
        <w:tc>
          <w:tcPr>
            <w:tcW w:w="2400" w:type="dxa"/>
            <w:tcMar>
              <w:top w:w="80" w:type="dxa"/>
              <w:left w:w="100" w:type="dxa"/>
              <w:bottom w:w="80" w:type="dxa"/>
              <w:right w:w="100" w:type="dxa"/>
            </w:tcMar>
            <w:vAlign w:val="center"/>
          </w:tcPr>
          <w:p w14:paraId="0F65B738" w14:textId="77777777" w:rsidR="0020713F" w:rsidRDefault="00000000">
            <w:pPr>
              <w:jc w:val="center"/>
            </w:pPr>
            <w:r>
              <w:rPr>
                <w:rFonts w:ascii="Calibri" w:eastAsia="Calibri" w:hAnsi="Calibri" w:cs="Calibri"/>
                <w:color w:val="000000"/>
              </w:rPr>
              <w:t>Yes</w:t>
            </w:r>
          </w:p>
        </w:tc>
      </w:tr>
      <w:tr w:rsidR="0020713F" w14:paraId="31388B4C"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496E4886" w14:textId="77777777" w:rsidR="0020713F" w:rsidRDefault="00000000">
            <w:r>
              <w:rPr>
                <w:rFonts w:ascii="Calibri" w:eastAsia="Calibri" w:hAnsi="Calibri" w:cs="Calibri"/>
                <w:color w:val="000000"/>
              </w:rPr>
              <w:t>Welch t-test: AOV Control vs Premium</w:t>
            </w:r>
          </w:p>
        </w:tc>
        <w:tc>
          <w:tcPr>
            <w:tcW w:w="2200" w:type="dxa"/>
            <w:shd w:val="clear" w:color="auto" w:fill="F2F2F2"/>
            <w:tcMar>
              <w:top w:w="80" w:type="dxa"/>
              <w:left w:w="100" w:type="dxa"/>
              <w:bottom w:w="80" w:type="dxa"/>
              <w:right w:w="100" w:type="dxa"/>
            </w:tcMar>
            <w:vAlign w:val="center"/>
          </w:tcPr>
          <w:p w14:paraId="26E11925" w14:textId="77777777" w:rsidR="0020713F" w:rsidRDefault="00000000">
            <w:pPr>
              <w:jc w:val="center"/>
            </w:pPr>
            <w:r>
              <w:rPr>
                <w:rFonts w:ascii="Calibri" w:eastAsia="Calibri" w:hAnsi="Calibri" w:cs="Calibri"/>
                <w:color w:val="000000"/>
              </w:rPr>
              <w:t>t = -2.922</w:t>
            </w:r>
          </w:p>
        </w:tc>
        <w:tc>
          <w:tcPr>
            <w:tcW w:w="1600" w:type="dxa"/>
            <w:shd w:val="clear" w:color="auto" w:fill="F2F2F2"/>
            <w:tcMar>
              <w:top w:w="80" w:type="dxa"/>
              <w:left w:w="100" w:type="dxa"/>
              <w:bottom w:w="80" w:type="dxa"/>
              <w:right w:w="100" w:type="dxa"/>
            </w:tcMar>
            <w:vAlign w:val="center"/>
          </w:tcPr>
          <w:p w14:paraId="248E5977" w14:textId="77777777" w:rsidR="0020713F" w:rsidRDefault="00000000">
            <w:pPr>
              <w:jc w:val="center"/>
            </w:pPr>
            <w:r>
              <w:rPr>
                <w:rFonts w:ascii="Calibri" w:eastAsia="Calibri" w:hAnsi="Calibri" w:cs="Calibri"/>
                <w:color w:val="000000"/>
              </w:rPr>
              <w:t>0.006</w:t>
            </w:r>
          </w:p>
        </w:tc>
        <w:tc>
          <w:tcPr>
            <w:tcW w:w="2400" w:type="dxa"/>
            <w:shd w:val="clear" w:color="auto" w:fill="F2F2F2"/>
            <w:tcMar>
              <w:top w:w="80" w:type="dxa"/>
              <w:left w:w="100" w:type="dxa"/>
              <w:bottom w:w="80" w:type="dxa"/>
              <w:right w:w="100" w:type="dxa"/>
            </w:tcMar>
            <w:vAlign w:val="center"/>
          </w:tcPr>
          <w:p w14:paraId="040AE67A" w14:textId="77777777" w:rsidR="0020713F" w:rsidRDefault="00000000">
            <w:pPr>
              <w:jc w:val="center"/>
            </w:pPr>
            <w:r>
              <w:rPr>
                <w:rFonts w:ascii="Calibri" w:eastAsia="Calibri" w:hAnsi="Calibri" w:cs="Calibri"/>
                <w:color w:val="000000"/>
              </w:rPr>
              <w:t>Yes</w:t>
            </w:r>
          </w:p>
        </w:tc>
      </w:tr>
    </w:tbl>
    <w:p w14:paraId="6144A631" w14:textId="77777777" w:rsidR="0020713F" w:rsidRDefault="00000000">
      <w:pPr>
        <w:spacing w:before="80" w:after="240"/>
        <w:jc w:val="center"/>
      </w:pPr>
      <w:r>
        <w:rPr>
          <w:rFonts w:ascii="Calibri" w:eastAsia="Calibri" w:hAnsi="Calibri" w:cs="Calibri"/>
          <w:i/>
          <w:iCs/>
          <w:color w:val="595959"/>
          <w:sz w:val="18"/>
          <w:szCs w:val="18"/>
        </w:rPr>
        <w:t>Table 4. Statistical test results (also reproduced on the Summary &amp; Stats sheet, rows 21–29).</w:t>
      </w:r>
    </w:p>
    <w:p w14:paraId="21A89FDC" w14:textId="77777777" w:rsidR="0020713F" w:rsidRDefault="00000000">
      <w:pPr>
        <w:pStyle w:val="Heading2"/>
        <w:spacing w:before="240"/>
      </w:pPr>
      <w:r>
        <w:t>4.3 Revenue Impact</w:t>
      </w:r>
    </w:p>
    <w:p w14:paraId="5D0990A3" w14:textId="77777777" w:rsidR="0020713F" w:rsidRDefault="00000000">
      <w:pPr>
        <w:spacing w:after="160" w:line="276" w:lineRule="auto"/>
        <w:jc w:val="both"/>
      </w:pPr>
      <w:r>
        <w:rPr>
          <w:rFonts w:ascii="Calibri" w:eastAsia="Calibri" w:hAnsi="Calibri" w:cs="Calibri"/>
          <w:sz w:val="22"/>
          <w:szCs w:val="22"/>
        </w:rPr>
        <w:t>Revenue per visitor (RPV) — total revenue divided by all visitors in the arm, including non-converters — is the metric that best balances conversion rate against order value, and is generally the most decision-relevant KPI for a pricing test because it approximates topline revenue impact per unit of traffic. In this simulated run, Control produced the highest RPV ($12.93), ahead of Discount ($11.72) and Premium ($10.13).</w:t>
      </w:r>
    </w:p>
    <w:p w14:paraId="52FEB5A0" w14:textId="77777777" w:rsidR="0020713F" w:rsidRDefault="00000000">
      <w:pPr>
        <w:spacing w:before="120" w:after="80"/>
        <w:jc w:val="center"/>
      </w:pPr>
      <w:r>
        <w:rPr>
          <w:noProof/>
        </w:rPr>
        <w:drawing>
          <wp:inline distT="0" distB="0" distL="0" distR="0" wp14:anchorId="254B6E3F" wp14:editId="59D13C27">
            <wp:extent cx="6200000" cy="3300000"/>
            <wp:effectExtent l="0" t="0" r="0" b="0"/>
            <wp:docPr id="1689271875" name="Picture 168927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00000" cy="3300000"/>
                    </a:xfrm>
                    <a:prstGeom prst="rect">
                      <a:avLst/>
                    </a:prstGeom>
                  </pic:spPr>
                </pic:pic>
              </a:graphicData>
            </a:graphic>
          </wp:inline>
        </w:drawing>
      </w:r>
    </w:p>
    <w:p w14:paraId="108A90FF" w14:textId="77777777" w:rsidR="0020713F" w:rsidRDefault="00000000">
      <w:pPr>
        <w:spacing w:before="80" w:after="240"/>
        <w:jc w:val="center"/>
      </w:pPr>
      <w:r>
        <w:rPr>
          <w:rFonts w:ascii="Calibri" w:eastAsia="Calibri" w:hAnsi="Calibri" w:cs="Calibri"/>
          <w:i/>
          <w:iCs/>
          <w:color w:val="595959"/>
          <w:sz w:val="18"/>
          <w:szCs w:val="18"/>
        </w:rPr>
        <w:t>Figure 3. Average order value (left) and revenue per visitor (right) by pricing arm.</w:t>
      </w:r>
    </w:p>
    <w:p w14:paraId="2EE94042" w14:textId="77777777" w:rsidR="0020713F" w:rsidRDefault="00000000">
      <w:pPr>
        <w:spacing w:after="160" w:line="276" w:lineRule="auto"/>
        <w:jc w:val="both"/>
      </w:pPr>
      <w:r>
        <w:rPr>
          <w:rFonts w:ascii="Calibri" w:eastAsia="Calibri" w:hAnsi="Calibri" w:cs="Calibri"/>
          <w:sz w:val="22"/>
          <w:szCs w:val="22"/>
        </w:rPr>
        <w:t>The RPV ranking should be read with two caveats. First, because none of the underlying conversion-rate differences are statistically significant, the RPV gap between arms is itself not proven to be a real, repeatable effect — it could shift with a larger sample. Second, RPV as calculated here ignores unit cost and margin; a full profitability comparison would need each arm's cost of goods sold (COGS) to compute contribution margin per visitor rather than revenue per visitor, since the premium arm's higher price converts more directly into margin than the discount arm's higher volume does.</w:t>
      </w:r>
    </w:p>
    <w:p w14:paraId="4552F19A" w14:textId="77777777" w:rsidR="0020713F" w:rsidRDefault="00000000">
      <w:pPr>
        <w:pStyle w:val="Heading1"/>
      </w:pPr>
      <w:r>
        <w:t>5. Visualization Summary</w:t>
      </w:r>
    </w:p>
    <w:p w14:paraId="1A0B81AE" w14:textId="77777777" w:rsidR="0020713F" w:rsidRDefault="00000000">
      <w:pPr>
        <w:spacing w:after="160" w:line="276" w:lineRule="auto"/>
        <w:jc w:val="both"/>
      </w:pPr>
      <w:r>
        <w:rPr>
          <w:rFonts w:ascii="Calibri" w:eastAsia="Calibri" w:hAnsi="Calibri" w:cs="Calibri"/>
          <w:sz w:val="22"/>
          <w:szCs w:val="22"/>
        </w:rPr>
        <w:lastRenderedPageBreak/>
        <w:t xml:space="preserve">Three visualizations accompany this </w:t>
      </w:r>
      <w:proofErr w:type="gramStart"/>
      <w:r>
        <w:rPr>
          <w:rFonts w:ascii="Calibri" w:eastAsia="Calibri" w:hAnsi="Calibri" w:cs="Calibri"/>
          <w:sz w:val="22"/>
          <w:szCs w:val="22"/>
        </w:rPr>
        <w:t>analysis,</w:t>
      </w:r>
      <w:proofErr w:type="gramEnd"/>
      <w:r>
        <w:rPr>
          <w:rFonts w:ascii="Calibri" w:eastAsia="Calibri" w:hAnsi="Calibri" w:cs="Calibri"/>
          <w:sz w:val="22"/>
          <w:szCs w:val="22"/>
        </w:rPr>
        <w:t xml:space="preserve"> all built from the session-level dataset and reproducible from the Summary &amp; Stats sheet:</w:t>
      </w:r>
    </w:p>
    <w:p w14:paraId="467AB6CB" w14:textId="77777777" w:rsidR="0020713F" w:rsidRDefault="00000000">
      <w:pPr>
        <w:pStyle w:val="ListParagraph"/>
        <w:numPr>
          <w:ilvl w:val="0"/>
          <w:numId w:val="1"/>
        </w:numPr>
        <w:spacing w:after="80"/>
      </w:pPr>
      <w:r>
        <w:rPr>
          <w:rFonts w:ascii="Calibri" w:eastAsia="Calibri" w:hAnsi="Calibri" w:cs="Calibri"/>
          <w:sz w:val="22"/>
          <w:szCs w:val="22"/>
        </w:rPr>
        <w:t>Figure 1 — Conversion funnel (visitors → add-to-cart → purchase) by arm, showing where each pricing strategy gains or loses visitors along the path to purchase.</w:t>
      </w:r>
    </w:p>
    <w:p w14:paraId="6CC367A1" w14:textId="77777777" w:rsidR="0020713F" w:rsidRDefault="00000000">
      <w:pPr>
        <w:pStyle w:val="ListParagraph"/>
        <w:numPr>
          <w:ilvl w:val="0"/>
          <w:numId w:val="1"/>
        </w:numPr>
        <w:spacing w:after="80"/>
      </w:pPr>
      <w:r>
        <w:rPr>
          <w:rFonts w:ascii="Calibri" w:eastAsia="Calibri" w:hAnsi="Calibri" w:cs="Calibri"/>
          <w:sz w:val="22"/>
          <w:szCs w:val="22"/>
        </w:rPr>
        <w:t>Figure 2 — Conversion rate with 95% confidence intervals, illustrating why the observed differences are not yet statistically conclusive.</w:t>
      </w:r>
    </w:p>
    <w:p w14:paraId="1F6B7C2F" w14:textId="77777777" w:rsidR="0020713F" w:rsidRDefault="00000000">
      <w:pPr>
        <w:pStyle w:val="ListParagraph"/>
        <w:numPr>
          <w:ilvl w:val="0"/>
          <w:numId w:val="1"/>
        </w:numPr>
        <w:spacing w:after="80"/>
      </w:pPr>
      <w:r>
        <w:rPr>
          <w:rFonts w:ascii="Calibri" w:eastAsia="Calibri" w:hAnsi="Calibri" w:cs="Calibri"/>
          <w:sz w:val="22"/>
          <w:szCs w:val="22"/>
        </w:rPr>
        <w:t>Figure 3 — AOV and revenue-per-visitor side by side, isolating the trade-off between "more orders, smaller basket" (Discount) and "fewer orders, larger basket" (Premium).</w:t>
      </w:r>
    </w:p>
    <w:p w14:paraId="7987D1BD" w14:textId="77777777" w:rsidR="0020713F" w:rsidRDefault="00000000">
      <w:pPr>
        <w:spacing w:after="160" w:line="276" w:lineRule="auto"/>
        <w:jc w:val="both"/>
      </w:pPr>
      <w:r>
        <w:rPr>
          <w:rFonts w:ascii="Calibri" w:eastAsia="Calibri" w:hAnsi="Calibri" w:cs="Calibri"/>
          <w:sz w:val="22"/>
          <w:szCs w:val="22"/>
        </w:rPr>
        <w:t>The live Excel workbook additionally includes a native bar chart on the Summary &amp; Stats sheet, linked directly to the formula cells, so the chart updates automatically if the raw data is edited or extended.</w:t>
      </w:r>
    </w:p>
    <w:p w14:paraId="6A86487A" w14:textId="77777777" w:rsidR="0020713F" w:rsidRDefault="00000000">
      <w:pPr>
        <w:pStyle w:val="Heading1"/>
      </w:pPr>
      <w:r>
        <w:t>6. Recommendations</w:t>
      </w:r>
    </w:p>
    <w:p w14:paraId="3C97643C" w14:textId="77777777" w:rsidR="0020713F" w:rsidRDefault="00000000">
      <w:pPr>
        <w:pStyle w:val="Heading2"/>
        <w:spacing w:before="240"/>
      </w:pPr>
      <w:r>
        <w:t>6.1 Statistical Recommendation</w:t>
      </w:r>
    </w:p>
    <w:p w14:paraId="16ED2B90" w14:textId="77777777" w:rsidR="0020713F" w:rsidRDefault="00000000">
      <w:pPr>
        <w:spacing w:after="160" w:line="276" w:lineRule="auto"/>
        <w:jc w:val="both"/>
      </w:pPr>
      <w:r>
        <w:rPr>
          <w:rFonts w:ascii="Calibri" w:eastAsia="Calibri" w:hAnsi="Calibri" w:cs="Calibri"/>
          <w:sz w:val="22"/>
          <w:szCs w:val="22"/>
        </w:rPr>
        <w:t>Do not declare a conversion-rate winner from this dataset. With 160–175 sessions per arm and single-digit-percentage conversion rates, the test is underpowered to detect the size of lift typically seen from a 20% price discount (which, based on comparable retail elasticity studies, is often in the 2–5 percentage-point range). Before rolling any pricing change out broadly, the test should be extended to roughly 900–1,000 sessions per arm (using the MDE approach in Section 3.1), or run for a longer duration to accumulate that traffic naturally.</w:t>
      </w:r>
    </w:p>
    <w:p w14:paraId="23ACFE05" w14:textId="77777777" w:rsidR="0020713F" w:rsidRDefault="00000000">
      <w:pPr>
        <w:spacing w:after="160" w:line="276" w:lineRule="auto"/>
        <w:jc w:val="both"/>
      </w:pPr>
      <w:r>
        <w:rPr>
          <w:rFonts w:ascii="Calibri" w:eastAsia="Calibri" w:hAnsi="Calibri" w:cs="Calibri"/>
          <w:sz w:val="22"/>
          <w:szCs w:val="22"/>
        </w:rPr>
        <w:t>The AOV and revenue results are far more trustworthy at the current sample size and should inform interim decisions: premium pricing reliably increases order value, and discount pricing reliably decreases it, holding conversion rate aside.</w:t>
      </w:r>
    </w:p>
    <w:p w14:paraId="3E99BCF7" w14:textId="77777777" w:rsidR="0020713F" w:rsidRDefault="00000000">
      <w:pPr>
        <w:pStyle w:val="Heading2"/>
        <w:spacing w:before="240"/>
      </w:pPr>
      <w:r>
        <w:t>6.2 Business Recommendation</w:t>
      </w:r>
    </w:p>
    <w:p w14:paraId="2AF31D95" w14:textId="77777777" w:rsidR="0020713F" w:rsidRDefault="00000000">
      <w:pPr>
        <w:pStyle w:val="ListParagraph"/>
        <w:numPr>
          <w:ilvl w:val="0"/>
          <w:numId w:val="1"/>
        </w:numPr>
        <w:spacing w:after="80"/>
      </w:pPr>
      <w:r>
        <w:rPr>
          <w:rFonts w:ascii="Calibri" w:eastAsia="Calibri" w:hAnsi="Calibri" w:cs="Calibri"/>
          <w:sz w:val="22"/>
          <w:szCs w:val="22"/>
        </w:rPr>
        <w:t>Extend the test to reach adequate statistical power on conversion rate before making a permanent pricing change — treat the current results as directional, not conclusive.</w:t>
      </w:r>
    </w:p>
    <w:p w14:paraId="4BC2AC67" w14:textId="77777777" w:rsidR="0020713F" w:rsidRDefault="00000000">
      <w:pPr>
        <w:pStyle w:val="ListParagraph"/>
        <w:numPr>
          <w:ilvl w:val="0"/>
          <w:numId w:val="1"/>
        </w:numPr>
        <w:spacing w:after="80"/>
      </w:pPr>
      <w:r>
        <w:rPr>
          <w:rFonts w:ascii="Calibri" w:eastAsia="Calibri" w:hAnsi="Calibri" w:cs="Calibri"/>
          <w:sz w:val="22"/>
          <w:szCs w:val="22"/>
        </w:rPr>
        <w:t xml:space="preserve">In the interim, </w:t>
      </w:r>
      <w:proofErr w:type="spellStart"/>
      <w:r>
        <w:rPr>
          <w:rFonts w:ascii="Calibri" w:eastAsia="Calibri" w:hAnsi="Calibri" w:cs="Calibri"/>
          <w:sz w:val="22"/>
          <w:szCs w:val="22"/>
        </w:rPr>
        <w:t>favor</w:t>
      </w:r>
      <w:proofErr w:type="spellEnd"/>
      <w:r>
        <w:rPr>
          <w:rFonts w:ascii="Calibri" w:eastAsia="Calibri" w:hAnsi="Calibri" w:cs="Calibri"/>
          <w:sz w:val="22"/>
          <w:szCs w:val="22"/>
        </w:rPr>
        <w:t xml:space="preserve"> a modest premium/value-based pricing approach over a deep discount, since the discount arm's conversion lift (not yet proven) would need to be large enough to offset both its lower per-order margin and its lower observed AOV — a bar it did not clear in this sample.</w:t>
      </w:r>
    </w:p>
    <w:p w14:paraId="065CCC01" w14:textId="77777777" w:rsidR="0020713F" w:rsidRDefault="00000000">
      <w:pPr>
        <w:pStyle w:val="ListParagraph"/>
        <w:numPr>
          <w:ilvl w:val="0"/>
          <w:numId w:val="1"/>
        </w:numPr>
        <w:spacing w:after="80"/>
      </w:pPr>
      <w:r>
        <w:rPr>
          <w:rFonts w:ascii="Calibri" w:eastAsia="Calibri" w:hAnsi="Calibri" w:cs="Calibri"/>
          <w:sz w:val="22"/>
          <w:szCs w:val="22"/>
        </w:rPr>
        <w:t>Segment the next test iteration by device and traffic source: mobile and paid-search sessions showed materially different engagement patterns in the underlying data, and a single blended price may be leaving revenue on the table for higher-intent segments (e.g., email traffic).</w:t>
      </w:r>
    </w:p>
    <w:p w14:paraId="310AFB03" w14:textId="77777777" w:rsidR="0020713F" w:rsidRDefault="00000000">
      <w:pPr>
        <w:pStyle w:val="ListParagraph"/>
        <w:numPr>
          <w:ilvl w:val="0"/>
          <w:numId w:val="1"/>
        </w:numPr>
        <w:spacing w:after="80"/>
      </w:pPr>
      <w:r>
        <w:rPr>
          <w:rFonts w:ascii="Calibri" w:eastAsia="Calibri" w:hAnsi="Calibri" w:cs="Calibri"/>
          <w:sz w:val="22"/>
          <w:szCs w:val="22"/>
        </w:rPr>
        <w:t>Layer in margin data (unit COGS) for the next analysis cycle so that revenue-per-visitor can be converted to contribution-margin-per-visitor, which is the metric that should ultimately decide between a volume (discount) and margin (premium) strategy.</w:t>
      </w:r>
    </w:p>
    <w:p w14:paraId="0D4C61DB" w14:textId="77777777" w:rsidR="0020713F" w:rsidRDefault="00000000">
      <w:pPr>
        <w:pStyle w:val="ListParagraph"/>
        <w:numPr>
          <w:ilvl w:val="0"/>
          <w:numId w:val="1"/>
        </w:numPr>
        <w:spacing w:after="80"/>
      </w:pPr>
      <w:r>
        <w:rPr>
          <w:rFonts w:ascii="Calibri" w:eastAsia="Calibri" w:hAnsi="Calibri" w:cs="Calibri"/>
          <w:sz w:val="22"/>
          <w:szCs w:val="22"/>
        </w:rPr>
        <w:t>Consider a dynamic/tiered approach as a longer-term test: rather than a single premium price for all visitors, test premium pricing selectively on high-intent segments (returning visitors, email traffic) while preserving standard or discount pricing for cold, price-sensitive traffic.</w:t>
      </w:r>
    </w:p>
    <w:p w14:paraId="4652D823" w14:textId="77777777" w:rsidR="0020713F" w:rsidRDefault="00000000">
      <w:pPr>
        <w:pStyle w:val="Heading2"/>
        <w:spacing w:before="240"/>
      </w:pPr>
      <w:r>
        <w:lastRenderedPageBreak/>
        <w:t>6.3 Summary</w:t>
      </w:r>
    </w:p>
    <w:p w14:paraId="733A9ECA" w14:textId="77777777" w:rsidR="0020713F" w:rsidRDefault="00000000">
      <w:pPr>
        <w:spacing w:after="160" w:line="276" w:lineRule="auto"/>
        <w:jc w:val="both"/>
      </w:pPr>
      <w:r>
        <w:rPr>
          <w:rFonts w:ascii="Calibri" w:eastAsia="Calibri" w:hAnsi="Calibri" w:cs="Calibri"/>
          <w:sz w:val="22"/>
          <w:szCs w:val="22"/>
        </w:rPr>
        <w:t>This experiment illustrates a core lesson in pricing A/B testing: conversion rate and order value often move in opposite directions when price changes, and a sample size adequate for one metric can be badly underpowered for the other. The framework, dataset, and statistical tests in this report and its companion workbook are designed to be reused directly for a properly powered follow-up test.</w:t>
      </w:r>
    </w:p>
    <w:p w14:paraId="2AEA90B0" w14:textId="77777777" w:rsidR="0020713F" w:rsidRDefault="00000000">
      <w:pPr>
        <w:pStyle w:val="Heading1"/>
      </w:pPr>
      <w:r>
        <w:t>7. Appendix — Dataset &amp; Workbook Reference</w:t>
      </w:r>
    </w:p>
    <w:p w14:paraId="03BD7999" w14:textId="77777777" w:rsidR="0020713F" w:rsidRDefault="00000000">
      <w:pPr>
        <w:spacing w:after="160" w:line="276" w:lineRule="auto"/>
        <w:jc w:val="both"/>
      </w:pPr>
      <w:r>
        <w:rPr>
          <w:rFonts w:ascii="Calibri" w:eastAsia="Calibri" w:hAnsi="Calibri" w:cs="Calibri"/>
          <w:sz w:val="22"/>
          <w:szCs w:val="22"/>
        </w:rPr>
        <w:t>The full 500-row session-level dataset and all calculations referenced in this report are provided in the companion file AB_Pricing_Test_Dataset.xlsx:</w:t>
      </w:r>
    </w:p>
    <w:p w14:paraId="16EE84E7" w14:textId="77777777" w:rsidR="0020713F" w:rsidRDefault="00000000">
      <w:pPr>
        <w:pStyle w:val="ListParagraph"/>
        <w:numPr>
          <w:ilvl w:val="0"/>
          <w:numId w:val="1"/>
        </w:numPr>
        <w:spacing w:after="80"/>
      </w:pPr>
      <w:r>
        <w:rPr>
          <w:rFonts w:ascii="Calibri" w:eastAsia="Calibri" w:hAnsi="Calibri" w:cs="Calibri"/>
          <w:sz w:val="22"/>
          <w:szCs w:val="22"/>
        </w:rPr>
        <w:t>Raw Data sheet — one row per visitor session (user ID, date, pricing arm, price shown, device, traffic source, session duration, pages viewed, add-to-cart flag, conversion flag, order value).</w:t>
      </w:r>
    </w:p>
    <w:p w14:paraId="576D4CBC" w14:textId="77777777" w:rsidR="0020713F" w:rsidRDefault="00000000">
      <w:pPr>
        <w:pStyle w:val="ListParagraph"/>
        <w:numPr>
          <w:ilvl w:val="0"/>
          <w:numId w:val="1"/>
        </w:numPr>
        <w:spacing w:after="80"/>
      </w:pPr>
      <w:r>
        <w:rPr>
          <w:rFonts w:ascii="Calibri" w:eastAsia="Calibri" w:hAnsi="Calibri" w:cs="Calibri"/>
          <w:sz w:val="22"/>
          <w:szCs w:val="22"/>
        </w:rPr>
        <w:t>Summary &amp; Stats sheet — formula-driven dashboard (COUNTIF/SUMIFS-based) computing sample size, add-to-cart rate, conversion rate, revenue, AOV, and revenue per visitor for each arm, plus a reference table of the significance-test results and a linked bar chart.</w:t>
      </w:r>
    </w:p>
    <w:p w14:paraId="1725B8B1" w14:textId="77777777" w:rsidR="0020713F" w:rsidRDefault="00000000">
      <w:pPr>
        <w:spacing w:after="160" w:line="276" w:lineRule="auto"/>
        <w:jc w:val="both"/>
      </w:pPr>
      <w:r>
        <w:rPr>
          <w:rFonts w:ascii="Calibri" w:eastAsia="Calibri" w:hAnsi="Calibri" w:cs="Calibri"/>
          <w:sz w:val="22"/>
          <w:szCs w:val="22"/>
        </w:rPr>
        <w:t>Because the summary sheet is formula-driven rather than hardcoded, replacing or extending the Raw Data sheet with real production data will automatically refresh every metric and the chart in this report.</w:t>
      </w:r>
    </w:p>
    <w:sectPr w:rsidR="0020713F">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A8FEE" w14:textId="77777777" w:rsidR="00B1643D" w:rsidRDefault="00B1643D">
      <w:r>
        <w:separator/>
      </w:r>
    </w:p>
  </w:endnote>
  <w:endnote w:type="continuationSeparator" w:id="0">
    <w:p w14:paraId="0E8B1833" w14:textId="77777777" w:rsidR="00B1643D" w:rsidRDefault="00B16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0BD8" w14:textId="77777777" w:rsidR="001A7855" w:rsidRDefault="001A7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F94C" w14:textId="77777777" w:rsidR="001A7855" w:rsidRDefault="001A7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3129" w14:textId="77777777" w:rsidR="001A7855" w:rsidRDefault="001A78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F29A" w14:textId="77777777" w:rsidR="0020713F"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1A7855">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1A7855">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38C4" w14:textId="77777777" w:rsidR="00B1643D" w:rsidRDefault="00B1643D">
      <w:r>
        <w:separator/>
      </w:r>
    </w:p>
  </w:footnote>
  <w:footnote w:type="continuationSeparator" w:id="0">
    <w:p w14:paraId="61E05EA9" w14:textId="77777777" w:rsidR="00B1643D" w:rsidRDefault="00B16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684B" w14:textId="77777777" w:rsidR="001A7855" w:rsidRDefault="001A7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DC36" w14:textId="77777777" w:rsidR="001A7855" w:rsidRDefault="001A7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C6398" w14:textId="77777777" w:rsidR="001A7855" w:rsidRDefault="001A78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9EA4" w14:textId="49576AF4" w:rsidR="0020713F" w:rsidRPr="001A7855" w:rsidRDefault="0020713F" w:rsidP="001A7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C73A6"/>
    <w:multiLevelType w:val="hybridMultilevel"/>
    <w:tmpl w:val="E8D00E32"/>
    <w:lvl w:ilvl="0" w:tplc="0630AB3A">
      <w:start w:val="1"/>
      <w:numFmt w:val="bullet"/>
      <w:lvlText w:val="●"/>
      <w:lvlJc w:val="left"/>
      <w:pPr>
        <w:ind w:left="720" w:hanging="360"/>
      </w:pPr>
    </w:lvl>
    <w:lvl w:ilvl="1" w:tplc="3F029392">
      <w:start w:val="1"/>
      <w:numFmt w:val="bullet"/>
      <w:lvlText w:val="○"/>
      <w:lvlJc w:val="left"/>
      <w:pPr>
        <w:ind w:left="1440" w:hanging="360"/>
      </w:pPr>
    </w:lvl>
    <w:lvl w:ilvl="2" w:tplc="BC1ADBDE">
      <w:start w:val="1"/>
      <w:numFmt w:val="bullet"/>
      <w:lvlText w:val="■"/>
      <w:lvlJc w:val="left"/>
      <w:pPr>
        <w:ind w:left="2160" w:hanging="360"/>
      </w:pPr>
    </w:lvl>
    <w:lvl w:ilvl="3" w:tplc="902C6A64">
      <w:start w:val="1"/>
      <w:numFmt w:val="bullet"/>
      <w:lvlText w:val="●"/>
      <w:lvlJc w:val="left"/>
      <w:pPr>
        <w:ind w:left="2880" w:hanging="360"/>
      </w:pPr>
    </w:lvl>
    <w:lvl w:ilvl="4" w:tplc="F17AA07E">
      <w:start w:val="1"/>
      <w:numFmt w:val="bullet"/>
      <w:lvlText w:val="○"/>
      <w:lvlJc w:val="left"/>
      <w:pPr>
        <w:ind w:left="3600" w:hanging="360"/>
      </w:pPr>
    </w:lvl>
    <w:lvl w:ilvl="5" w:tplc="A7A4F1E4">
      <w:start w:val="1"/>
      <w:numFmt w:val="bullet"/>
      <w:lvlText w:val="■"/>
      <w:lvlJc w:val="left"/>
      <w:pPr>
        <w:ind w:left="4320" w:hanging="360"/>
      </w:pPr>
    </w:lvl>
    <w:lvl w:ilvl="6" w:tplc="5DB68DD0">
      <w:start w:val="1"/>
      <w:numFmt w:val="bullet"/>
      <w:lvlText w:val="●"/>
      <w:lvlJc w:val="left"/>
      <w:pPr>
        <w:ind w:left="5040" w:hanging="360"/>
      </w:pPr>
    </w:lvl>
    <w:lvl w:ilvl="7" w:tplc="E2B49990">
      <w:start w:val="1"/>
      <w:numFmt w:val="bullet"/>
      <w:lvlText w:val="●"/>
      <w:lvlJc w:val="left"/>
      <w:pPr>
        <w:ind w:left="5760" w:hanging="360"/>
      </w:pPr>
    </w:lvl>
    <w:lvl w:ilvl="8" w:tplc="AEB84064">
      <w:start w:val="1"/>
      <w:numFmt w:val="bullet"/>
      <w:lvlText w:val="●"/>
      <w:lvlJc w:val="left"/>
      <w:pPr>
        <w:ind w:left="6480" w:hanging="360"/>
      </w:pPr>
    </w:lvl>
  </w:abstractNum>
  <w:num w:numId="1" w16cid:durableId="1746805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13F"/>
    <w:rsid w:val="001A7855"/>
    <w:rsid w:val="0020713F"/>
    <w:rsid w:val="00B1643D"/>
    <w:rsid w:val="00D75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910D7A"/>
  <w15:docId w15:val="{931BE04A-9CEA-4576-9935-B3FA1DD1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libri" w:eastAsia="Calibri" w:hAnsi="Calibri" w:cs="Calibri"/>
      <w:b/>
      <w:bCs/>
      <w:color w:val="1F4E78"/>
      <w:sz w:val="32"/>
      <w:szCs w:val="32"/>
    </w:rPr>
  </w:style>
  <w:style w:type="paragraph" w:styleId="Heading2">
    <w:name w:val="heading 2"/>
    <w:uiPriority w:val="9"/>
    <w:unhideWhenUsed/>
    <w:qFormat/>
    <w:pPr>
      <w:spacing w:before="260" w:after="120"/>
      <w:outlineLvl w:val="1"/>
    </w:pPr>
    <w:rPr>
      <w:rFonts w:ascii="Calibri" w:eastAsia="Calibri" w:hAnsi="Calibri" w:cs="Calibri"/>
      <w:b/>
      <w:bCs/>
      <w:color w:val="2E75B6"/>
      <w:sz w:val="26"/>
      <w:szCs w:val="26"/>
    </w:rPr>
  </w:style>
  <w:style w:type="paragraph" w:styleId="Heading3">
    <w:name w:val="heading 3"/>
    <w:uiPriority w:val="9"/>
    <w:semiHidden/>
    <w:unhideWhenUsed/>
    <w:qFormat/>
    <w:pPr>
      <w:spacing w:before="200" w:after="100"/>
      <w:outlineLvl w:val="2"/>
    </w:pPr>
    <w:rPr>
      <w:rFonts w:ascii="Calibri" w:eastAsia="Calibri" w:hAnsi="Calibri" w:cs="Calibri"/>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7855"/>
    <w:pPr>
      <w:tabs>
        <w:tab w:val="center" w:pos="4513"/>
        <w:tab w:val="right" w:pos="9026"/>
      </w:tabs>
    </w:pPr>
  </w:style>
  <w:style w:type="character" w:customStyle="1" w:styleId="HeaderChar">
    <w:name w:val="Header Char"/>
    <w:basedOn w:val="DefaultParagraphFont"/>
    <w:link w:val="Header"/>
    <w:uiPriority w:val="99"/>
    <w:rsid w:val="001A7855"/>
  </w:style>
  <w:style w:type="paragraph" w:styleId="Footer">
    <w:name w:val="footer"/>
    <w:basedOn w:val="Normal"/>
    <w:link w:val="FooterChar"/>
    <w:uiPriority w:val="99"/>
    <w:unhideWhenUsed/>
    <w:rsid w:val="001A7855"/>
    <w:pPr>
      <w:tabs>
        <w:tab w:val="center" w:pos="4513"/>
        <w:tab w:val="right" w:pos="9026"/>
      </w:tabs>
    </w:pPr>
  </w:style>
  <w:style w:type="character" w:customStyle="1" w:styleId="FooterChar">
    <w:name w:val="Footer Char"/>
    <w:basedOn w:val="DefaultParagraphFont"/>
    <w:link w:val="Footer"/>
    <w:uiPriority w:val="99"/>
    <w:rsid w:val="001A7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1994</Words>
  <Characters>11367</Characters>
  <Application>Microsoft Office Word</Application>
  <DocSecurity>0</DocSecurity>
  <Lines>94</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shailesh verma</cp:lastModifiedBy>
  <cp:revision>2</cp:revision>
  <dcterms:created xsi:type="dcterms:W3CDTF">2026-09-07T18:22:00Z</dcterms:created>
  <dcterms:modified xsi:type="dcterms:W3CDTF">2026-09-07T18:30:00Z</dcterms:modified>
</cp:coreProperties>
</file>