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79FE" w14:textId="77777777" w:rsidR="00493B03" w:rsidRDefault="00493B03">
      <w:pPr>
        <w:spacing w:before="1800"/>
      </w:pPr>
    </w:p>
    <w:p w14:paraId="4E71CEC7" w14:textId="77777777" w:rsidR="00493B03" w:rsidRDefault="00000000">
      <w:pPr>
        <w:jc w:val="center"/>
      </w:pPr>
      <w:r>
        <w:rPr>
          <w:b/>
          <w:bCs/>
          <w:color w:val="1F3552"/>
          <w:sz w:val="46"/>
          <w:szCs w:val="46"/>
        </w:rPr>
        <w:t>WEBSITE ANALYTICS &amp; CONVERSION</w:t>
      </w:r>
    </w:p>
    <w:p w14:paraId="7F168966" w14:textId="77777777" w:rsidR="00493B03" w:rsidRDefault="00000000">
      <w:pPr>
        <w:spacing w:after="260"/>
        <w:jc w:val="center"/>
      </w:pPr>
      <w:r>
        <w:rPr>
          <w:b/>
          <w:bCs/>
          <w:color w:val="1F3552"/>
          <w:sz w:val="46"/>
          <w:szCs w:val="46"/>
        </w:rPr>
        <w:t>RATE OPTIMIZATION REPORT</w:t>
      </w:r>
    </w:p>
    <w:p w14:paraId="1EA1F77B" w14:textId="77777777" w:rsidR="00493B03" w:rsidRDefault="00000000">
      <w:pPr>
        <w:spacing w:after="60"/>
        <w:jc w:val="center"/>
      </w:pPr>
      <w:r>
        <w:rPr>
          <w:i/>
          <w:iCs/>
          <w:color w:val="5A6472"/>
          <w:sz w:val="24"/>
          <w:szCs w:val="24"/>
        </w:rPr>
        <w:t>A Diagnostic Analysis of eCommerce KPIs, Conversion Funnel Performance,</w:t>
      </w:r>
    </w:p>
    <w:p w14:paraId="469FF30A" w14:textId="77777777" w:rsidR="00493B03" w:rsidRDefault="00000000">
      <w:pPr>
        <w:spacing w:after="900"/>
        <w:jc w:val="center"/>
      </w:pPr>
      <w:r>
        <w:rPr>
          <w:i/>
          <w:iCs/>
          <w:color w:val="5A6472"/>
          <w:sz w:val="24"/>
          <w:szCs w:val="24"/>
        </w:rPr>
        <w:t>and Evidence-Based Recommendations</w:t>
      </w:r>
    </w:p>
    <w:p w14:paraId="013B99CF" w14:textId="77777777" w:rsidR="00493B03" w:rsidRDefault="00493B03">
      <w:pPr>
        <w:pBdr>
          <w:top w:val="single" w:sz="12" w:space="10" w:color="2A9D8F"/>
        </w:pBdr>
        <w:spacing w:after="400"/>
        <w:jc w:val="center"/>
      </w:pPr>
    </w:p>
    <w:p w14:paraId="66883F23" w14:textId="77777777" w:rsidR="00493B03" w:rsidRDefault="00000000">
      <w:pPr>
        <w:spacing w:after="120"/>
        <w:jc w:val="center"/>
      </w:pPr>
      <w:r>
        <w:rPr>
          <w:sz w:val="22"/>
          <w:szCs w:val="22"/>
        </w:rPr>
        <w:t>Prepared for: Week 4 Task — Website Analytics and Conversion Rate Optimization</w:t>
      </w:r>
    </w:p>
    <w:p w14:paraId="13EB109D" w14:textId="6386C34A" w:rsidR="00493B03" w:rsidRDefault="00000000">
      <w:pPr>
        <w:spacing w:after="120"/>
        <w:jc w:val="center"/>
      </w:pPr>
      <w:r>
        <w:rPr>
          <w:sz w:val="22"/>
          <w:szCs w:val="22"/>
        </w:rPr>
        <w:t xml:space="preserve">Scope: Simulated Retail eCommerce Dataset </w:t>
      </w:r>
    </w:p>
    <w:p w14:paraId="3BE90F62" w14:textId="77777777" w:rsidR="00493B03" w:rsidRDefault="00000000">
      <w:pPr>
        <w:spacing w:after="120"/>
        <w:jc w:val="center"/>
      </w:pPr>
      <w:r>
        <w:rPr>
          <w:sz w:val="22"/>
          <w:szCs w:val="22"/>
        </w:rPr>
        <w:t>Prepared by: Shailesh</w:t>
      </w:r>
    </w:p>
    <w:p w14:paraId="76FFECDA" w14:textId="77777777" w:rsidR="00493B03" w:rsidRDefault="00000000">
      <w:pPr>
        <w:spacing w:after="1200"/>
        <w:jc w:val="center"/>
      </w:pPr>
      <w:r>
        <w:rPr>
          <w:sz w:val="22"/>
          <w:szCs w:val="22"/>
        </w:rPr>
        <w:t>Date: September 2026</w:t>
      </w:r>
    </w:p>
    <w:p w14:paraId="0001BE8C" w14:textId="39DBD77C" w:rsidR="00493B03" w:rsidRPr="00B637E4" w:rsidRDefault="00000000" w:rsidP="00B637E4">
      <w:pPr>
        <w:rPr>
          <w:b/>
          <w:bCs/>
          <w:color w:val="1F3552"/>
          <w:sz w:val="30"/>
          <w:szCs w:val="30"/>
        </w:rPr>
      </w:pPr>
      <w:r>
        <w:br w:type="page"/>
      </w:r>
      <w:r w:rsidR="00B637E4" w:rsidRPr="00B637E4">
        <w:rPr>
          <w:b/>
          <w:bCs/>
          <w:color w:val="1F3552"/>
          <w:sz w:val="30"/>
          <w:szCs w:val="30"/>
        </w:rPr>
        <w:lastRenderedPageBreak/>
        <w:t>1</w:t>
      </w:r>
      <w:r w:rsidR="00B637E4" w:rsidRPr="00B637E4">
        <w:rPr>
          <w:b/>
          <w:bCs/>
          <w:color w:val="1F3552"/>
          <w:sz w:val="30"/>
          <w:szCs w:val="30"/>
        </w:rPr>
        <w:t xml:space="preserve">. </w:t>
      </w:r>
      <w:r w:rsidRPr="00B637E4">
        <w:rPr>
          <w:b/>
          <w:bCs/>
          <w:color w:val="1F3552"/>
          <w:sz w:val="30"/>
          <w:szCs w:val="30"/>
        </w:rPr>
        <w:t>Executive Summary</w:t>
      </w:r>
    </w:p>
    <w:p w14:paraId="2FB2B643" w14:textId="77777777" w:rsidR="00B637E4" w:rsidRDefault="00B637E4" w:rsidP="00B637E4">
      <w:pPr>
        <w:ind w:left="360"/>
      </w:pPr>
    </w:p>
    <w:p w14:paraId="5DF7A280" w14:textId="77777777" w:rsidR="00493B03" w:rsidRDefault="00000000">
      <w:pPr>
        <w:spacing w:after="160" w:line="288" w:lineRule="auto"/>
        <w:jc w:val="both"/>
      </w:pPr>
      <w:r>
        <w:t xml:space="preserve">This report presents a comprehensive website analytics and conversion rate optimization (CRO) study for a retail eCommerce platform. Because live production analytics access was not available for this exercise, the analysis is built on a simulated dataset of 500 website sessions, constructed to statistically mirror the behavioural patterns and benchmark ranges published by leading industry sources — including </w:t>
      </w:r>
      <w:proofErr w:type="spellStart"/>
      <w:r>
        <w:t>Baymard</w:t>
      </w:r>
      <w:proofErr w:type="spellEnd"/>
      <w:r>
        <w:t xml:space="preserve"> Institute, </w:t>
      </w:r>
      <w:proofErr w:type="spellStart"/>
      <w:r>
        <w:t>Contentsquare</w:t>
      </w:r>
      <w:proofErr w:type="spellEnd"/>
      <w:r>
        <w:t>, Triple Whale, and Shopify — for bounce rate, click-through behaviour, cart abandonment, and conversion rate. This approach allows the theoretical framework and diagnostic method to be demonstrated end-to-end while remaining grounded in real-world benchmark data.</w:t>
      </w:r>
    </w:p>
    <w:p w14:paraId="0021F7B3" w14:textId="77777777" w:rsidR="00493B03" w:rsidRDefault="00000000">
      <w:pPr>
        <w:spacing w:after="160" w:line="288" w:lineRule="auto"/>
        <w:jc w:val="both"/>
      </w:pPr>
      <w:r>
        <w:t>The simulated site recorded an overall conversion rate of 3.00%, a bounce rate of 42.0%, and a cart abandonment rate of 72.7% — all within the ranges reported for global eCommerce in 2025–2026 (conversion 2.5%–3.0%; bounce 20%–45%; cart abandonment ~70%). Analysis of the funnel reveals the steepest drop-off between product page views and cart additions, and mobile traffic — while carrying the largest share of sessions — converts at roughly half the rate of desktop traffic.</w:t>
      </w:r>
    </w:p>
    <w:p w14:paraId="32283E48" w14:textId="77777777" w:rsidR="00493B03" w:rsidRDefault="00000000">
      <w:pPr>
        <w:spacing w:after="160" w:line="288" w:lineRule="auto"/>
        <w:jc w:val="both"/>
      </w:pPr>
      <w:r>
        <w:t xml:space="preserve">Key recommendations </w:t>
      </w:r>
      <w:proofErr w:type="spellStart"/>
      <w:r>
        <w:t>center</w:t>
      </w:r>
      <w:proofErr w:type="spellEnd"/>
      <w:r>
        <w:t xml:space="preserve"> on four levers: (1) reducing mobile checkout friction, (2) recovering abandoned carts through automated email/SMS sequences, (3) reallocating budget toward higher-converting channels such as paid social and paid search, and (4) improving product-page engagement to lift the page-view-to-cart-addition rate. Collectively, these interventions are projected to lift the overall conversion rate from 3.0% toward a realistic 4.0%–4.5% target within one to two optimization cycles, without requiring additional traffic acquisition spend.</w:t>
      </w:r>
    </w:p>
    <w:p w14:paraId="4CEA2919" w14:textId="77777777" w:rsidR="00493B03" w:rsidRDefault="00000000">
      <w:pPr>
        <w:pStyle w:val="Heading1"/>
        <w:pBdr>
          <w:bottom w:val="single" w:sz="8" w:space="4" w:color="1F3552"/>
        </w:pBdr>
        <w:spacing w:before="380" w:after="200"/>
      </w:pPr>
      <w:r>
        <w:rPr>
          <w:b/>
          <w:bCs/>
          <w:color w:val="1F3552"/>
          <w:sz w:val="30"/>
          <w:szCs w:val="30"/>
        </w:rPr>
        <w:t>2. Introduction</w:t>
      </w:r>
    </w:p>
    <w:p w14:paraId="4E377D3F" w14:textId="77777777" w:rsidR="00493B03" w:rsidRDefault="00000000">
      <w:pPr>
        <w:spacing w:after="160" w:line="288" w:lineRule="auto"/>
        <w:jc w:val="both"/>
      </w:pPr>
      <w:r>
        <w:t>Digital analytics has become the primary lens through which eCommerce businesses evaluate the health of their customer acquisition and retention efforts. Unlike physical retail, where footfall and in-store behaviour are difficult to instrument, an eCommerce website produces a granular, timestamped record of every visitor action — from the entry channel, to the pages viewed, to the moment (if any) a purchase is completed. Interpreting this record correctly is what separates a website that merely accumulates traffic from one that converts that traffic into revenue.</w:t>
      </w:r>
    </w:p>
    <w:p w14:paraId="41CCB992" w14:textId="77777777" w:rsidR="00493B03" w:rsidRDefault="00000000">
      <w:pPr>
        <w:spacing w:after="160" w:line="288" w:lineRule="auto"/>
        <w:jc w:val="both"/>
      </w:pPr>
      <w:r>
        <w:t>This task evaluates the effectiveness of a retail eCommerce website using a set of established key performance indicators (KPIs): bounce rate, average session duration, click-through rate (CTR), cart abandonment rate, and conversion rate. The objective is threefold:</w:t>
      </w:r>
    </w:p>
    <w:p w14:paraId="65F7EE27" w14:textId="77777777" w:rsidR="00493B03" w:rsidRDefault="00000000">
      <w:pPr>
        <w:pStyle w:val="ListParagraph"/>
        <w:numPr>
          <w:ilvl w:val="0"/>
          <w:numId w:val="2"/>
        </w:numPr>
        <w:spacing w:after="100"/>
      </w:pPr>
      <w:r>
        <w:t>Establish a repeatable analytical framework for evaluating eCommerce website performance against documented industry benchmarks.</w:t>
      </w:r>
    </w:p>
    <w:p w14:paraId="73783F62" w14:textId="77777777" w:rsidR="00493B03" w:rsidRDefault="00000000">
      <w:pPr>
        <w:pStyle w:val="ListParagraph"/>
        <w:numPr>
          <w:ilvl w:val="0"/>
          <w:numId w:val="2"/>
        </w:numPr>
        <w:spacing w:after="100"/>
      </w:pPr>
      <w:r>
        <w:t>Apply that framework to a simulated but benchmark-consistent dataset to surface realistic patterns of user drop-off across the conversion funnel.</w:t>
      </w:r>
    </w:p>
    <w:p w14:paraId="67247E0C" w14:textId="77777777" w:rsidR="00493B03" w:rsidRDefault="00000000">
      <w:pPr>
        <w:pStyle w:val="ListParagraph"/>
        <w:numPr>
          <w:ilvl w:val="0"/>
          <w:numId w:val="2"/>
        </w:numPr>
        <w:spacing w:after="100"/>
      </w:pPr>
      <w:r>
        <w:t>Translate the resulting insights into prioritized, actionable recommendations that a product, marketing, or growth team could implement to improve conversion rates.</w:t>
      </w:r>
    </w:p>
    <w:p w14:paraId="7E047E7A" w14:textId="77777777" w:rsidR="00493B03" w:rsidRDefault="00000000">
      <w:pPr>
        <w:spacing w:after="160" w:line="288" w:lineRule="auto"/>
        <w:jc w:val="both"/>
      </w:pPr>
      <w:r>
        <w:t>The report is organized to first define the methodology and KPI framework, then walk through the simulated analysis stage by stage (funnel, device, traffic source, and time trend), before concluding with insights, recommendations, and a phased implementation roadmap.</w:t>
      </w:r>
    </w:p>
    <w:p w14:paraId="0D7512A6" w14:textId="77777777" w:rsidR="00493B03" w:rsidRDefault="00000000">
      <w:r>
        <w:br w:type="page"/>
      </w:r>
    </w:p>
    <w:p w14:paraId="5F591563" w14:textId="77777777" w:rsidR="00493B03" w:rsidRDefault="00000000">
      <w:pPr>
        <w:pStyle w:val="Heading1"/>
        <w:pBdr>
          <w:bottom w:val="single" w:sz="8" w:space="4" w:color="1F3552"/>
        </w:pBdr>
        <w:spacing w:before="380" w:after="200"/>
      </w:pPr>
      <w:r>
        <w:rPr>
          <w:b/>
          <w:bCs/>
          <w:color w:val="1F3552"/>
          <w:sz w:val="30"/>
          <w:szCs w:val="30"/>
        </w:rPr>
        <w:lastRenderedPageBreak/>
        <w:t>3. Methodology and Analysis Framework</w:t>
      </w:r>
    </w:p>
    <w:p w14:paraId="779661CF" w14:textId="77777777" w:rsidR="00493B03" w:rsidRDefault="00000000">
      <w:pPr>
        <w:spacing w:after="160" w:line="288" w:lineRule="auto"/>
        <w:jc w:val="both"/>
      </w:pPr>
      <w:r>
        <w:t xml:space="preserve">The analysis follows a four-stage methodology designed to move from raw behavioural data to prioritized action, consistent with standard web-analytics and CRO practice (e.g., the Google Analytics 4 ecommerce funnel model and the </w:t>
      </w:r>
      <w:proofErr w:type="spellStart"/>
      <w:r>
        <w:t>Baymard</w:t>
      </w:r>
      <w:proofErr w:type="spellEnd"/>
      <w:r>
        <w:t xml:space="preserve"> Institute checkout-usability framework):</w:t>
      </w:r>
    </w:p>
    <w:p w14:paraId="5F334326" w14:textId="77777777" w:rsidR="00493B03" w:rsidRDefault="00000000">
      <w:pPr>
        <w:spacing w:before="200" w:after="100"/>
      </w:pPr>
      <w:r>
        <w:rPr>
          <w:b/>
          <w:bCs/>
          <w:color w:val="1F3552"/>
          <w:sz w:val="22"/>
          <w:szCs w:val="22"/>
        </w:rPr>
        <w:t>Stage 1 — Data Collection and Instrumentation</w:t>
      </w:r>
    </w:p>
    <w:p w14:paraId="4CA3F9DF" w14:textId="77777777" w:rsidR="00493B03" w:rsidRDefault="00000000">
      <w:pPr>
        <w:spacing w:after="160" w:line="288" w:lineRule="auto"/>
        <w:jc w:val="both"/>
      </w:pPr>
      <w:r>
        <w:t>In a production environment, this stage involves instrumenting the site with an analytics platform (e.g., Google Analytics 4, Adobe Analytics, or a similar tool) to capture session-level events: landing page, traffic source/medium, device category, pages viewed, time on page, add-to-cart events, checkout steps, and completed transactions. For this exercise, a comparable session-level dataset was simulated (see Section 5) using probability distributions calibrated to published 2025–2026 industry benchmarks, so that the resulting metrics fall within realistic ranges rather than being arbitrary.</w:t>
      </w:r>
    </w:p>
    <w:p w14:paraId="49B5BD86" w14:textId="77777777" w:rsidR="00493B03" w:rsidRDefault="00000000">
      <w:pPr>
        <w:spacing w:before="200" w:after="100"/>
      </w:pPr>
      <w:r>
        <w:rPr>
          <w:b/>
          <w:bCs/>
          <w:color w:val="1F3552"/>
          <w:sz w:val="22"/>
          <w:szCs w:val="22"/>
        </w:rPr>
        <w:t>Stage 2 — KPI Definition</w:t>
      </w:r>
    </w:p>
    <w:p w14:paraId="5C348B87" w14:textId="77777777" w:rsidR="00493B03" w:rsidRDefault="00000000">
      <w:pPr>
        <w:spacing w:after="160" w:line="288" w:lineRule="auto"/>
        <w:jc w:val="both"/>
      </w:pPr>
      <w:r>
        <w:t>A concise set of KPIs was selected because each maps to a distinct, actionable stage of the customer journey rather than duplicating the same signal. The full KPI framework, including formulas and benchmark ranges, is detailed in Section 4.</w:t>
      </w:r>
    </w:p>
    <w:p w14:paraId="66D9AFAE" w14:textId="77777777" w:rsidR="00493B03" w:rsidRDefault="00000000">
      <w:pPr>
        <w:spacing w:before="200" w:after="100"/>
      </w:pPr>
      <w:r>
        <w:rPr>
          <w:b/>
          <w:bCs/>
          <w:color w:val="1F3552"/>
          <w:sz w:val="22"/>
          <w:szCs w:val="22"/>
        </w:rPr>
        <w:t>Stage 3 — Funnel Segmentation and Comparative Analysis</w:t>
      </w:r>
    </w:p>
    <w:p w14:paraId="483586CB" w14:textId="77777777" w:rsidR="00493B03" w:rsidRDefault="00000000">
      <w:pPr>
        <w:spacing w:after="160" w:line="288" w:lineRule="auto"/>
        <w:jc w:val="both"/>
      </w:pPr>
      <w:r>
        <w:t>Rather than reviewing metrics in isolation, each KPI is segmented by the dimensions that most commonly explain performance variance in retail eCommerce: device category (mobile, desktop, tablet), traffic source/channel, and time period (weekly trend across the analysis window). This segmentation is what converts a single "conversion rate = 3.0%" data point into a diagnostic finding — for example, revealing that the aggregate figure masks a meaningfully weaker mobile experience.</w:t>
      </w:r>
    </w:p>
    <w:p w14:paraId="4880F8C1" w14:textId="77777777" w:rsidR="00493B03" w:rsidRDefault="00000000">
      <w:pPr>
        <w:spacing w:before="200" w:after="100"/>
      </w:pPr>
      <w:r>
        <w:rPr>
          <w:b/>
          <w:bCs/>
          <w:color w:val="1F3552"/>
          <w:sz w:val="22"/>
          <w:szCs w:val="22"/>
        </w:rPr>
        <w:t>Stage 4 — Insight Synthesis and Recommendation Prioritization</w:t>
      </w:r>
    </w:p>
    <w:p w14:paraId="16D3EA3E" w14:textId="77777777" w:rsidR="00493B03" w:rsidRDefault="00000000">
      <w:pPr>
        <w:spacing w:after="160" w:line="288" w:lineRule="auto"/>
        <w:jc w:val="both"/>
      </w:pPr>
      <w:r>
        <w:t>Findings from Stage 3 are synthesized into insight statements, each linked to a specific funnel stage and a corresponding, testable recommendation. Recommendations are prioritized using an effort-versus-impact lens so that quick, low-effort wins (e.g., checkout form simplification) are distinguished from larger structural initiatives (e.g., a mobile checkout redesign).</w:t>
      </w:r>
    </w:p>
    <w:p w14:paraId="5ACE161A" w14:textId="77777777" w:rsidR="00493B03" w:rsidRDefault="00000000">
      <w:r>
        <w:br w:type="page"/>
      </w:r>
    </w:p>
    <w:p w14:paraId="2F32CB86" w14:textId="77777777" w:rsidR="00493B03" w:rsidRDefault="00000000">
      <w:pPr>
        <w:pStyle w:val="Heading1"/>
        <w:pBdr>
          <w:bottom w:val="single" w:sz="8" w:space="4" w:color="1F3552"/>
        </w:pBdr>
        <w:spacing w:before="380" w:after="200"/>
      </w:pPr>
      <w:r>
        <w:rPr>
          <w:b/>
          <w:bCs/>
          <w:color w:val="1F3552"/>
          <w:sz w:val="30"/>
          <w:szCs w:val="30"/>
        </w:rPr>
        <w:lastRenderedPageBreak/>
        <w:t>4. KPI Definitions and Industry Benchmarks</w:t>
      </w:r>
    </w:p>
    <w:p w14:paraId="4AB6929E" w14:textId="77777777" w:rsidR="00493B03" w:rsidRDefault="00000000">
      <w:pPr>
        <w:spacing w:after="160" w:line="288" w:lineRule="auto"/>
        <w:jc w:val="both"/>
      </w:pPr>
      <w:r>
        <w:t>Each KPI below was selected because it isolates a distinct point of possible failure in the conversion journey — a high bounce rate signals a landing-page or traffic-quality problem; a low add-to-cart rate signals a product-page problem; a high cart abandonment rate signals a checkout-process problem. Benchmarks are drawn from publicly available 2025–2026 industry research (</w:t>
      </w:r>
      <w:proofErr w:type="spellStart"/>
      <w:r>
        <w:t>Baymard</w:t>
      </w:r>
      <w:proofErr w:type="spellEnd"/>
      <w:r>
        <w:t xml:space="preserve"> Institute, </w:t>
      </w:r>
      <w:proofErr w:type="spellStart"/>
      <w:r>
        <w:t>Contentsquare</w:t>
      </w:r>
      <w:proofErr w:type="spellEnd"/>
      <w:r>
        <w:t xml:space="preserve">, Triple Whale, Shopify, Statista, and </w:t>
      </w:r>
      <w:proofErr w:type="spellStart"/>
      <w:r>
        <w:t>Opensend</w:t>
      </w:r>
      <w:proofErr w:type="spellEnd"/>
      <w:r>
        <w:t>); full citations appear in Section 11.</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2000"/>
        <w:gridCol w:w="2100"/>
      </w:tblGrid>
      <w:tr w:rsidR="00493B03" w14:paraId="5DE671B8" w14:textId="77777777">
        <w:tblPrEx>
          <w:tblCellMar>
            <w:top w:w="0" w:type="dxa"/>
            <w:bottom w:w="0" w:type="dxa"/>
          </w:tblCellMar>
        </w:tblPrEx>
        <w:trPr>
          <w:cantSplit/>
          <w:tblHeader/>
        </w:trPr>
        <w:tc>
          <w:tcPr>
            <w:tcW w:w="2000" w:type="dxa"/>
            <w:shd w:val="clear" w:color="auto" w:fill="1F3552"/>
            <w:tcMar>
              <w:top w:w="90" w:type="dxa"/>
              <w:left w:w="110" w:type="dxa"/>
              <w:bottom w:w="90" w:type="dxa"/>
              <w:right w:w="110" w:type="dxa"/>
            </w:tcMar>
            <w:vAlign w:val="center"/>
          </w:tcPr>
          <w:p w14:paraId="5923A76A" w14:textId="77777777" w:rsidR="00493B03" w:rsidRDefault="00000000">
            <w:pPr>
              <w:jc w:val="center"/>
            </w:pPr>
            <w:r>
              <w:rPr>
                <w:b/>
                <w:bCs/>
                <w:color w:val="FFFFFF"/>
                <w:sz w:val="20"/>
                <w:szCs w:val="20"/>
              </w:rPr>
              <w:t>KPI</w:t>
            </w:r>
          </w:p>
        </w:tc>
        <w:tc>
          <w:tcPr>
            <w:tcW w:w="3600" w:type="dxa"/>
            <w:shd w:val="clear" w:color="auto" w:fill="1F3552"/>
            <w:tcMar>
              <w:top w:w="90" w:type="dxa"/>
              <w:left w:w="110" w:type="dxa"/>
              <w:bottom w:w="90" w:type="dxa"/>
              <w:right w:w="110" w:type="dxa"/>
            </w:tcMar>
            <w:vAlign w:val="center"/>
          </w:tcPr>
          <w:p w14:paraId="47DA7C8D" w14:textId="77777777" w:rsidR="00493B03" w:rsidRDefault="00000000">
            <w:pPr>
              <w:jc w:val="center"/>
            </w:pPr>
            <w:r>
              <w:rPr>
                <w:b/>
                <w:bCs/>
                <w:color w:val="FFFFFF"/>
                <w:sz w:val="20"/>
                <w:szCs w:val="20"/>
              </w:rPr>
              <w:t>Definition / Formula</w:t>
            </w:r>
          </w:p>
        </w:tc>
        <w:tc>
          <w:tcPr>
            <w:tcW w:w="2000" w:type="dxa"/>
            <w:shd w:val="clear" w:color="auto" w:fill="1F3552"/>
            <w:tcMar>
              <w:top w:w="90" w:type="dxa"/>
              <w:left w:w="110" w:type="dxa"/>
              <w:bottom w:w="90" w:type="dxa"/>
              <w:right w:w="110" w:type="dxa"/>
            </w:tcMar>
            <w:vAlign w:val="center"/>
          </w:tcPr>
          <w:p w14:paraId="23E90E68" w14:textId="77777777" w:rsidR="00493B03" w:rsidRDefault="00000000">
            <w:pPr>
              <w:jc w:val="center"/>
            </w:pPr>
            <w:r>
              <w:rPr>
                <w:b/>
                <w:bCs/>
                <w:color w:val="FFFFFF"/>
                <w:sz w:val="20"/>
                <w:szCs w:val="20"/>
              </w:rPr>
              <w:t>Funnel Stage</w:t>
            </w:r>
          </w:p>
        </w:tc>
        <w:tc>
          <w:tcPr>
            <w:tcW w:w="2100" w:type="dxa"/>
            <w:shd w:val="clear" w:color="auto" w:fill="1F3552"/>
            <w:tcMar>
              <w:top w:w="90" w:type="dxa"/>
              <w:left w:w="110" w:type="dxa"/>
              <w:bottom w:w="90" w:type="dxa"/>
              <w:right w:w="110" w:type="dxa"/>
            </w:tcMar>
            <w:vAlign w:val="center"/>
          </w:tcPr>
          <w:p w14:paraId="3EDA75D0" w14:textId="77777777" w:rsidR="00493B03" w:rsidRDefault="00000000">
            <w:pPr>
              <w:jc w:val="center"/>
            </w:pPr>
            <w:r>
              <w:rPr>
                <w:b/>
                <w:bCs/>
                <w:color w:val="FFFFFF"/>
                <w:sz w:val="20"/>
                <w:szCs w:val="20"/>
              </w:rPr>
              <w:t>2025–26 Benchmark*</w:t>
            </w:r>
          </w:p>
        </w:tc>
      </w:tr>
      <w:tr w:rsidR="00493B03" w14:paraId="77824E12" w14:textId="77777777">
        <w:tblPrEx>
          <w:tblCellMar>
            <w:top w:w="0" w:type="dxa"/>
            <w:bottom w:w="0" w:type="dxa"/>
          </w:tblCellMar>
        </w:tblPrEx>
        <w:trPr>
          <w:cantSplit/>
        </w:trPr>
        <w:tc>
          <w:tcPr>
            <w:tcW w:w="2000" w:type="dxa"/>
            <w:shd w:val="clear" w:color="auto" w:fill="F2F5F7"/>
            <w:tcMar>
              <w:top w:w="90" w:type="dxa"/>
              <w:left w:w="110" w:type="dxa"/>
              <w:bottom w:w="90" w:type="dxa"/>
              <w:right w:w="110" w:type="dxa"/>
            </w:tcMar>
            <w:vAlign w:val="center"/>
          </w:tcPr>
          <w:p w14:paraId="6CA592C8" w14:textId="77777777" w:rsidR="00493B03" w:rsidRDefault="00000000">
            <w:r>
              <w:rPr>
                <w:color w:val="000000"/>
                <w:sz w:val="20"/>
                <w:szCs w:val="20"/>
              </w:rPr>
              <w:t>Bounce Rate</w:t>
            </w:r>
          </w:p>
        </w:tc>
        <w:tc>
          <w:tcPr>
            <w:tcW w:w="3600" w:type="dxa"/>
            <w:shd w:val="clear" w:color="auto" w:fill="F2F5F7"/>
            <w:tcMar>
              <w:top w:w="90" w:type="dxa"/>
              <w:left w:w="110" w:type="dxa"/>
              <w:bottom w:w="90" w:type="dxa"/>
              <w:right w:w="110" w:type="dxa"/>
            </w:tcMar>
            <w:vAlign w:val="center"/>
          </w:tcPr>
          <w:p w14:paraId="26FCF4EC" w14:textId="77777777" w:rsidR="00493B03" w:rsidRDefault="00000000">
            <w:r>
              <w:rPr>
                <w:color w:val="000000"/>
                <w:sz w:val="20"/>
                <w:szCs w:val="20"/>
              </w:rPr>
              <w:t>% of sessions with no interaction beyond the landing page (single-page sessions ÷ total sessions)</w:t>
            </w:r>
          </w:p>
        </w:tc>
        <w:tc>
          <w:tcPr>
            <w:tcW w:w="2000" w:type="dxa"/>
            <w:shd w:val="clear" w:color="auto" w:fill="F2F5F7"/>
            <w:tcMar>
              <w:top w:w="90" w:type="dxa"/>
              <w:left w:w="110" w:type="dxa"/>
              <w:bottom w:w="90" w:type="dxa"/>
              <w:right w:w="110" w:type="dxa"/>
            </w:tcMar>
            <w:vAlign w:val="center"/>
          </w:tcPr>
          <w:p w14:paraId="514CDBB9" w14:textId="77777777" w:rsidR="00493B03" w:rsidRDefault="00000000">
            <w:pPr>
              <w:jc w:val="center"/>
            </w:pPr>
            <w:r>
              <w:rPr>
                <w:color w:val="000000"/>
                <w:sz w:val="20"/>
                <w:szCs w:val="20"/>
              </w:rPr>
              <w:t>Entry / Landing</w:t>
            </w:r>
          </w:p>
        </w:tc>
        <w:tc>
          <w:tcPr>
            <w:tcW w:w="2100" w:type="dxa"/>
            <w:shd w:val="clear" w:color="auto" w:fill="F2F5F7"/>
            <w:tcMar>
              <w:top w:w="90" w:type="dxa"/>
              <w:left w:w="110" w:type="dxa"/>
              <w:bottom w:w="90" w:type="dxa"/>
              <w:right w:w="110" w:type="dxa"/>
            </w:tcMar>
            <w:vAlign w:val="center"/>
          </w:tcPr>
          <w:p w14:paraId="0C9627D2" w14:textId="77777777" w:rsidR="00493B03" w:rsidRDefault="00000000">
            <w:pPr>
              <w:jc w:val="center"/>
            </w:pPr>
            <w:r>
              <w:rPr>
                <w:color w:val="000000"/>
                <w:sz w:val="20"/>
                <w:szCs w:val="20"/>
              </w:rPr>
              <w:t>20% – 45%</w:t>
            </w:r>
          </w:p>
        </w:tc>
      </w:tr>
      <w:tr w:rsidR="00493B03" w14:paraId="2E3E4775" w14:textId="77777777">
        <w:tblPrEx>
          <w:tblCellMar>
            <w:top w:w="0" w:type="dxa"/>
            <w:bottom w:w="0" w:type="dxa"/>
          </w:tblCellMar>
        </w:tblPrEx>
        <w:trPr>
          <w:cantSplit/>
        </w:trPr>
        <w:tc>
          <w:tcPr>
            <w:tcW w:w="2000" w:type="dxa"/>
            <w:shd w:val="clear" w:color="auto" w:fill="FFFFFF"/>
            <w:tcMar>
              <w:top w:w="90" w:type="dxa"/>
              <w:left w:w="110" w:type="dxa"/>
              <w:bottom w:w="90" w:type="dxa"/>
              <w:right w:w="110" w:type="dxa"/>
            </w:tcMar>
            <w:vAlign w:val="center"/>
          </w:tcPr>
          <w:p w14:paraId="5CF9FDE0" w14:textId="77777777" w:rsidR="00493B03" w:rsidRDefault="00000000">
            <w:r>
              <w:rPr>
                <w:color w:val="000000"/>
                <w:sz w:val="20"/>
                <w:szCs w:val="20"/>
              </w:rPr>
              <w:t>Avg. Session Duration</w:t>
            </w:r>
          </w:p>
        </w:tc>
        <w:tc>
          <w:tcPr>
            <w:tcW w:w="3600" w:type="dxa"/>
            <w:shd w:val="clear" w:color="auto" w:fill="FFFFFF"/>
            <w:tcMar>
              <w:top w:w="90" w:type="dxa"/>
              <w:left w:w="110" w:type="dxa"/>
              <w:bottom w:w="90" w:type="dxa"/>
              <w:right w:w="110" w:type="dxa"/>
            </w:tcMar>
            <w:vAlign w:val="center"/>
          </w:tcPr>
          <w:p w14:paraId="7D8D6598" w14:textId="77777777" w:rsidR="00493B03" w:rsidRDefault="00000000">
            <w:r>
              <w:rPr>
                <w:color w:val="000000"/>
                <w:sz w:val="20"/>
                <w:szCs w:val="20"/>
              </w:rPr>
              <w:t>Mean time between session start and last recorded interaction, for engaged (non-bounced) sessions</w:t>
            </w:r>
          </w:p>
        </w:tc>
        <w:tc>
          <w:tcPr>
            <w:tcW w:w="2000" w:type="dxa"/>
            <w:shd w:val="clear" w:color="auto" w:fill="FFFFFF"/>
            <w:tcMar>
              <w:top w:w="90" w:type="dxa"/>
              <w:left w:w="110" w:type="dxa"/>
              <w:bottom w:w="90" w:type="dxa"/>
              <w:right w:w="110" w:type="dxa"/>
            </w:tcMar>
            <w:vAlign w:val="center"/>
          </w:tcPr>
          <w:p w14:paraId="347F75A6" w14:textId="77777777" w:rsidR="00493B03" w:rsidRDefault="00000000">
            <w:pPr>
              <w:jc w:val="center"/>
            </w:pPr>
            <w:r>
              <w:rPr>
                <w:color w:val="000000"/>
                <w:sz w:val="20"/>
                <w:szCs w:val="20"/>
              </w:rPr>
              <w:t>Engagement</w:t>
            </w:r>
          </w:p>
        </w:tc>
        <w:tc>
          <w:tcPr>
            <w:tcW w:w="2100" w:type="dxa"/>
            <w:shd w:val="clear" w:color="auto" w:fill="FFFFFF"/>
            <w:tcMar>
              <w:top w:w="90" w:type="dxa"/>
              <w:left w:w="110" w:type="dxa"/>
              <w:bottom w:w="90" w:type="dxa"/>
              <w:right w:w="110" w:type="dxa"/>
            </w:tcMar>
            <w:vAlign w:val="center"/>
          </w:tcPr>
          <w:p w14:paraId="18D13DD8" w14:textId="77777777" w:rsidR="00493B03" w:rsidRDefault="00000000">
            <w:pPr>
              <w:jc w:val="center"/>
            </w:pPr>
            <w:r>
              <w:rPr>
                <w:color w:val="000000"/>
                <w:sz w:val="20"/>
                <w:szCs w:val="20"/>
              </w:rPr>
              <w:t>~2–4 min (engaged)</w:t>
            </w:r>
          </w:p>
        </w:tc>
      </w:tr>
      <w:tr w:rsidR="00493B03" w14:paraId="1D73E492" w14:textId="77777777">
        <w:tblPrEx>
          <w:tblCellMar>
            <w:top w:w="0" w:type="dxa"/>
            <w:bottom w:w="0" w:type="dxa"/>
          </w:tblCellMar>
        </w:tblPrEx>
        <w:trPr>
          <w:cantSplit/>
        </w:trPr>
        <w:tc>
          <w:tcPr>
            <w:tcW w:w="2000" w:type="dxa"/>
            <w:shd w:val="clear" w:color="auto" w:fill="F2F5F7"/>
            <w:tcMar>
              <w:top w:w="90" w:type="dxa"/>
              <w:left w:w="110" w:type="dxa"/>
              <w:bottom w:w="90" w:type="dxa"/>
              <w:right w:w="110" w:type="dxa"/>
            </w:tcMar>
            <w:vAlign w:val="center"/>
          </w:tcPr>
          <w:p w14:paraId="264831FE" w14:textId="77777777" w:rsidR="00493B03" w:rsidRDefault="00000000">
            <w:r>
              <w:rPr>
                <w:color w:val="000000"/>
                <w:sz w:val="20"/>
                <w:szCs w:val="20"/>
              </w:rPr>
              <w:t>Click-Through Rate (CTR)</w:t>
            </w:r>
          </w:p>
        </w:tc>
        <w:tc>
          <w:tcPr>
            <w:tcW w:w="3600" w:type="dxa"/>
            <w:shd w:val="clear" w:color="auto" w:fill="F2F5F7"/>
            <w:tcMar>
              <w:top w:w="90" w:type="dxa"/>
              <w:left w:w="110" w:type="dxa"/>
              <w:bottom w:w="90" w:type="dxa"/>
              <w:right w:w="110" w:type="dxa"/>
            </w:tcMar>
            <w:vAlign w:val="center"/>
          </w:tcPr>
          <w:p w14:paraId="3AB2929F" w14:textId="77777777" w:rsidR="00493B03" w:rsidRDefault="00000000">
            <w:r>
              <w:rPr>
                <w:color w:val="000000"/>
                <w:sz w:val="20"/>
                <w:szCs w:val="20"/>
              </w:rPr>
              <w:t>% of product-viewing sessions that click through to a product detail page</w:t>
            </w:r>
          </w:p>
        </w:tc>
        <w:tc>
          <w:tcPr>
            <w:tcW w:w="2000" w:type="dxa"/>
            <w:shd w:val="clear" w:color="auto" w:fill="F2F5F7"/>
            <w:tcMar>
              <w:top w:w="90" w:type="dxa"/>
              <w:left w:w="110" w:type="dxa"/>
              <w:bottom w:w="90" w:type="dxa"/>
              <w:right w:w="110" w:type="dxa"/>
            </w:tcMar>
            <w:vAlign w:val="center"/>
          </w:tcPr>
          <w:p w14:paraId="6FAFC430" w14:textId="77777777" w:rsidR="00493B03" w:rsidRDefault="00000000">
            <w:pPr>
              <w:jc w:val="center"/>
            </w:pPr>
            <w:r>
              <w:rPr>
                <w:color w:val="000000"/>
                <w:sz w:val="20"/>
                <w:szCs w:val="20"/>
              </w:rPr>
              <w:t>Consideration</w:t>
            </w:r>
          </w:p>
        </w:tc>
        <w:tc>
          <w:tcPr>
            <w:tcW w:w="2100" w:type="dxa"/>
            <w:shd w:val="clear" w:color="auto" w:fill="F2F5F7"/>
            <w:tcMar>
              <w:top w:w="90" w:type="dxa"/>
              <w:left w:w="110" w:type="dxa"/>
              <w:bottom w:w="90" w:type="dxa"/>
              <w:right w:w="110" w:type="dxa"/>
            </w:tcMar>
            <w:vAlign w:val="center"/>
          </w:tcPr>
          <w:p w14:paraId="45064AE4" w14:textId="77777777" w:rsidR="00493B03" w:rsidRDefault="00000000">
            <w:pPr>
              <w:jc w:val="center"/>
            </w:pPr>
            <w:r>
              <w:rPr>
                <w:color w:val="000000"/>
                <w:sz w:val="20"/>
                <w:szCs w:val="20"/>
              </w:rPr>
              <w:t>70% – 85%</w:t>
            </w:r>
          </w:p>
        </w:tc>
      </w:tr>
      <w:tr w:rsidR="00493B03" w14:paraId="0A8B3C3C" w14:textId="77777777">
        <w:tblPrEx>
          <w:tblCellMar>
            <w:top w:w="0" w:type="dxa"/>
            <w:bottom w:w="0" w:type="dxa"/>
          </w:tblCellMar>
        </w:tblPrEx>
        <w:trPr>
          <w:cantSplit/>
        </w:trPr>
        <w:tc>
          <w:tcPr>
            <w:tcW w:w="2000" w:type="dxa"/>
            <w:shd w:val="clear" w:color="auto" w:fill="FFFFFF"/>
            <w:tcMar>
              <w:top w:w="90" w:type="dxa"/>
              <w:left w:w="110" w:type="dxa"/>
              <w:bottom w:w="90" w:type="dxa"/>
              <w:right w:w="110" w:type="dxa"/>
            </w:tcMar>
            <w:vAlign w:val="center"/>
          </w:tcPr>
          <w:p w14:paraId="0214836B" w14:textId="77777777" w:rsidR="00493B03" w:rsidRDefault="00000000">
            <w:r>
              <w:rPr>
                <w:color w:val="000000"/>
                <w:sz w:val="20"/>
                <w:szCs w:val="20"/>
              </w:rPr>
              <w:t>Add-to-Cart Rate</w:t>
            </w:r>
          </w:p>
        </w:tc>
        <w:tc>
          <w:tcPr>
            <w:tcW w:w="3600" w:type="dxa"/>
            <w:shd w:val="clear" w:color="auto" w:fill="FFFFFF"/>
            <w:tcMar>
              <w:top w:w="90" w:type="dxa"/>
              <w:left w:w="110" w:type="dxa"/>
              <w:bottom w:w="90" w:type="dxa"/>
              <w:right w:w="110" w:type="dxa"/>
            </w:tcMar>
            <w:vAlign w:val="center"/>
          </w:tcPr>
          <w:p w14:paraId="68025332" w14:textId="77777777" w:rsidR="00493B03" w:rsidRDefault="00000000">
            <w:r>
              <w:rPr>
                <w:color w:val="000000"/>
                <w:sz w:val="20"/>
                <w:szCs w:val="20"/>
              </w:rPr>
              <w:t>% of sessions in which at least one item is added to the cart</w:t>
            </w:r>
          </w:p>
        </w:tc>
        <w:tc>
          <w:tcPr>
            <w:tcW w:w="2000" w:type="dxa"/>
            <w:shd w:val="clear" w:color="auto" w:fill="FFFFFF"/>
            <w:tcMar>
              <w:top w:w="90" w:type="dxa"/>
              <w:left w:w="110" w:type="dxa"/>
              <w:bottom w:w="90" w:type="dxa"/>
              <w:right w:w="110" w:type="dxa"/>
            </w:tcMar>
            <w:vAlign w:val="center"/>
          </w:tcPr>
          <w:p w14:paraId="3C3E8F44" w14:textId="77777777" w:rsidR="00493B03" w:rsidRDefault="00000000">
            <w:pPr>
              <w:jc w:val="center"/>
            </w:pPr>
            <w:r>
              <w:rPr>
                <w:color w:val="000000"/>
                <w:sz w:val="20"/>
                <w:szCs w:val="20"/>
              </w:rPr>
              <w:t>Intent</w:t>
            </w:r>
          </w:p>
        </w:tc>
        <w:tc>
          <w:tcPr>
            <w:tcW w:w="2100" w:type="dxa"/>
            <w:shd w:val="clear" w:color="auto" w:fill="FFFFFF"/>
            <w:tcMar>
              <w:top w:w="90" w:type="dxa"/>
              <w:left w:w="110" w:type="dxa"/>
              <w:bottom w:w="90" w:type="dxa"/>
              <w:right w:w="110" w:type="dxa"/>
            </w:tcMar>
            <w:vAlign w:val="center"/>
          </w:tcPr>
          <w:p w14:paraId="470AF5F9" w14:textId="77777777" w:rsidR="00493B03" w:rsidRDefault="00000000">
            <w:pPr>
              <w:jc w:val="center"/>
            </w:pPr>
            <w:r>
              <w:rPr>
                <w:color w:val="000000"/>
                <w:sz w:val="20"/>
                <w:szCs w:val="20"/>
              </w:rPr>
              <w:t>8% – 12%</w:t>
            </w:r>
          </w:p>
        </w:tc>
      </w:tr>
      <w:tr w:rsidR="00493B03" w14:paraId="77F3AB08" w14:textId="77777777">
        <w:tblPrEx>
          <w:tblCellMar>
            <w:top w:w="0" w:type="dxa"/>
            <w:bottom w:w="0" w:type="dxa"/>
          </w:tblCellMar>
        </w:tblPrEx>
        <w:trPr>
          <w:cantSplit/>
        </w:trPr>
        <w:tc>
          <w:tcPr>
            <w:tcW w:w="2000" w:type="dxa"/>
            <w:shd w:val="clear" w:color="auto" w:fill="F2F5F7"/>
            <w:tcMar>
              <w:top w:w="90" w:type="dxa"/>
              <w:left w:w="110" w:type="dxa"/>
              <w:bottom w:w="90" w:type="dxa"/>
              <w:right w:w="110" w:type="dxa"/>
            </w:tcMar>
            <w:vAlign w:val="center"/>
          </w:tcPr>
          <w:p w14:paraId="1A92770E" w14:textId="77777777" w:rsidR="00493B03" w:rsidRDefault="00000000">
            <w:r>
              <w:rPr>
                <w:color w:val="000000"/>
                <w:sz w:val="20"/>
                <w:szCs w:val="20"/>
              </w:rPr>
              <w:t>Cart Abandonment Rate</w:t>
            </w:r>
          </w:p>
        </w:tc>
        <w:tc>
          <w:tcPr>
            <w:tcW w:w="3600" w:type="dxa"/>
            <w:shd w:val="clear" w:color="auto" w:fill="F2F5F7"/>
            <w:tcMar>
              <w:top w:w="90" w:type="dxa"/>
              <w:left w:w="110" w:type="dxa"/>
              <w:bottom w:w="90" w:type="dxa"/>
              <w:right w:w="110" w:type="dxa"/>
            </w:tcMar>
            <w:vAlign w:val="center"/>
          </w:tcPr>
          <w:p w14:paraId="7FEE22D5" w14:textId="77777777" w:rsidR="00493B03" w:rsidRDefault="00000000">
            <w:r>
              <w:rPr>
                <w:color w:val="000000"/>
                <w:sz w:val="20"/>
                <w:szCs w:val="20"/>
              </w:rPr>
              <w:t>% of carts created that do not result in a completed purchase (1 − purchases ÷ carts)</w:t>
            </w:r>
          </w:p>
        </w:tc>
        <w:tc>
          <w:tcPr>
            <w:tcW w:w="2000" w:type="dxa"/>
            <w:shd w:val="clear" w:color="auto" w:fill="F2F5F7"/>
            <w:tcMar>
              <w:top w:w="90" w:type="dxa"/>
              <w:left w:w="110" w:type="dxa"/>
              <w:bottom w:w="90" w:type="dxa"/>
              <w:right w:w="110" w:type="dxa"/>
            </w:tcMar>
            <w:vAlign w:val="center"/>
          </w:tcPr>
          <w:p w14:paraId="6DBB41E8" w14:textId="77777777" w:rsidR="00493B03" w:rsidRDefault="00000000">
            <w:pPr>
              <w:jc w:val="center"/>
            </w:pPr>
            <w:r>
              <w:rPr>
                <w:color w:val="000000"/>
                <w:sz w:val="20"/>
                <w:szCs w:val="20"/>
              </w:rPr>
              <w:t>Checkout</w:t>
            </w:r>
          </w:p>
        </w:tc>
        <w:tc>
          <w:tcPr>
            <w:tcW w:w="2100" w:type="dxa"/>
            <w:shd w:val="clear" w:color="auto" w:fill="F2F5F7"/>
            <w:tcMar>
              <w:top w:w="90" w:type="dxa"/>
              <w:left w:w="110" w:type="dxa"/>
              <w:bottom w:w="90" w:type="dxa"/>
              <w:right w:w="110" w:type="dxa"/>
            </w:tcMar>
            <w:vAlign w:val="center"/>
          </w:tcPr>
          <w:p w14:paraId="43DC5D4A" w14:textId="77777777" w:rsidR="00493B03" w:rsidRDefault="00000000">
            <w:pPr>
              <w:jc w:val="center"/>
            </w:pPr>
            <w:r>
              <w:rPr>
                <w:color w:val="000000"/>
                <w:sz w:val="20"/>
                <w:szCs w:val="20"/>
              </w:rPr>
              <w:t>~70% (</w:t>
            </w:r>
            <w:proofErr w:type="spellStart"/>
            <w:r>
              <w:rPr>
                <w:color w:val="000000"/>
                <w:sz w:val="20"/>
                <w:szCs w:val="20"/>
              </w:rPr>
              <w:t>Baymard</w:t>
            </w:r>
            <w:proofErr w:type="spellEnd"/>
            <w:r>
              <w:rPr>
                <w:color w:val="000000"/>
                <w:sz w:val="20"/>
                <w:szCs w:val="20"/>
              </w:rPr>
              <w:t>, 50-study meta-analysis)</w:t>
            </w:r>
          </w:p>
        </w:tc>
      </w:tr>
      <w:tr w:rsidR="00493B03" w14:paraId="336E2805" w14:textId="77777777">
        <w:tblPrEx>
          <w:tblCellMar>
            <w:top w:w="0" w:type="dxa"/>
            <w:bottom w:w="0" w:type="dxa"/>
          </w:tblCellMar>
        </w:tblPrEx>
        <w:trPr>
          <w:cantSplit/>
        </w:trPr>
        <w:tc>
          <w:tcPr>
            <w:tcW w:w="2000" w:type="dxa"/>
            <w:shd w:val="clear" w:color="auto" w:fill="FFFFFF"/>
            <w:tcMar>
              <w:top w:w="90" w:type="dxa"/>
              <w:left w:w="110" w:type="dxa"/>
              <w:bottom w:w="90" w:type="dxa"/>
              <w:right w:w="110" w:type="dxa"/>
            </w:tcMar>
            <w:vAlign w:val="center"/>
          </w:tcPr>
          <w:p w14:paraId="59F5593A" w14:textId="77777777" w:rsidR="00493B03" w:rsidRDefault="00000000">
            <w:r>
              <w:rPr>
                <w:color w:val="000000"/>
                <w:sz w:val="20"/>
                <w:szCs w:val="20"/>
              </w:rPr>
              <w:t>Conversion Rate</w:t>
            </w:r>
          </w:p>
        </w:tc>
        <w:tc>
          <w:tcPr>
            <w:tcW w:w="3600" w:type="dxa"/>
            <w:shd w:val="clear" w:color="auto" w:fill="FFFFFF"/>
            <w:tcMar>
              <w:top w:w="90" w:type="dxa"/>
              <w:left w:w="110" w:type="dxa"/>
              <w:bottom w:w="90" w:type="dxa"/>
              <w:right w:w="110" w:type="dxa"/>
            </w:tcMar>
            <w:vAlign w:val="center"/>
          </w:tcPr>
          <w:p w14:paraId="346CE1B5" w14:textId="77777777" w:rsidR="00493B03" w:rsidRDefault="00000000">
            <w:r>
              <w:rPr>
                <w:color w:val="000000"/>
                <w:sz w:val="20"/>
                <w:szCs w:val="20"/>
              </w:rPr>
              <w:t>% of total sessions resulting in a completed purchase</w:t>
            </w:r>
          </w:p>
        </w:tc>
        <w:tc>
          <w:tcPr>
            <w:tcW w:w="2000" w:type="dxa"/>
            <w:shd w:val="clear" w:color="auto" w:fill="FFFFFF"/>
            <w:tcMar>
              <w:top w:w="90" w:type="dxa"/>
              <w:left w:w="110" w:type="dxa"/>
              <w:bottom w:w="90" w:type="dxa"/>
              <w:right w:w="110" w:type="dxa"/>
            </w:tcMar>
            <w:vAlign w:val="center"/>
          </w:tcPr>
          <w:p w14:paraId="501BBC36" w14:textId="77777777" w:rsidR="00493B03" w:rsidRDefault="00000000">
            <w:pPr>
              <w:jc w:val="center"/>
            </w:pPr>
            <w:r>
              <w:rPr>
                <w:color w:val="000000"/>
                <w:sz w:val="20"/>
                <w:szCs w:val="20"/>
              </w:rPr>
              <w:t>Purchase</w:t>
            </w:r>
          </w:p>
        </w:tc>
        <w:tc>
          <w:tcPr>
            <w:tcW w:w="2100" w:type="dxa"/>
            <w:shd w:val="clear" w:color="auto" w:fill="FFFFFF"/>
            <w:tcMar>
              <w:top w:w="90" w:type="dxa"/>
              <w:left w:w="110" w:type="dxa"/>
              <w:bottom w:w="90" w:type="dxa"/>
              <w:right w:w="110" w:type="dxa"/>
            </w:tcMar>
            <w:vAlign w:val="center"/>
          </w:tcPr>
          <w:p w14:paraId="53104D31" w14:textId="77777777" w:rsidR="00493B03" w:rsidRDefault="00000000">
            <w:pPr>
              <w:jc w:val="center"/>
            </w:pPr>
            <w:r>
              <w:rPr>
                <w:color w:val="000000"/>
                <w:sz w:val="20"/>
                <w:szCs w:val="20"/>
              </w:rPr>
              <w:t>2.0% – 4.0% (global avg. ~2.5%–3.0%)</w:t>
            </w:r>
          </w:p>
        </w:tc>
      </w:tr>
      <w:tr w:rsidR="00493B03" w14:paraId="1B2998FB" w14:textId="77777777">
        <w:tblPrEx>
          <w:tblCellMar>
            <w:top w:w="0" w:type="dxa"/>
            <w:bottom w:w="0" w:type="dxa"/>
          </w:tblCellMar>
        </w:tblPrEx>
        <w:trPr>
          <w:cantSplit/>
        </w:trPr>
        <w:tc>
          <w:tcPr>
            <w:tcW w:w="2000" w:type="dxa"/>
            <w:shd w:val="clear" w:color="auto" w:fill="F2F5F7"/>
            <w:tcMar>
              <w:top w:w="90" w:type="dxa"/>
              <w:left w:w="110" w:type="dxa"/>
              <w:bottom w:w="90" w:type="dxa"/>
              <w:right w:w="110" w:type="dxa"/>
            </w:tcMar>
            <w:vAlign w:val="center"/>
          </w:tcPr>
          <w:p w14:paraId="24020BC7" w14:textId="77777777" w:rsidR="00493B03" w:rsidRDefault="00000000">
            <w:r>
              <w:rPr>
                <w:color w:val="000000"/>
                <w:sz w:val="20"/>
                <w:szCs w:val="20"/>
              </w:rPr>
              <w:t>Average Order Value (AOV)</w:t>
            </w:r>
          </w:p>
        </w:tc>
        <w:tc>
          <w:tcPr>
            <w:tcW w:w="3600" w:type="dxa"/>
            <w:shd w:val="clear" w:color="auto" w:fill="F2F5F7"/>
            <w:tcMar>
              <w:top w:w="90" w:type="dxa"/>
              <w:left w:w="110" w:type="dxa"/>
              <w:bottom w:w="90" w:type="dxa"/>
              <w:right w:w="110" w:type="dxa"/>
            </w:tcMar>
            <w:vAlign w:val="center"/>
          </w:tcPr>
          <w:p w14:paraId="7D8AA176" w14:textId="77777777" w:rsidR="00493B03" w:rsidRDefault="00000000">
            <w:r>
              <w:rPr>
                <w:color w:val="000000"/>
                <w:sz w:val="20"/>
                <w:szCs w:val="20"/>
              </w:rPr>
              <w:t>Total revenue ÷ number of completed orders</w:t>
            </w:r>
          </w:p>
        </w:tc>
        <w:tc>
          <w:tcPr>
            <w:tcW w:w="2000" w:type="dxa"/>
            <w:shd w:val="clear" w:color="auto" w:fill="F2F5F7"/>
            <w:tcMar>
              <w:top w:w="90" w:type="dxa"/>
              <w:left w:w="110" w:type="dxa"/>
              <w:bottom w:w="90" w:type="dxa"/>
              <w:right w:w="110" w:type="dxa"/>
            </w:tcMar>
            <w:vAlign w:val="center"/>
          </w:tcPr>
          <w:p w14:paraId="4A6139B5" w14:textId="77777777" w:rsidR="00493B03" w:rsidRDefault="00000000">
            <w:pPr>
              <w:jc w:val="center"/>
            </w:pPr>
            <w:r>
              <w:rPr>
                <w:color w:val="000000"/>
                <w:sz w:val="20"/>
                <w:szCs w:val="20"/>
              </w:rPr>
              <w:t>Purchase / Revenue</w:t>
            </w:r>
          </w:p>
        </w:tc>
        <w:tc>
          <w:tcPr>
            <w:tcW w:w="2100" w:type="dxa"/>
            <w:shd w:val="clear" w:color="auto" w:fill="F2F5F7"/>
            <w:tcMar>
              <w:top w:w="90" w:type="dxa"/>
              <w:left w:w="110" w:type="dxa"/>
              <w:bottom w:w="90" w:type="dxa"/>
              <w:right w:w="110" w:type="dxa"/>
            </w:tcMar>
            <w:vAlign w:val="center"/>
          </w:tcPr>
          <w:p w14:paraId="0EEFA8C0" w14:textId="77777777" w:rsidR="00493B03" w:rsidRDefault="00000000">
            <w:pPr>
              <w:jc w:val="center"/>
            </w:pPr>
            <w:r>
              <w:rPr>
                <w:color w:val="000000"/>
                <w:sz w:val="20"/>
                <w:szCs w:val="20"/>
              </w:rPr>
              <w:t>~US $150–180 (varies widely by category)</w:t>
            </w:r>
          </w:p>
        </w:tc>
      </w:tr>
    </w:tbl>
    <w:p w14:paraId="25DE96BF" w14:textId="77777777" w:rsidR="00493B03" w:rsidRDefault="00000000">
      <w:pPr>
        <w:spacing w:before="140" w:after="200"/>
      </w:pPr>
      <w:r>
        <w:rPr>
          <w:i/>
          <w:iCs/>
          <w:color w:val="5A6472"/>
          <w:sz w:val="18"/>
          <w:szCs w:val="18"/>
        </w:rPr>
        <w:t>*Benchmark ranges are cross-referenced averages from multiple 2025–2026 industry sources and vary by product category, price point, and traffic mix; they should be treated as directional reference points rather than fixed targets.</w:t>
      </w:r>
    </w:p>
    <w:p w14:paraId="6749F4C0" w14:textId="77777777" w:rsidR="00493B03" w:rsidRDefault="00000000">
      <w:r>
        <w:br w:type="page"/>
      </w:r>
    </w:p>
    <w:p w14:paraId="1B3F6203" w14:textId="77777777" w:rsidR="00493B03" w:rsidRDefault="00000000">
      <w:pPr>
        <w:pStyle w:val="Heading1"/>
        <w:pBdr>
          <w:bottom w:val="single" w:sz="8" w:space="4" w:color="1F3552"/>
        </w:pBdr>
        <w:spacing w:before="380" w:after="200"/>
      </w:pPr>
      <w:r>
        <w:rPr>
          <w:b/>
          <w:bCs/>
          <w:color w:val="1F3552"/>
          <w:sz w:val="30"/>
          <w:szCs w:val="30"/>
        </w:rPr>
        <w:lastRenderedPageBreak/>
        <w:t>5. Simulated Dataset Overview</w:t>
      </w:r>
    </w:p>
    <w:p w14:paraId="699FD505" w14:textId="77777777" w:rsidR="00493B03" w:rsidRDefault="00000000">
      <w:pPr>
        <w:spacing w:after="160" w:line="288" w:lineRule="auto"/>
        <w:jc w:val="both"/>
      </w:pPr>
      <w:r>
        <w:t>Live production analytics were not available for this exercise, so a session-level dataset was generated programmatically to stand in for a real Google-Analytics-style export. Each of the 500 simulated sessions was assigned a traffic source and device using realistic mix weights, then passed through probability-based rules — calibrated to the benchmark ranges in Section 4 — governing whether the session bounced, viewed a product, clicked through, added to cart, started checkout, and completed a purchase. This produces a dataset that is illustrative rather than observed, but that behaves consistently with documented real-world patterns (e.g., mobile sessions bounce more and convert less than desktop; paid social and email drive higher-intent traffic than broad organic search; the largest single drop-off in the funnel occurs at the cart-to-checkout transition).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00"/>
        <w:gridCol w:w="3000"/>
      </w:tblGrid>
      <w:tr w:rsidR="00493B03" w14:paraId="266087D0" w14:textId="77777777">
        <w:tblPrEx>
          <w:tblCellMar>
            <w:top w:w="0" w:type="dxa"/>
            <w:bottom w:w="0" w:type="dxa"/>
          </w:tblCellMar>
        </w:tblPrEx>
        <w:trPr>
          <w:cantSplit/>
          <w:tblHeader/>
        </w:trPr>
        <w:tc>
          <w:tcPr>
            <w:tcW w:w="3600" w:type="dxa"/>
            <w:shd w:val="clear" w:color="auto" w:fill="1F3552"/>
            <w:tcMar>
              <w:top w:w="90" w:type="dxa"/>
              <w:left w:w="110" w:type="dxa"/>
              <w:bottom w:w="90" w:type="dxa"/>
              <w:right w:w="110" w:type="dxa"/>
            </w:tcMar>
            <w:vAlign w:val="center"/>
          </w:tcPr>
          <w:p w14:paraId="33BC090B" w14:textId="77777777" w:rsidR="00493B03" w:rsidRDefault="00000000">
            <w:pPr>
              <w:jc w:val="center"/>
            </w:pPr>
            <w:r>
              <w:rPr>
                <w:b/>
                <w:bCs/>
                <w:color w:val="FFFFFF"/>
                <w:sz w:val="20"/>
                <w:szCs w:val="20"/>
              </w:rPr>
              <w:t>Parameter</w:t>
            </w:r>
          </w:p>
        </w:tc>
        <w:tc>
          <w:tcPr>
            <w:tcW w:w="3100" w:type="dxa"/>
            <w:shd w:val="clear" w:color="auto" w:fill="1F3552"/>
            <w:tcMar>
              <w:top w:w="90" w:type="dxa"/>
              <w:left w:w="110" w:type="dxa"/>
              <w:bottom w:w="90" w:type="dxa"/>
              <w:right w:w="110" w:type="dxa"/>
            </w:tcMar>
            <w:vAlign w:val="center"/>
          </w:tcPr>
          <w:p w14:paraId="4FB3B7DF" w14:textId="77777777" w:rsidR="00493B03" w:rsidRDefault="00000000">
            <w:pPr>
              <w:jc w:val="center"/>
            </w:pPr>
            <w:r>
              <w:rPr>
                <w:b/>
                <w:bCs/>
                <w:color w:val="FFFFFF"/>
                <w:sz w:val="20"/>
                <w:szCs w:val="20"/>
              </w:rPr>
              <w:t>Value</w:t>
            </w:r>
          </w:p>
        </w:tc>
        <w:tc>
          <w:tcPr>
            <w:tcW w:w="3000" w:type="dxa"/>
            <w:shd w:val="clear" w:color="auto" w:fill="1F3552"/>
            <w:tcMar>
              <w:top w:w="90" w:type="dxa"/>
              <w:left w:w="110" w:type="dxa"/>
              <w:bottom w:w="90" w:type="dxa"/>
              <w:right w:w="110" w:type="dxa"/>
            </w:tcMar>
            <w:vAlign w:val="center"/>
          </w:tcPr>
          <w:p w14:paraId="3CA1CDCA" w14:textId="77777777" w:rsidR="00493B03" w:rsidRDefault="00000000">
            <w:pPr>
              <w:jc w:val="center"/>
            </w:pPr>
            <w:r>
              <w:rPr>
                <w:b/>
                <w:bCs/>
                <w:color w:val="FFFFFF"/>
                <w:sz w:val="20"/>
                <w:szCs w:val="20"/>
              </w:rPr>
              <w:t>Notes</w:t>
            </w:r>
          </w:p>
        </w:tc>
      </w:tr>
      <w:tr w:rsidR="00493B03" w14:paraId="2277466D" w14:textId="77777777">
        <w:tblPrEx>
          <w:tblCellMar>
            <w:top w:w="0" w:type="dxa"/>
            <w:bottom w:w="0" w:type="dxa"/>
          </w:tblCellMar>
        </w:tblPrEx>
        <w:trPr>
          <w:cantSplit/>
        </w:trPr>
        <w:tc>
          <w:tcPr>
            <w:tcW w:w="3600" w:type="dxa"/>
            <w:shd w:val="clear" w:color="auto" w:fill="F2F5F7"/>
            <w:tcMar>
              <w:top w:w="90" w:type="dxa"/>
              <w:left w:w="110" w:type="dxa"/>
              <w:bottom w:w="90" w:type="dxa"/>
              <w:right w:w="110" w:type="dxa"/>
            </w:tcMar>
            <w:vAlign w:val="center"/>
          </w:tcPr>
          <w:p w14:paraId="604710B3" w14:textId="77777777" w:rsidR="00493B03" w:rsidRDefault="00000000">
            <w:r>
              <w:rPr>
                <w:color w:val="000000"/>
                <w:sz w:val="20"/>
                <w:szCs w:val="20"/>
              </w:rPr>
              <w:t>Total sessions simulated</w:t>
            </w:r>
          </w:p>
        </w:tc>
        <w:tc>
          <w:tcPr>
            <w:tcW w:w="3100" w:type="dxa"/>
            <w:shd w:val="clear" w:color="auto" w:fill="F2F5F7"/>
            <w:tcMar>
              <w:top w:w="90" w:type="dxa"/>
              <w:left w:w="110" w:type="dxa"/>
              <w:bottom w:w="90" w:type="dxa"/>
              <w:right w:w="110" w:type="dxa"/>
            </w:tcMar>
            <w:vAlign w:val="center"/>
          </w:tcPr>
          <w:p w14:paraId="21589093" w14:textId="77777777" w:rsidR="00493B03" w:rsidRDefault="00000000">
            <w:pPr>
              <w:jc w:val="center"/>
            </w:pPr>
            <w:r>
              <w:rPr>
                <w:color w:val="000000"/>
                <w:sz w:val="20"/>
                <w:szCs w:val="20"/>
              </w:rPr>
              <w:t>500</w:t>
            </w:r>
          </w:p>
        </w:tc>
        <w:tc>
          <w:tcPr>
            <w:tcW w:w="3000" w:type="dxa"/>
            <w:shd w:val="clear" w:color="auto" w:fill="F2F5F7"/>
            <w:tcMar>
              <w:top w:w="90" w:type="dxa"/>
              <w:left w:w="110" w:type="dxa"/>
              <w:bottom w:w="90" w:type="dxa"/>
              <w:right w:w="110" w:type="dxa"/>
            </w:tcMar>
            <w:vAlign w:val="center"/>
          </w:tcPr>
          <w:p w14:paraId="5DAF204E" w14:textId="77777777" w:rsidR="00493B03" w:rsidRDefault="00000000">
            <w:r>
              <w:rPr>
                <w:color w:val="000000"/>
                <w:sz w:val="20"/>
                <w:szCs w:val="20"/>
              </w:rPr>
              <w:t>Capped at 500 for this exercise</w:t>
            </w:r>
          </w:p>
        </w:tc>
      </w:tr>
      <w:tr w:rsidR="00493B03" w14:paraId="0C93028D" w14:textId="77777777">
        <w:tblPrEx>
          <w:tblCellMar>
            <w:top w:w="0" w:type="dxa"/>
            <w:bottom w:w="0" w:type="dxa"/>
          </w:tblCellMar>
        </w:tblPrEx>
        <w:trPr>
          <w:cantSplit/>
        </w:trPr>
        <w:tc>
          <w:tcPr>
            <w:tcW w:w="3600" w:type="dxa"/>
            <w:shd w:val="clear" w:color="auto" w:fill="FFFFFF"/>
            <w:tcMar>
              <w:top w:w="90" w:type="dxa"/>
              <w:left w:w="110" w:type="dxa"/>
              <w:bottom w:w="90" w:type="dxa"/>
              <w:right w:w="110" w:type="dxa"/>
            </w:tcMar>
            <w:vAlign w:val="center"/>
          </w:tcPr>
          <w:p w14:paraId="54D58143" w14:textId="77777777" w:rsidR="00493B03" w:rsidRDefault="00000000">
            <w:r>
              <w:rPr>
                <w:color w:val="000000"/>
                <w:sz w:val="20"/>
                <w:szCs w:val="20"/>
              </w:rPr>
              <w:t>Analysis window</w:t>
            </w:r>
          </w:p>
        </w:tc>
        <w:tc>
          <w:tcPr>
            <w:tcW w:w="3100" w:type="dxa"/>
            <w:shd w:val="clear" w:color="auto" w:fill="FFFFFF"/>
            <w:tcMar>
              <w:top w:w="90" w:type="dxa"/>
              <w:left w:w="110" w:type="dxa"/>
              <w:bottom w:w="90" w:type="dxa"/>
              <w:right w:w="110" w:type="dxa"/>
            </w:tcMar>
            <w:vAlign w:val="center"/>
          </w:tcPr>
          <w:p w14:paraId="1DCCD3FD" w14:textId="77777777" w:rsidR="00493B03" w:rsidRDefault="00000000">
            <w:pPr>
              <w:jc w:val="center"/>
            </w:pPr>
            <w:r>
              <w:rPr>
                <w:color w:val="000000"/>
                <w:sz w:val="20"/>
                <w:szCs w:val="20"/>
              </w:rPr>
              <w:t>4 weeks</w:t>
            </w:r>
          </w:p>
        </w:tc>
        <w:tc>
          <w:tcPr>
            <w:tcW w:w="3000" w:type="dxa"/>
            <w:shd w:val="clear" w:color="auto" w:fill="FFFFFF"/>
            <w:tcMar>
              <w:top w:w="90" w:type="dxa"/>
              <w:left w:w="110" w:type="dxa"/>
              <w:bottom w:w="90" w:type="dxa"/>
              <w:right w:w="110" w:type="dxa"/>
            </w:tcMar>
            <w:vAlign w:val="center"/>
          </w:tcPr>
          <w:p w14:paraId="55ED52EC" w14:textId="77777777" w:rsidR="00493B03" w:rsidRDefault="00000000">
            <w:r>
              <w:rPr>
                <w:color w:val="000000"/>
                <w:sz w:val="20"/>
                <w:szCs w:val="20"/>
              </w:rPr>
              <w:t>Weekly cohorts of ~112–138 sessions</w:t>
            </w:r>
          </w:p>
        </w:tc>
      </w:tr>
      <w:tr w:rsidR="00493B03" w14:paraId="240B6C40" w14:textId="77777777">
        <w:tblPrEx>
          <w:tblCellMar>
            <w:top w:w="0" w:type="dxa"/>
            <w:bottom w:w="0" w:type="dxa"/>
          </w:tblCellMar>
        </w:tblPrEx>
        <w:trPr>
          <w:cantSplit/>
        </w:trPr>
        <w:tc>
          <w:tcPr>
            <w:tcW w:w="3600" w:type="dxa"/>
            <w:shd w:val="clear" w:color="auto" w:fill="F2F5F7"/>
            <w:tcMar>
              <w:top w:w="90" w:type="dxa"/>
              <w:left w:w="110" w:type="dxa"/>
              <w:bottom w:w="90" w:type="dxa"/>
              <w:right w:w="110" w:type="dxa"/>
            </w:tcMar>
            <w:vAlign w:val="center"/>
          </w:tcPr>
          <w:p w14:paraId="7ED59464" w14:textId="77777777" w:rsidR="00493B03" w:rsidRDefault="00000000">
            <w:r>
              <w:rPr>
                <w:color w:val="000000"/>
                <w:sz w:val="20"/>
                <w:szCs w:val="20"/>
              </w:rPr>
              <w:t xml:space="preserve">Traffic sources </w:t>
            </w:r>
            <w:proofErr w:type="spellStart"/>
            <w:r>
              <w:rPr>
                <w:color w:val="000000"/>
                <w:sz w:val="20"/>
                <w:szCs w:val="20"/>
              </w:rPr>
              <w:t>modeled</w:t>
            </w:r>
            <w:proofErr w:type="spellEnd"/>
          </w:p>
        </w:tc>
        <w:tc>
          <w:tcPr>
            <w:tcW w:w="3100" w:type="dxa"/>
            <w:shd w:val="clear" w:color="auto" w:fill="F2F5F7"/>
            <w:tcMar>
              <w:top w:w="90" w:type="dxa"/>
              <w:left w:w="110" w:type="dxa"/>
              <w:bottom w:w="90" w:type="dxa"/>
              <w:right w:w="110" w:type="dxa"/>
            </w:tcMar>
            <w:vAlign w:val="center"/>
          </w:tcPr>
          <w:p w14:paraId="62AAB0DE" w14:textId="77777777" w:rsidR="00493B03" w:rsidRDefault="00000000">
            <w:pPr>
              <w:jc w:val="center"/>
            </w:pPr>
            <w:r>
              <w:rPr>
                <w:color w:val="000000"/>
                <w:sz w:val="20"/>
                <w:szCs w:val="20"/>
              </w:rPr>
              <w:t>6 channels</w:t>
            </w:r>
          </w:p>
        </w:tc>
        <w:tc>
          <w:tcPr>
            <w:tcW w:w="3000" w:type="dxa"/>
            <w:shd w:val="clear" w:color="auto" w:fill="F2F5F7"/>
            <w:tcMar>
              <w:top w:w="90" w:type="dxa"/>
              <w:left w:w="110" w:type="dxa"/>
              <w:bottom w:w="90" w:type="dxa"/>
              <w:right w:w="110" w:type="dxa"/>
            </w:tcMar>
            <w:vAlign w:val="center"/>
          </w:tcPr>
          <w:p w14:paraId="49502E42" w14:textId="77777777" w:rsidR="00493B03" w:rsidRDefault="00000000">
            <w:r>
              <w:rPr>
                <w:color w:val="000000"/>
                <w:sz w:val="20"/>
                <w:szCs w:val="20"/>
              </w:rPr>
              <w:t>Organic Search, Paid Search, Direct, Paid Social, Email, Referral</w:t>
            </w:r>
          </w:p>
        </w:tc>
      </w:tr>
      <w:tr w:rsidR="00493B03" w14:paraId="0671FB10" w14:textId="77777777">
        <w:tblPrEx>
          <w:tblCellMar>
            <w:top w:w="0" w:type="dxa"/>
            <w:bottom w:w="0" w:type="dxa"/>
          </w:tblCellMar>
        </w:tblPrEx>
        <w:trPr>
          <w:cantSplit/>
        </w:trPr>
        <w:tc>
          <w:tcPr>
            <w:tcW w:w="3600" w:type="dxa"/>
            <w:shd w:val="clear" w:color="auto" w:fill="FFFFFF"/>
            <w:tcMar>
              <w:top w:w="90" w:type="dxa"/>
              <w:left w:w="110" w:type="dxa"/>
              <w:bottom w:w="90" w:type="dxa"/>
              <w:right w:w="110" w:type="dxa"/>
            </w:tcMar>
            <w:vAlign w:val="center"/>
          </w:tcPr>
          <w:p w14:paraId="654497A8" w14:textId="77777777" w:rsidR="00493B03" w:rsidRDefault="00000000">
            <w:r>
              <w:rPr>
                <w:color w:val="000000"/>
                <w:sz w:val="20"/>
                <w:szCs w:val="20"/>
              </w:rPr>
              <w:t xml:space="preserve">Device categories </w:t>
            </w:r>
            <w:proofErr w:type="spellStart"/>
            <w:r>
              <w:rPr>
                <w:color w:val="000000"/>
                <w:sz w:val="20"/>
                <w:szCs w:val="20"/>
              </w:rPr>
              <w:t>modeled</w:t>
            </w:r>
            <w:proofErr w:type="spellEnd"/>
          </w:p>
        </w:tc>
        <w:tc>
          <w:tcPr>
            <w:tcW w:w="3100" w:type="dxa"/>
            <w:shd w:val="clear" w:color="auto" w:fill="FFFFFF"/>
            <w:tcMar>
              <w:top w:w="90" w:type="dxa"/>
              <w:left w:w="110" w:type="dxa"/>
              <w:bottom w:w="90" w:type="dxa"/>
              <w:right w:w="110" w:type="dxa"/>
            </w:tcMar>
            <w:vAlign w:val="center"/>
          </w:tcPr>
          <w:p w14:paraId="137B0204" w14:textId="77777777" w:rsidR="00493B03" w:rsidRDefault="00000000">
            <w:pPr>
              <w:jc w:val="center"/>
            </w:pPr>
            <w:r>
              <w:rPr>
                <w:color w:val="000000"/>
                <w:sz w:val="20"/>
                <w:szCs w:val="20"/>
              </w:rPr>
              <w:t>3 categories</w:t>
            </w:r>
          </w:p>
        </w:tc>
        <w:tc>
          <w:tcPr>
            <w:tcW w:w="3000" w:type="dxa"/>
            <w:shd w:val="clear" w:color="auto" w:fill="FFFFFF"/>
            <w:tcMar>
              <w:top w:w="90" w:type="dxa"/>
              <w:left w:w="110" w:type="dxa"/>
              <w:bottom w:w="90" w:type="dxa"/>
              <w:right w:w="110" w:type="dxa"/>
            </w:tcMar>
            <w:vAlign w:val="center"/>
          </w:tcPr>
          <w:p w14:paraId="71092233" w14:textId="77777777" w:rsidR="00493B03" w:rsidRDefault="00000000">
            <w:r>
              <w:rPr>
                <w:color w:val="000000"/>
                <w:sz w:val="20"/>
                <w:szCs w:val="20"/>
              </w:rPr>
              <w:t>Mobile (66%), Desktop (30%), Tablet (4% target mix)</w:t>
            </w:r>
          </w:p>
        </w:tc>
      </w:tr>
      <w:tr w:rsidR="00493B03" w14:paraId="3F91E9B1" w14:textId="77777777">
        <w:tblPrEx>
          <w:tblCellMar>
            <w:top w:w="0" w:type="dxa"/>
            <w:bottom w:w="0" w:type="dxa"/>
          </w:tblCellMar>
        </w:tblPrEx>
        <w:trPr>
          <w:cantSplit/>
        </w:trPr>
        <w:tc>
          <w:tcPr>
            <w:tcW w:w="3600" w:type="dxa"/>
            <w:shd w:val="clear" w:color="auto" w:fill="F2F5F7"/>
            <w:tcMar>
              <w:top w:w="90" w:type="dxa"/>
              <w:left w:w="110" w:type="dxa"/>
              <w:bottom w:w="90" w:type="dxa"/>
              <w:right w:w="110" w:type="dxa"/>
            </w:tcMar>
            <w:vAlign w:val="center"/>
          </w:tcPr>
          <w:p w14:paraId="5DB94417" w14:textId="77777777" w:rsidR="00493B03" w:rsidRDefault="00000000">
            <w:r>
              <w:rPr>
                <w:color w:val="000000"/>
                <w:sz w:val="20"/>
                <w:szCs w:val="20"/>
              </w:rPr>
              <w:t>Funnel stages tracked</w:t>
            </w:r>
          </w:p>
        </w:tc>
        <w:tc>
          <w:tcPr>
            <w:tcW w:w="3100" w:type="dxa"/>
            <w:shd w:val="clear" w:color="auto" w:fill="F2F5F7"/>
            <w:tcMar>
              <w:top w:w="90" w:type="dxa"/>
              <w:left w:w="110" w:type="dxa"/>
              <w:bottom w:w="90" w:type="dxa"/>
              <w:right w:w="110" w:type="dxa"/>
            </w:tcMar>
            <w:vAlign w:val="center"/>
          </w:tcPr>
          <w:p w14:paraId="277617CC" w14:textId="77777777" w:rsidR="00493B03" w:rsidRDefault="00000000">
            <w:pPr>
              <w:jc w:val="center"/>
            </w:pPr>
            <w:r>
              <w:rPr>
                <w:color w:val="000000"/>
                <w:sz w:val="20"/>
                <w:szCs w:val="20"/>
              </w:rPr>
              <w:t>5 stages</w:t>
            </w:r>
          </w:p>
        </w:tc>
        <w:tc>
          <w:tcPr>
            <w:tcW w:w="3000" w:type="dxa"/>
            <w:shd w:val="clear" w:color="auto" w:fill="F2F5F7"/>
            <w:tcMar>
              <w:top w:w="90" w:type="dxa"/>
              <w:left w:w="110" w:type="dxa"/>
              <w:bottom w:w="90" w:type="dxa"/>
              <w:right w:w="110" w:type="dxa"/>
            </w:tcMar>
            <w:vAlign w:val="center"/>
          </w:tcPr>
          <w:p w14:paraId="787BC718" w14:textId="77777777" w:rsidR="00493B03" w:rsidRDefault="00000000">
            <w:r>
              <w:rPr>
                <w:color w:val="000000"/>
                <w:sz w:val="20"/>
                <w:szCs w:val="20"/>
              </w:rPr>
              <w:t>Session → Product View → Add-to-Cart → Checkout → Purchase</w:t>
            </w:r>
          </w:p>
        </w:tc>
      </w:tr>
      <w:tr w:rsidR="00493B03" w14:paraId="4B041DC8" w14:textId="77777777">
        <w:tblPrEx>
          <w:tblCellMar>
            <w:top w:w="0" w:type="dxa"/>
            <w:bottom w:w="0" w:type="dxa"/>
          </w:tblCellMar>
        </w:tblPrEx>
        <w:trPr>
          <w:cantSplit/>
        </w:trPr>
        <w:tc>
          <w:tcPr>
            <w:tcW w:w="3600" w:type="dxa"/>
            <w:shd w:val="clear" w:color="auto" w:fill="FFFFFF"/>
            <w:tcMar>
              <w:top w:w="90" w:type="dxa"/>
              <w:left w:w="110" w:type="dxa"/>
              <w:bottom w:w="90" w:type="dxa"/>
              <w:right w:w="110" w:type="dxa"/>
            </w:tcMar>
            <w:vAlign w:val="center"/>
          </w:tcPr>
          <w:p w14:paraId="5BBEFC72" w14:textId="77777777" w:rsidR="00493B03" w:rsidRDefault="00000000">
            <w:r>
              <w:rPr>
                <w:color w:val="000000"/>
                <w:sz w:val="20"/>
                <w:szCs w:val="20"/>
              </w:rPr>
              <w:t>Completed purchases</w:t>
            </w:r>
          </w:p>
        </w:tc>
        <w:tc>
          <w:tcPr>
            <w:tcW w:w="3100" w:type="dxa"/>
            <w:shd w:val="clear" w:color="auto" w:fill="FFFFFF"/>
            <w:tcMar>
              <w:top w:w="90" w:type="dxa"/>
              <w:left w:w="110" w:type="dxa"/>
              <w:bottom w:w="90" w:type="dxa"/>
              <w:right w:w="110" w:type="dxa"/>
            </w:tcMar>
            <w:vAlign w:val="center"/>
          </w:tcPr>
          <w:p w14:paraId="48E796C0" w14:textId="77777777" w:rsidR="00493B03" w:rsidRDefault="00000000">
            <w:pPr>
              <w:jc w:val="center"/>
            </w:pPr>
            <w:r>
              <w:rPr>
                <w:color w:val="000000"/>
                <w:sz w:val="20"/>
                <w:szCs w:val="20"/>
              </w:rPr>
              <w:t>15</w:t>
            </w:r>
          </w:p>
        </w:tc>
        <w:tc>
          <w:tcPr>
            <w:tcW w:w="3000" w:type="dxa"/>
            <w:shd w:val="clear" w:color="auto" w:fill="FFFFFF"/>
            <w:tcMar>
              <w:top w:w="90" w:type="dxa"/>
              <w:left w:w="110" w:type="dxa"/>
              <w:bottom w:w="90" w:type="dxa"/>
              <w:right w:w="110" w:type="dxa"/>
            </w:tcMar>
            <w:vAlign w:val="center"/>
          </w:tcPr>
          <w:p w14:paraId="778F2ED2" w14:textId="77777777" w:rsidR="00493B03" w:rsidRDefault="00000000">
            <w:r>
              <w:rPr>
                <w:color w:val="000000"/>
                <w:sz w:val="20"/>
                <w:szCs w:val="20"/>
              </w:rPr>
              <w:t>3.0% of total sessions</w:t>
            </w:r>
          </w:p>
        </w:tc>
      </w:tr>
      <w:tr w:rsidR="00493B03" w14:paraId="261D1A06" w14:textId="77777777">
        <w:tblPrEx>
          <w:tblCellMar>
            <w:top w:w="0" w:type="dxa"/>
            <w:bottom w:w="0" w:type="dxa"/>
          </w:tblCellMar>
        </w:tblPrEx>
        <w:trPr>
          <w:cantSplit/>
        </w:trPr>
        <w:tc>
          <w:tcPr>
            <w:tcW w:w="3600" w:type="dxa"/>
            <w:shd w:val="clear" w:color="auto" w:fill="F2F5F7"/>
            <w:tcMar>
              <w:top w:w="90" w:type="dxa"/>
              <w:left w:w="110" w:type="dxa"/>
              <w:bottom w:w="90" w:type="dxa"/>
              <w:right w:w="110" w:type="dxa"/>
            </w:tcMar>
            <w:vAlign w:val="center"/>
          </w:tcPr>
          <w:p w14:paraId="77F76648" w14:textId="77777777" w:rsidR="00493B03" w:rsidRDefault="00000000">
            <w:r>
              <w:rPr>
                <w:color w:val="000000"/>
                <w:sz w:val="20"/>
                <w:szCs w:val="20"/>
              </w:rPr>
              <w:t>Simulated revenue</w:t>
            </w:r>
          </w:p>
        </w:tc>
        <w:tc>
          <w:tcPr>
            <w:tcW w:w="3100" w:type="dxa"/>
            <w:shd w:val="clear" w:color="auto" w:fill="F2F5F7"/>
            <w:tcMar>
              <w:top w:w="90" w:type="dxa"/>
              <w:left w:w="110" w:type="dxa"/>
              <w:bottom w:w="90" w:type="dxa"/>
              <w:right w:w="110" w:type="dxa"/>
            </w:tcMar>
            <w:vAlign w:val="center"/>
          </w:tcPr>
          <w:p w14:paraId="691BD62F" w14:textId="77777777" w:rsidR="00493B03" w:rsidRDefault="00000000">
            <w:pPr>
              <w:jc w:val="center"/>
            </w:pPr>
            <w:r>
              <w:rPr>
                <w:color w:val="000000"/>
                <w:sz w:val="20"/>
                <w:szCs w:val="20"/>
              </w:rPr>
              <w:t>US $1,397.11</w:t>
            </w:r>
          </w:p>
        </w:tc>
        <w:tc>
          <w:tcPr>
            <w:tcW w:w="3000" w:type="dxa"/>
            <w:shd w:val="clear" w:color="auto" w:fill="F2F5F7"/>
            <w:tcMar>
              <w:top w:w="90" w:type="dxa"/>
              <w:left w:w="110" w:type="dxa"/>
              <w:bottom w:w="90" w:type="dxa"/>
              <w:right w:w="110" w:type="dxa"/>
            </w:tcMar>
            <w:vAlign w:val="center"/>
          </w:tcPr>
          <w:p w14:paraId="6BF4B6FE" w14:textId="77777777" w:rsidR="00493B03" w:rsidRDefault="00000000">
            <w:r>
              <w:rPr>
                <w:color w:val="000000"/>
                <w:sz w:val="20"/>
                <w:szCs w:val="20"/>
              </w:rPr>
              <w:t>Average order value: US $93.14</w:t>
            </w:r>
          </w:p>
        </w:tc>
      </w:tr>
    </w:tbl>
    <w:p w14:paraId="457C1373" w14:textId="77777777" w:rsidR="00493B03" w:rsidRDefault="00000000">
      <w:pPr>
        <w:spacing w:after="160" w:line="288" w:lineRule="auto"/>
        <w:jc w:val="both"/>
      </w:pPr>
      <w:r>
        <w:rPr>
          <w:i/>
          <w:iCs/>
        </w:rPr>
        <w:t>The dataset and the derived KPIs are used throughout Section 6 to demonstrate how the analytical framework surfaces specific, actionable friction points.</w:t>
      </w:r>
    </w:p>
    <w:p w14:paraId="4402F041" w14:textId="77777777" w:rsidR="00493B03" w:rsidRDefault="00000000">
      <w:r>
        <w:br w:type="page"/>
      </w:r>
    </w:p>
    <w:p w14:paraId="3FC7C069" w14:textId="77777777" w:rsidR="00493B03" w:rsidRDefault="00000000">
      <w:pPr>
        <w:pStyle w:val="Heading1"/>
        <w:pBdr>
          <w:bottom w:val="single" w:sz="8" w:space="4" w:color="1F3552"/>
        </w:pBdr>
        <w:spacing w:before="380" w:after="200"/>
      </w:pPr>
      <w:r>
        <w:rPr>
          <w:b/>
          <w:bCs/>
          <w:color w:val="1F3552"/>
          <w:sz w:val="30"/>
          <w:szCs w:val="30"/>
        </w:rPr>
        <w:lastRenderedPageBreak/>
        <w:t>6. Analysis and Findings</w:t>
      </w:r>
    </w:p>
    <w:p w14:paraId="6D2D4AF7" w14:textId="77777777" w:rsidR="00493B03" w:rsidRDefault="00000000">
      <w:pPr>
        <w:spacing w:after="160" w:line="288" w:lineRule="auto"/>
        <w:jc w:val="both"/>
      </w:pPr>
      <w:r>
        <w:t>This section applies the KPI framework from Section 4 to the simulated dataset described in Section 5, moving progressively from the aggregate funnel view down to device-, channel-, and time-based segmentation. Each subsection pairs a chart with the specific diagnostic question it answers.</w:t>
      </w:r>
    </w:p>
    <w:p w14:paraId="7DA1E93A" w14:textId="77777777" w:rsidR="00493B03" w:rsidRDefault="00000000">
      <w:pPr>
        <w:pStyle w:val="Heading2"/>
        <w:spacing w:before="280" w:after="140"/>
      </w:pPr>
      <w:r>
        <w:rPr>
          <w:b/>
          <w:bCs/>
          <w:color w:val="2A9D8F"/>
          <w:sz w:val="24"/>
          <w:szCs w:val="24"/>
        </w:rPr>
        <w:t>6.1 Conversion Funnel Analysis</w:t>
      </w:r>
    </w:p>
    <w:p w14:paraId="477D4DE1" w14:textId="77777777" w:rsidR="00493B03" w:rsidRDefault="00000000">
      <w:pPr>
        <w:spacing w:before="160"/>
        <w:jc w:val="center"/>
      </w:pPr>
      <w:r>
        <w:rPr>
          <w:noProof/>
        </w:rPr>
        <w:drawing>
          <wp:inline distT="0" distB="0" distL="0" distR="0" wp14:anchorId="059AF941" wp14:editId="2558E9EA">
            <wp:extent cx="45720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14600"/>
                    </a:xfrm>
                    <a:prstGeom prst="rect">
                      <a:avLst/>
                    </a:prstGeom>
                  </pic:spPr>
                </pic:pic>
              </a:graphicData>
            </a:graphic>
          </wp:inline>
        </w:drawing>
      </w:r>
    </w:p>
    <w:p w14:paraId="2D219BAA" w14:textId="77777777" w:rsidR="00493B03" w:rsidRDefault="00000000">
      <w:pPr>
        <w:spacing w:before="80" w:after="260"/>
        <w:jc w:val="center"/>
      </w:pPr>
      <w:r>
        <w:rPr>
          <w:i/>
          <w:iCs/>
          <w:color w:val="5A6472"/>
          <w:sz w:val="19"/>
          <w:szCs w:val="19"/>
        </w:rPr>
        <w:t>Figure 1. eCommerce conversion funnel showing session volume at each stage (n = 500).</w:t>
      </w:r>
    </w:p>
    <w:p w14:paraId="7D5D83F3" w14:textId="77777777" w:rsidR="00493B03" w:rsidRDefault="00000000">
      <w:pPr>
        <w:spacing w:after="160" w:line="288" w:lineRule="auto"/>
        <w:jc w:val="both"/>
      </w:pPr>
      <w:r>
        <w:t>The funnel table below expresses each stage both as a percentage of the immediately preceding stage (identifying where the sharpest relative drop-off occurs) and as a percentage of total sessions (identifying where the largest absolute volume is lost).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3100"/>
      </w:tblGrid>
      <w:tr w:rsidR="00493B03" w14:paraId="655D441E" w14:textId="77777777">
        <w:tblPrEx>
          <w:tblCellMar>
            <w:top w:w="0" w:type="dxa"/>
            <w:bottom w:w="0" w:type="dxa"/>
          </w:tblCellMar>
        </w:tblPrEx>
        <w:trPr>
          <w:cantSplit/>
          <w:tblHeader/>
        </w:trPr>
        <w:tc>
          <w:tcPr>
            <w:tcW w:w="3000" w:type="dxa"/>
            <w:shd w:val="clear" w:color="auto" w:fill="1F3552"/>
            <w:tcMar>
              <w:top w:w="90" w:type="dxa"/>
              <w:left w:w="110" w:type="dxa"/>
              <w:bottom w:w="90" w:type="dxa"/>
              <w:right w:w="110" w:type="dxa"/>
            </w:tcMar>
            <w:vAlign w:val="center"/>
          </w:tcPr>
          <w:p w14:paraId="079BEE27" w14:textId="77777777" w:rsidR="00493B03" w:rsidRDefault="00000000">
            <w:pPr>
              <w:jc w:val="center"/>
            </w:pPr>
            <w:r>
              <w:rPr>
                <w:b/>
                <w:bCs/>
                <w:color w:val="FFFFFF"/>
                <w:sz w:val="20"/>
                <w:szCs w:val="20"/>
              </w:rPr>
              <w:t>Funnel Stage</w:t>
            </w:r>
          </w:p>
        </w:tc>
        <w:tc>
          <w:tcPr>
            <w:tcW w:w="1800" w:type="dxa"/>
            <w:shd w:val="clear" w:color="auto" w:fill="1F3552"/>
            <w:tcMar>
              <w:top w:w="90" w:type="dxa"/>
              <w:left w:w="110" w:type="dxa"/>
              <w:bottom w:w="90" w:type="dxa"/>
              <w:right w:w="110" w:type="dxa"/>
            </w:tcMar>
            <w:vAlign w:val="center"/>
          </w:tcPr>
          <w:p w14:paraId="040BFECD" w14:textId="77777777" w:rsidR="00493B03" w:rsidRDefault="00000000">
            <w:pPr>
              <w:jc w:val="center"/>
            </w:pPr>
            <w:r>
              <w:rPr>
                <w:b/>
                <w:bCs/>
                <w:color w:val="FFFFFF"/>
                <w:sz w:val="20"/>
                <w:szCs w:val="20"/>
              </w:rPr>
              <w:t>Sessions</w:t>
            </w:r>
          </w:p>
        </w:tc>
        <w:tc>
          <w:tcPr>
            <w:tcW w:w="1800" w:type="dxa"/>
            <w:shd w:val="clear" w:color="auto" w:fill="1F3552"/>
            <w:tcMar>
              <w:top w:w="90" w:type="dxa"/>
              <w:left w:w="110" w:type="dxa"/>
              <w:bottom w:w="90" w:type="dxa"/>
              <w:right w:w="110" w:type="dxa"/>
            </w:tcMar>
            <w:vAlign w:val="center"/>
          </w:tcPr>
          <w:p w14:paraId="5B3AAD87" w14:textId="77777777" w:rsidR="00493B03" w:rsidRDefault="00000000">
            <w:pPr>
              <w:jc w:val="center"/>
            </w:pPr>
            <w:r>
              <w:rPr>
                <w:b/>
                <w:bCs/>
                <w:color w:val="FFFFFF"/>
                <w:sz w:val="20"/>
                <w:szCs w:val="20"/>
              </w:rPr>
              <w:t>% of Prior Stage</w:t>
            </w:r>
          </w:p>
        </w:tc>
        <w:tc>
          <w:tcPr>
            <w:tcW w:w="3100" w:type="dxa"/>
            <w:shd w:val="clear" w:color="auto" w:fill="1F3552"/>
            <w:tcMar>
              <w:top w:w="90" w:type="dxa"/>
              <w:left w:w="110" w:type="dxa"/>
              <w:bottom w:w="90" w:type="dxa"/>
              <w:right w:w="110" w:type="dxa"/>
            </w:tcMar>
            <w:vAlign w:val="center"/>
          </w:tcPr>
          <w:p w14:paraId="751FF094" w14:textId="77777777" w:rsidR="00493B03" w:rsidRDefault="00000000">
            <w:pPr>
              <w:jc w:val="center"/>
            </w:pPr>
            <w:r>
              <w:rPr>
                <w:b/>
                <w:bCs/>
                <w:color w:val="FFFFFF"/>
                <w:sz w:val="20"/>
                <w:szCs w:val="20"/>
              </w:rPr>
              <w:t>% of Total Sessions</w:t>
            </w:r>
          </w:p>
        </w:tc>
      </w:tr>
      <w:tr w:rsidR="00493B03" w14:paraId="17CF979E" w14:textId="77777777">
        <w:tblPrEx>
          <w:tblCellMar>
            <w:top w:w="0" w:type="dxa"/>
            <w:bottom w:w="0" w:type="dxa"/>
          </w:tblCellMar>
        </w:tblPrEx>
        <w:trPr>
          <w:cantSplit/>
        </w:trPr>
        <w:tc>
          <w:tcPr>
            <w:tcW w:w="3000" w:type="dxa"/>
            <w:shd w:val="clear" w:color="auto" w:fill="F2F5F7"/>
            <w:tcMar>
              <w:top w:w="90" w:type="dxa"/>
              <w:left w:w="110" w:type="dxa"/>
              <w:bottom w:w="90" w:type="dxa"/>
              <w:right w:w="110" w:type="dxa"/>
            </w:tcMar>
            <w:vAlign w:val="center"/>
          </w:tcPr>
          <w:p w14:paraId="460B1188" w14:textId="77777777" w:rsidR="00493B03" w:rsidRDefault="00000000">
            <w:r>
              <w:rPr>
                <w:color w:val="000000"/>
                <w:sz w:val="20"/>
                <w:szCs w:val="20"/>
              </w:rPr>
              <w:t>Sessions (Total)</w:t>
            </w:r>
          </w:p>
        </w:tc>
        <w:tc>
          <w:tcPr>
            <w:tcW w:w="1800" w:type="dxa"/>
            <w:shd w:val="clear" w:color="auto" w:fill="F2F5F7"/>
            <w:tcMar>
              <w:top w:w="90" w:type="dxa"/>
              <w:left w:w="110" w:type="dxa"/>
              <w:bottom w:w="90" w:type="dxa"/>
              <w:right w:w="110" w:type="dxa"/>
            </w:tcMar>
            <w:vAlign w:val="center"/>
          </w:tcPr>
          <w:p w14:paraId="31AC780E" w14:textId="77777777" w:rsidR="00493B03" w:rsidRDefault="00000000">
            <w:pPr>
              <w:jc w:val="center"/>
            </w:pPr>
            <w:r>
              <w:rPr>
                <w:color w:val="000000"/>
                <w:sz w:val="20"/>
                <w:szCs w:val="20"/>
              </w:rPr>
              <w:t>500</w:t>
            </w:r>
          </w:p>
        </w:tc>
        <w:tc>
          <w:tcPr>
            <w:tcW w:w="1800" w:type="dxa"/>
            <w:shd w:val="clear" w:color="auto" w:fill="F2F5F7"/>
            <w:tcMar>
              <w:top w:w="90" w:type="dxa"/>
              <w:left w:w="110" w:type="dxa"/>
              <w:bottom w:w="90" w:type="dxa"/>
              <w:right w:w="110" w:type="dxa"/>
            </w:tcMar>
            <w:vAlign w:val="center"/>
          </w:tcPr>
          <w:p w14:paraId="40868F45" w14:textId="77777777" w:rsidR="00493B03" w:rsidRDefault="00000000">
            <w:pPr>
              <w:jc w:val="center"/>
            </w:pPr>
            <w:r>
              <w:rPr>
                <w:color w:val="000000"/>
                <w:sz w:val="20"/>
                <w:szCs w:val="20"/>
              </w:rPr>
              <w:t>—</w:t>
            </w:r>
          </w:p>
        </w:tc>
        <w:tc>
          <w:tcPr>
            <w:tcW w:w="3100" w:type="dxa"/>
            <w:shd w:val="clear" w:color="auto" w:fill="F2F5F7"/>
            <w:tcMar>
              <w:top w:w="90" w:type="dxa"/>
              <w:left w:w="110" w:type="dxa"/>
              <w:bottom w:w="90" w:type="dxa"/>
              <w:right w:w="110" w:type="dxa"/>
            </w:tcMar>
            <w:vAlign w:val="center"/>
          </w:tcPr>
          <w:p w14:paraId="05333046" w14:textId="77777777" w:rsidR="00493B03" w:rsidRDefault="00000000">
            <w:pPr>
              <w:jc w:val="center"/>
            </w:pPr>
            <w:r>
              <w:rPr>
                <w:color w:val="000000"/>
                <w:sz w:val="20"/>
                <w:szCs w:val="20"/>
              </w:rPr>
              <w:t>100.0%</w:t>
            </w:r>
          </w:p>
        </w:tc>
      </w:tr>
      <w:tr w:rsidR="00493B03" w14:paraId="16E5E364" w14:textId="77777777">
        <w:tblPrEx>
          <w:tblCellMar>
            <w:top w:w="0" w:type="dxa"/>
            <w:bottom w:w="0" w:type="dxa"/>
          </w:tblCellMar>
        </w:tblPrEx>
        <w:trPr>
          <w:cantSplit/>
        </w:trPr>
        <w:tc>
          <w:tcPr>
            <w:tcW w:w="3000" w:type="dxa"/>
            <w:shd w:val="clear" w:color="auto" w:fill="FFFFFF"/>
            <w:tcMar>
              <w:top w:w="90" w:type="dxa"/>
              <w:left w:w="110" w:type="dxa"/>
              <w:bottom w:w="90" w:type="dxa"/>
              <w:right w:w="110" w:type="dxa"/>
            </w:tcMar>
            <w:vAlign w:val="center"/>
          </w:tcPr>
          <w:p w14:paraId="11F845FE" w14:textId="77777777" w:rsidR="00493B03" w:rsidRDefault="00000000">
            <w:r>
              <w:rPr>
                <w:color w:val="000000"/>
                <w:sz w:val="20"/>
                <w:szCs w:val="20"/>
              </w:rPr>
              <w:t>Product Page Views</w:t>
            </w:r>
          </w:p>
        </w:tc>
        <w:tc>
          <w:tcPr>
            <w:tcW w:w="1800" w:type="dxa"/>
            <w:shd w:val="clear" w:color="auto" w:fill="FFFFFF"/>
            <w:tcMar>
              <w:top w:w="90" w:type="dxa"/>
              <w:left w:w="110" w:type="dxa"/>
              <w:bottom w:w="90" w:type="dxa"/>
              <w:right w:w="110" w:type="dxa"/>
            </w:tcMar>
            <w:vAlign w:val="center"/>
          </w:tcPr>
          <w:p w14:paraId="7CA1E096" w14:textId="77777777" w:rsidR="00493B03" w:rsidRDefault="00000000">
            <w:pPr>
              <w:jc w:val="center"/>
            </w:pPr>
            <w:r>
              <w:rPr>
                <w:color w:val="000000"/>
                <w:sz w:val="20"/>
                <w:szCs w:val="20"/>
              </w:rPr>
              <w:t>254</w:t>
            </w:r>
          </w:p>
        </w:tc>
        <w:tc>
          <w:tcPr>
            <w:tcW w:w="1800" w:type="dxa"/>
            <w:shd w:val="clear" w:color="auto" w:fill="FFFFFF"/>
            <w:tcMar>
              <w:top w:w="90" w:type="dxa"/>
              <w:left w:w="110" w:type="dxa"/>
              <w:bottom w:w="90" w:type="dxa"/>
              <w:right w:w="110" w:type="dxa"/>
            </w:tcMar>
            <w:vAlign w:val="center"/>
          </w:tcPr>
          <w:p w14:paraId="6931C6FC" w14:textId="77777777" w:rsidR="00493B03" w:rsidRDefault="00000000">
            <w:pPr>
              <w:jc w:val="center"/>
            </w:pPr>
            <w:r>
              <w:rPr>
                <w:color w:val="000000"/>
                <w:sz w:val="20"/>
                <w:szCs w:val="20"/>
              </w:rPr>
              <w:t>50.8%</w:t>
            </w:r>
          </w:p>
        </w:tc>
        <w:tc>
          <w:tcPr>
            <w:tcW w:w="3100" w:type="dxa"/>
            <w:shd w:val="clear" w:color="auto" w:fill="FFFFFF"/>
            <w:tcMar>
              <w:top w:w="90" w:type="dxa"/>
              <w:left w:w="110" w:type="dxa"/>
              <w:bottom w:w="90" w:type="dxa"/>
              <w:right w:w="110" w:type="dxa"/>
            </w:tcMar>
            <w:vAlign w:val="center"/>
          </w:tcPr>
          <w:p w14:paraId="35ABB259" w14:textId="77777777" w:rsidR="00493B03" w:rsidRDefault="00000000">
            <w:pPr>
              <w:jc w:val="center"/>
            </w:pPr>
            <w:r>
              <w:rPr>
                <w:color w:val="000000"/>
                <w:sz w:val="20"/>
                <w:szCs w:val="20"/>
              </w:rPr>
              <w:t>50.8%</w:t>
            </w:r>
          </w:p>
        </w:tc>
      </w:tr>
      <w:tr w:rsidR="00493B03" w14:paraId="1B69653C" w14:textId="77777777">
        <w:tblPrEx>
          <w:tblCellMar>
            <w:top w:w="0" w:type="dxa"/>
            <w:bottom w:w="0" w:type="dxa"/>
          </w:tblCellMar>
        </w:tblPrEx>
        <w:trPr>
          <w:cantSplit/>
        </w:trPr>
        <w:tc>
          <w:tcPr>
            <w:tcW w:w="3000" w:type="dxa"/>
            <w:shd w:val="clear" w:color="auto" w:fill="F2F5F7"/>
            <w:tcMar>
              <w:top w:w="90" w:type="dxa"/>
              <w:left w:w="110" w:type="dxa"/>
              <w:bottom w:w="90" w:type="dxa"/>
              <w:right w:w="110" w:type="dxa"/>
            </w:tcMar>
            <w:vAlign w:val="center"/>
          </w:tcPr>
          <w:p w14:paraId="0C512BC1" w14:textId="77777777" w:rsidR="00493B03" w:rsidRDefault="00000000">
            <w:r>
              <w:rPr>
                <w:color w:val="000000"/>
                <w:sz w:val="20"/>
                <w:szCs w:val="20"/>
              </w:rPr>
              <w:t>Add to Cart</w:t>
            </w:r>
          </w:p>
        </w:tc>
        <w:tc>
          <w:tcPr>
            <w:tcW w:w="1800" w:type="dxa"/>
            <w:shd w:val="clear" w:color="auto" w:fill="F2F5F7"/>
            <w:tcMar>
              <w:top w:w="90" w:type="dxa"/>
              <w:left w:w="110" w:type="dxa"/>
              <w:bottom w:w="90" w:type="dxa"/>
              <w:right w:w="110" w:type="dxa"/>
            </w:tcMar>
            <w:vAlign w:val="center"/>
          </w:tcPr>
          <w:p w14:paraId="210835F9" w14:textId="77777777" w:rsidR="00493B03" w:rsidRDefault="00000000">
            <w:pPr>
              <w:jc w:val="center"/>
            </w:pPr>
            <w:r>
              <w:rPr>
                <w:color w:val="000000"/>
                <w:sz w:val="20"/>
                <w:szCs w:val="20"/>
              </w:rPr>
              <w:t>55</w:t>
            </w:r>
          </w:p>
        </w:tc>
        <w:tc>
          <w:tcPr>
            <w:tcW w:w="1800" w:type="dxa"/>
            <w:shd w:val="clear" w:color="auto" w:fill="F2F5F7"/>
            <w:tcMar>
              <w:top w:w="90" w:type="dxa"/>
              <w:left w:w="110" w:type="dxa"/>
              <w:bottom w:w="90" w:type="dxa"/>
              <w:right w:w="110" w:type="dxa"/>
            </w:tcMar>
            <w:vAlign w:val="center"/>
          </w:tcPr>
          <w:p w14:paraId="530B6766" w14:textId="77777777" w:rsidR="00493B03" w:rsidRDefault="00000000">
            <w:pPr>
              <w:jc w:val="center"/>
            </w:pPr>
            <w:r>
              <w:rPr>
                <w:color w:val="000000"/>
                <w:sz w:val="20"/>
                <w:szCs w:val="20"/>
              </w:rPr>
              <w:t>21.7%</w:t>
            </w:r>
          </w:p>
        </w:tc>
        <w:tc>
          <w:tcPr>
            <w:tcW w:w="3100" w:type="dxa"/>
            <w:shd w:val="clear" w:color="auto" w:fill="F2F5F7"/>
            <w:tcMar>
              <w:top w:w="90" w:type="dxa"/>
              <w:left w:w="110" w:type="dxa"/>
              <w:bottom w:w="90" w:type="dxa"/>
              <w:right w:w="110" w:type="dxa"/>
            </w:tcMar>
            <w:vAlign w:val="center"/>
          </w:tcPr>
          <w:p w14:paraId="778A9B01" w14:textId="77777777" w:rsidR="00493B03" w:rsidRDefault="00000000">
            <w:pPr>
              <w:jc w:val="center"/>
            </w:pPr>
            <w:r>
              <w:rPr>
                <w:color w:val="000000"/>
                <w:sz w:val="20"/>
                <w:szCs w:val="20"/>
              </w:rPr>
              <w:t>11.0%</w:t>
            </w:r>
          </w:p>
        </w:tc>
      </w:tr>
      <w:tr w:rsidR="00493B03" w14:paraId="496E2602" w14:textId="77777777">
        <w:tblPrEx>
          <w:tblCellMar>
            <w:top w:w="0" w:type="dxa"/>
            <w:bottom w:w="0" w:type="dxa"/>
          </w:tblCellMar>
        </w:tblPrEx>
        <w:trPr>
          <w:cantSplit/>
        </w:trPr>
        <w:tc>
          <w:tcPr>
            <w:tcW w:w="3000" w:type="dxa"/>
            <w:shd w:val="clear" w:color="auto" w:fill="FFFFFF"/>
            <w:tcMar>
              <w:top w:w="90" w:type="dxa"/>
              <w:left w:w="110" w:type="dxa"/>
              <w:bottom w:w="90" w:type="dxa"/>
              <w:right w:w="110" w:type="dxa"/>
            </w:tcMar>
            <w:vAlign w:val="center"/>
          </w:tcPr>
          <w:p w14:paraId="355D699E" w14:textId="77777777" w:rsidR="00493B03" w:rsidRDefault="00000000">
            <w:r>
              <w:rPr>
                <w:color w:val="000000"/>
                <w:sz w:val="20"/>
                <w:szCs w:val="20"/>
              </w:rPr>
              <w:t>Checkout Started</w:t>
            </w:r>
          </w:p>
        </w:tc>
        <w:tc>
          <w:tcPr>
            <w:tcW w:w="1800" w:type="dxa"/>
            <w:shd w:val="clear" w:color="auto" w:fill="FFFFFF"/>
            <w:tcMar>
              <w:top w:w="90" w:type="dxa"/>
              <w:left w:w="110" w:type="dxa"/>
              <w:bottom w:w="90" w:type="dxa"/>
              <w:right w:w="110" w:type="dxa"/>
            </w:tcMar>
            <w:vAlign w:val="center"/>
          </w:tcPr>
          <w:p w14:paraId="5BA99C6D" w14:textId="77777777" w:rsidR="00493B03" w:rsidRDefault="00000000">
            <w:pPr>
              <w:jc w:val="center"/>
            </w:pPr>
            <w:r>
              <w:rPr>
                <w:color w:val="000000"/>
                <w:sz w:val="20"/>
                <w:szCs w:val="20"/>
              </w:rPr>
              <w:t>40</w:t>
            </w:r>
          </w:p>
        </w:tc>
        <w:tc>
          <w:tcPr>
            <w:tcW w:w="1800" w:type="dxa"/>
            <w:shd w:val="clear" w:color="auto" w:fill="FFFFFF"/>
            <w:tcMar>
              <w:top w:w="90" w:type="dxa"/>
              <w:left w:w="110" w:type="dxa"/>
              <w:bottom w:w="90" w:type="dxa"/>
              <w:right w:w="110" w:type="dxa"/>
            </w:tcMar>
            <w:vAlign w:val="center"/>
          </w:tcPr>
          <w:p w14:paraId="14E2ED1F" w14:textId="77777777" w:rsidR="00493B03" w:rsidRDefault="00000000">
            <w:pPr>
              <w:jc w:val="center"/>
            </w:pPr>
            <w:r>
              <w:rPr>
                <w:color w:val="000000"/>
                <w:sz w:val="20"/>
                <w:szCs w:val="20"/>
              </w:rPr>
              <w:t>72.7%</w:t>
            </w:r>
          </w:p>
        </w:tc>
        <w:tc>
          <w:tcPr>
            <w:tcW w:w="3100" w:type="dxa"/>
            <w:shd w:val="clear" w:color="auto" w:fill="FFFFFF"/>
            <w:tcMar>
              <w:top w:w="90" w:type="dxa"/>
              <w:left w:w="110" w:type="dxa"/>
              <w:bottom w:w="90" w:type="dxa"/>
              <w:right w:w="110" w:type="dxa"/>
            </w:tcMar>
            <w:vAlign w:val="center"/>
          </w:tcPr>
          <w:p w14:paraId="60AF8AD6" w14:textId="77777777" w:rsidR="00493B03" w:rsidRDefault="00000000">
            <w:pPr>
              <w:jc w:val="center"/>
            </w:pPr>
            <w:r>
              <w:rPr>
                <w:color w:val="000000"/>
                <w:sz w:val="20"/>
                <w:szCs w:val="20"/>
              </w:rPr>
              <w:t>8.0%</w:t>
            </w:r>
          </w:p>
        </w:tc>
      </w:tr>
      <w:tr w:rsidR="00493B03" w14:paraId="6CB72771" w14:textId="77777777">
        <w:tblPrEx>
          <w:tblCellMar>
            <w:top w:w="0" w:type="dxa"/>
            <w:bottom w:w="0" w:type="dxa"/>
          </w:tblCellMar>
        </w:tblPrEx>
        <w:trPr>
          <w:cantSplit/>
        </w:trPr>
        <w:tc>
          <w:tcPr>
            <w:tcW w:w="3000" w:type="dxa"/>
            <w:shd w:val="clear" w:color="auto" w:fill="F2F5F7"/>
            <w:tcMar>
              <w:top w:w="90" w:type="dxa"/>
              <w:left w:w="110" w:type="dxa"/>
              <w:bottom w:w="90" w:type="dxa"/>
              <w:right w:w="110" w:type="dxa"/>
            </w:tcMar>
            <w:vAlign w:val="center"/>
          </w:tcPr>
          <w:p w14:paraId="21B4F4A5" w14:textId="77777777" w:rsidR="00493B03" w:rsidRDefault="00000000">
            <w:r>
              <w:rPr>
                <w:color w:val="000000"/>
                <w:sz w:val="20"/>
                <w:szCs w:val="20"/>
              </w:rPr>
              <w:t>Purchase Completed</w:t>
            </w:r>
          </w:p>
        </w:tc>
        <w:tc>
          <w:tcPr>
            <w:tcW w:w="1800" w:type="dxa"/>
            <w:shd w:val="clear" w:color="auto" w:fill="F2F5F7"/>
            <w:tcMar>
              <w:top w:w="90" w:type="dxa"/>
              <w:left w:w="110" w:type="dxa"/>
              <w:bottom w:w="90" w:type="dxa"/>
              <w:right w:w="110" w:type="dxa"/>
            </w:tcMar>
            <w:vAlign w:val="center"/>
          </w:tcPr>
          <w:p w14:paraId="361A1038" w14:textId="77777777" w:rsidR="00493B03" w:rsidRDefault="00000000">
            <w:pPr>
              <w:jc w:val="center"/>
            </w:pPr>
            <w:r>
              <w:rPr>
                <w:color w:val="000000"/>
                <w:sz w:val="20"/>
                <w:szCs w:val="20"/>
              </w:rPr>
              <w:t>15</w:t>
            </w:r>
          </w:p>
        </w:tc>
        <w:tc>
          <w:tcPr>
            <w:tcW w:w="1800" w:type="dxa"/>
            <w:shd w:val="clear" w:color="auto" w:fill="F2F5F7"/>
            <w:tcMar>
              <w:top w:w="90" w:type="dxa"/>
              <w:left w:w="110" w:type="dxa"/>
              <w:bottom w:w="90" w:type="dxa"/>
              <w:right w:w="110" w:type="dxa"/>
            </w:tcMar>
            <w:vAlign w:val="center"/>
          </w:tcPr>
          <w:p w14:paraId="20ED099D" w14:textId="77777777" w:rsidR="00493B03" w:rsidRDefault="00000000">
            <w:pPr>
              <w:jc w:val="center"/>
            </w:pPr>
            <w:r>
              <w:rPr>
                <w:color w:val="000000"/>
                <w:sz w:val="20"/>
                <w:szCs w:val="20"/>
              </w:rPr>
              <w:t>37.5%</w:t>
            </w:r>
          </w:p>
        </w:tc>
        <w:tc>
          <w:tcPr>
            <w:tcW w:w="3100" w:type="dxa"/>
            <w:shd w:val="clear" w:color="auto" w:fill="F2F5F7"/>
            <w:tcMar>
              <w:top w:w="90" w:type="dxa"/>
              <w:left w:w="110" w:type="dxa"/>
              <w:bottom w:w="90" w:type="dxa"/>
              <w:right w:w="110" w:type="dxa"/>
            </w:tcMar>
            <w:vAlign w:val="center"/>
          </w:tcPr>
          <w:p w14:paraId="40969AA3" w14:textId="77777777" w:rsidR="00493B03" w:rsidRDefault="00000000">
            <w:pPr>
              <w:jc w:val="center"/>
            </w:pPr>
            <w:r>
              <w:rPr>
                <w:color w:val="000000"/>
                <w:sz w:val="20"/>
                <w:szCs w:val="20"/>
              </w:rPr>
              <w:t>3.0%</w:t>
            </w:r>
          </w:p>
        </w:tc>
      </w:tr>
    </w:tbl>
    <w:p w14:paraId="49711E26" w14:textId="77777777" w:rsidR="00493B03" w:rsidRDefault="00493B03">
      <w:pPr>
        <w:spacing w:before="200" w:after="100"/>
      </w:pPr>
    </w:p>
    <w:p w14:paraId="139E7AA3" w14:textId="77777777" w:rsidR="00493B03" w:rsidRDefault="00000000">
      <w:pPr>
        <w:pStyle w:val="ListParagraph"/>
        <w:numPr>
          <w:ilvl w:val="0"/>
          <w:numId w:val="3"/>
        </w:numPr>
        <w:spacing w:after="90"/>
      </w:pPr>
      <w:r>
        <w:rPr>
          <w:b/>
          <w:bCs/>
          <w:color w:val="1F3552"/>
        </w:rPr>
        <w:t xml:space="preserve">Landing-to-product gap (49.2% drop-off): </w:t>
      </w:r>
      <w:r>
        <w:t>Just under half of all sessions never reach a product page. This is the single largest volume loss point and typically reflects a mix of true bounces (42.0% of all sessions) and on-site sessions that exit via category pages, search results, or navigation without viewing a product.</w:t>
      </w:r>
    </w:p>
    <w:p w14:paraId="41D38918" w14:textId="77777777" w:rsidR="00493B03" w:rsidRDefault="00000000">
      <w:pPr>
        <w:pStyle w:val="ListParagraph"/>
        <w:numPr>
          <w:ilvl w:val="0"/>
          <w:numId w:val="3"/>
        </w:numPr>
        <w:spacing w:after="90"/>
      </w:pPr>
      <w:r>
        <w:rPr>
          <w:b/>
          <w:bCs/>
          <w:color w:val="1F3552"/>
        </w:rPr>
        <w:t xml:space="preserve">Cart-to-checkout gap (72.7% cart abandonment): </w:t>
      </w:r>
      <w:r>
        <w:t xml:space="preserve">Of the 55 sessions that added an item to the cart, only 15 completed a purchase — a 72.7% abandonment rate, consistent with the </w:t>
      </w:r>
      <w:proofErr w:type="spellStart"/>
      <w:r>
        <w:t>Baymard</w:t>
      </w:r>
      <w:proofErr w:type="spellEnd"/>
      <w:r>
        <w:t xml:space="preserve"> Institute's 70.22% cross-industry benchmark. This stage represents the highest-value opportunity because these are the most qualified, highest-intent visitors in the funnel.</w:t>
      </w:r>
    </w:p>
    <w:p w14:paraId="6B3F3B4D" w14:textId="77777777" w:rsidR="00493B03" w:rsidRDefault="00000000">
      <w:pPr>
        <w:pStyle w:val="ListParagraph"/>
        <w:numPr>
          <w:ilvl w:val="0"/>
          <w:numId w:val="3"/>
        </w:numPr>
        <w:spacing w:after="90"/>
      </w:pPr>
      <w:r>
        <w:rPr>
          <w:b/>
          <w:bCs/>
          <w:color w:val="1F3552"/>
        </w:rPr>
        <w:lastRenderedPageBreak/>
        <w:t xml:space="preserve">Checkout-initiation gap (27.3% of carts never reach checkout): </w:t>
      </w:r>
      <w:r>
        <w:t>15 of the 55 carts (27.3%) did not even progress to a checkout page, suggesting friction or hesitation (e.g., unexpected shipping costs, forced account creation, or a desire to price-compare) occurring before payment details are even entered.</w:t>
      </w:r>
    </w:p>
    <w:p w14:paraId="73D2F427" w14:textId="77777777" w:rsidR="00493B03" w:rsidRDefault="00000000">
      <w:pPr>
        <w:pStyle w:val="Heading2"/>
        <w:spacing w:before="280" w:after="140"/>
      </w:pPr>
      <w:r>
        <w:rPr>
          <w:b/>
          <w:bCs/>
          <w:color w:val="2A9D8F"/>
          <w:sz w:val="24"/>
          <w:szCs w:val="24"/>
        </w:rPr>
        <w:t>6.2 Device Performance Analysis</w:t>
      </w:r>
    </w:p>
    <w:p w14:paraId="7EED6DAE" w14:textId="77777777" w:rsidR="00493B03" w:rsidRDefault="00000000">
      <w:pPr>
        <w:spacing w:before="160"/>
        <w:jc w:val="center"/>
      </w:pPr>
      <w:r>
        <w:rPr>
          <w:noProof/>
        </w:rPr>
        <w:drawing>
          <wp:inline distT="0" distB="0" distL="0" distR="0" wp14:anchorId="5F126B6E" wp14:editId="60B0485B">
            <wp:extent cx="4572000" cy="2505075"/>
            <wp:effectExtent l="0" t="0" r="0" b="0"/>
            <wp:docPr id="1677239492" name="Picture 167723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05075"/>
                    </a:xfrm>
                    <a:prstGeom prst="rect">
                      <a:avLst/>
                    </a:prstGeom>
                  </pic:spPr>
                </pic:pic>
              </a:graphicData>
            </a:graphic>
          </wp:inline>
        </w:drawing>
      </w:r>
    </w:p>
    <w:p w14:paraId="7595B39A" w14:textId="77777777" w:rsidR="00493B03" w:rsidRDefault="00000000">
      <w:pPr>
        <w:spacing w:before="80" w:after="260"/>
        <w:jc w:val="center"/>
      </w:pPr>
      <w:r>
        <w:rPr>
          <w:i/>
          <w:iCs/>
          <w:color w:val="5A6472"/>
          <w:sz w:val="19"/>
          <w:szCs w:val="19"/>
        </w:rPr>
        <w:t>Figure 2. Bounce rate and conversion rate compared across device categories.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00"/>
        <w:gridCol w:w="1900"/>
        <w:gridCol w:w="2000"/>
      </w:tblGrid>
      <w:tr w:rsidR="00493B03" w14:paraId="456827B3" w14:textId="77777777">
        <w:tblPrEx>
          <w:tblCellMar>
            <w:top w:w="0" w:type="dxa"/>
            <w:bottom w:w="0" w:type="dxa"/>
          </w:tblCellMar>
        </w:tblPrEx>
        <w:trPr>
          <w:cantSplit/>
          <w:tblHeader/>
        </w:trPr>
        <w:tc>
          <w:tcPr>
            <w:tcW w:w="2200" w:type="dxa"/>
            <w:shd w:val="clear" w:color="auto" w:fill="1F3552"/>
            <w:tcMar>
              <w:top w:w="90" w:type="dxa"/>
              <w:left w:w="110" w:type="dxa"/>
              <w:bottom w:w="90" w:type="dxa"/>
              <w:right w:w="110" w:type="dxa"/>
            </w:tcMar>
            <w:vAlign w:val="center"/>
          </w:tcPr>
          <w:p w14:paraId="0B1823D8" w14:textId="77777777" w:rsidR="00493B03" w:rsidRDefault="00000000">
            <w:pPr>
              <w:jc w:val="center"/>
            </w:pPr>
            <w:r>
              <w:rPr>
                <w:b/>
                <w:bCs/>
                <w:color w:val="FFFFFF"/>
                <w:sz w:val="20"/>
                <w:szCs w:val="20"/>
              </w:rPr>
              <w:t>Device</w:t>
            </w:r>
          </w:p>
        </w:tc>
        <w:tc>
          <w:tcPr>
            <w:tcW w:w="1700" w:type="dxa"/>
            <w:shd w:val="clear" w:color="auto" w:fill="1F3552"/>
            <w:tcMar>
              <w:top w:w="90" w:type="dxa"/>
              <w:left w:w="110" w:type="dxa"/>
              <w:bottom w:w="90" w:type="dxa"/>
              <w:right w:w="110" w:type="dxa"/>
            </w:tcMar>
            <w:vAlign w:val="center"/>
          </w:tcPr>
          <w:p w14:paraId="3823C38D" w14:textId="77777777" w:rsidR="00493B03" w:rsidRDefault="00000000">
            <w:pPr>
              <w:jc w:val="center"/>
            </w:pPr>
            <w:r>
              <w:rPr>
                <w:b/>
                <w:bCs/>
                <w:color w:val="FFFFFF"/>
                <w:sz w:val="20"/>
                <w:szCs w:val="20"/>
              </w:rPr>
              <w:t>Sessions</w:t>
            </w:r>
          </w:p>
        </w:tc>
        <w:tc>
          <w:tcPr>
            <w:tcW w:w="1900" w:type="dxa"/>
            <w:shd w:val="clear" w:color="auto" w:fill="1F3552"/>
            <w:tcMar>
              <w:top w:w="90" w:type="dxa"/>
              <w:left w:w="110" w:type="dxa"/>
              <w:bottom w:w="90" w:type="dxa"/>
              <w:right w:w="110" w:type="dxa"/>
            </w:tcMar>
            <w:vAlign w:val="center"/>
          </w:tcPr>
          <w:p w14:paraId="4F11C6E6" w14:textId="77777777" w:rsidR="00493B03" w:rsidRDefault="00000000">
            <w:pPr>
              <w:jc w:val="center"/>
            </w:pPr>
            <w:r>
              <w:rPr>
                <w:b/>
                <w:bCs/>
                <w:color w:val="FFFFFF"/>
                <w:sz w:val="20"/>
                <w:szCs w:val="20"/>
              </w:rPr>
              <w:t>Bounce Rate</w:t>
            </w:r>
          </w:p>
        </w:tc>
        <w:tc>
          <w:tcPr>
            <w:tcW w:w="1900" w:type="dxa"/>
            <w:shd w:val="clear" w:color="auto" w:fill="1F3552"/>
            <w:tcMar>
              <w:top w:w="90" w:type="dxa"/>
              <w:left w:w="110" w:type="dxa"/>
              <w:bottom w:w="90" w:type="dxa"/>
              <w:right w:w="110" w:type="dxa"/>
            </w:tcMar>
            <w:vAlign w:val="center"/>
          </w:tcPr>
          <w:p w14:paraId="780834C0" w14:textId="77777777" w:rsidR="00493B03" w:rsidRDefault="00000000">
            <w:pPr>
              <w:jc w:val="center"/>
            </w:pPr>
            <w:r>
              <w:rPr>
                <w:b/>
                <w:bCs/>
                <w:color w:val="FFFFFF"/>
                <w:sz w:val="20"/>
                <w:szCs w:val="20"/>
              </w:rPr>
              <w:t>Add-to-Cart Rate</w:t>
            </w:r>
          </w:p>
        </w:tc>
        <w:tc>
          <w:tcPr>
            <w:tcW w:w="2000" w:type="dxa"/>
            <w:shd w:val="clear" w:color="auto" w:fill="1F3552"/>
            <w:tcMar>
              <w:top w:w="90" w:type="dxa"/>
              <w:left w:w="110" w:type="dxa"/>
              <w:bottom w:w="90" w:type="dxa"/>
              <w:right w:w="110" w:type="dxa"/>
            </w:tcMar>
            <w:vAlign w:val="center"/>
          </w:tcPr>
          <w:p w14:paraId="6DDCA9BA" w14:textId="77777777" w:rsidR="00493B03" w:rsidRDefault="00000000">
            <w:pPr>
              <w:jc w:val="center"/>
            </w:pPr>
            <w:r>
              <w:rPr>
                <w:b/>
                <w:bCs/>
                <w:color w:val="FFFFFF"/>
                <w:sz w:val="20"/>
                <w:szCs w:val="20"/>
              </w:rPr>
              <w:t>Conversion Rate</w:t>
            </w:r>
          </w:p>
        </w:tc>
      </w:tr>
      <w:tr w:rsidR="00493B03" w14:paraId="6AB3A68E" w14:textId="77777777">
        <w:tblPrEx>
          <w:tblCellMar>
            <w:top w:w="0" w:type="dxa"/>
            <w:bottom w:w="0" w:type="dxa"/>
          </w:tblCellMar>
        </w:tblPrEx>
        <w:trPr>
          <w:cantSplit/>
        </w:trPr>
        <w:tc>
          <w:tcPr>
            <w:tcW w:w="2200" w:type="dxa"/>
            <w:shd w:val="clear" w:color="auto" w:fill="F2F5F7"/>
            <w:tcMar>
              <w:top w:w="90" w:type="dxa"/>
              <w:left w:w="110" w:type="dxa"/>
              <w:bottom w:w="90" w:type="dxa"/>
              <w:right w:w="110" w:type="dxa"/>
            </w:tcMar>
            <w:vAlign w:val="center"/>
          </w:tcPr>
          <w:p w14:paraId="47C7E3DB" w14:textId="77777777" w:rsidR="00493B03" w:rsidRDefault="00000000">
            <w:pPr>
              <w:jc w:val="center"/>
            </w:pPr>
            <w:r>
              <w:rPr>
                <w:color w:val="000000"/>
                <w:sz w:val="20"/>
                <w:szCs w:val="20"/>
              </w:rPr>
              <w:t>Mobile</w:t>
            </w:r>
          </w:p>
        </w:tc>
        <w:tc>
          <w:tcPr>
            <w:tcW w:w="1700" w:type="dxa"/>
            <w:shd w:val="clear" w:color="auto" w:fill="F2F5F7"/>
            <w:tcMar>
              <w:top w:w="90" w:type="dxa"/>
              <w:left w:w="110" w:type="dxa"/>
              <w:bottom w:w="90" w:type="dxa"/>
              <w:right w:w="110" w:type="dxa"/>
            </w:tcMar>
            <w:vAlign w:val="center"/>
          </w:tcPr>
          <w:p w14:paraId="5A7D1CA0" w14:textId="77777777" w:rsidR="00493B03" w:rsidRDefault="00000000">
            <w:pPr>
              <w:jc w:val="center"/>
            </w:pPr>
            <w:r>
              <w:rPr>
                <w:color w:val="000000"/>
                <w:sz w:val="20"/>
                <w:szCs w:val="20"/>
              </w:rPr>
              <w:t>330 (66.0%)</w:t>
            </w:r>
          </w:p>
        </w:tc>
        <w:tc>
          <w:tcPr>
            <w:tcW w:w="1900" w:type="dxa"/>
            <w:shd w:val="clear" w:color="auto" w:fill="F2F5F7"/>
            <w:tcMar>
              <w:top w:w="90" w:type="dxa"/>
              <w:left w:w="110" w:type="dxa"/>
              <w:bottom w:w="90" w:type="dxa"/>
              <w:right w:w="110" w:type="dxa"/>
            </w:tcMar>
            <w:vAlign w:val="center"/>
          </w:tcPr>
          <w:p w14:paraId="0CC01EB0" w14:textId="77777777" w:rsidR="00493B03" w:rsidRDefault="00000000">
            <w:pPr>
              <w:jc w:val="center"/>
            </w:pPr>
            <w:r>
              <w:rPr>
                <w:color w:val="000000"/>
                <w:sz w:val="20"/>
                <w:szCs w:val="20"/>
              </w:rPr>
              <w:t>45.8%</w:t>
            </w:r>
          </w:p>
        </w:tc>
        <w:tc>
          <w:tcPr>
            <w:tcW w:w="1900" w:type="dxa"/>
            <w:shd w:val="clear" w:color="auto" w:fill="F2F5F7"/>
            <w:tcMar>
              <w:top w:w="90" w:type="dxa"/>
              <w:left w:w="110" w:type="dxa"/>
              <w:bottom w:w="90" w:type="dxa"/>
              <w:right w:w="110" w:type="dxa"/>
            </w:tcMar>
            <w:vAlign w:val="center"/>
          </w:tcPr>
          <w:p w14:paraId="41660361" w14:textId="77777777" w:rsidR="00493B03" w:rsidRDefault="00000000">
            <w:pPr>
              <w:jc w:val="center"/>
            </w:pPr>
            <w:r>
              <w:rPr>
                <w:color w:val="000000"/>
                <w:sz w:val="20"/>
                <w:szCs w:val="20"/>
              </w:rPr>
              <w:t>10.6%</w:t>
            </w:r>
          </w:p>
        </w:tc>
        <w:tc>
          <w:tcPr>
            <w:tcW w:w="2000" w:type="dxa"/>
            <w:shd w:val="clear" w:color="auto" w:fill="F2F5F7"/>
            <w:tcMar>
              <w:top w:w="90" w:type="dxa"/>
              <w:left w:w="110" w:type="dxa"/>
              <w:bottom w:w="90" w:type="dxa"/>
              <w:right w:w="110" w:type="dxa"/>
            </w:tcMar>
            <w:vAlign w:val="center"/>
          </w:tcPr>
          <w:p w14:paraId="019C77FC" w14:textId="77777777" w:rsidR="00493B03" w:rsidRDefault="00000000">
            <w:pPr>
              <w:jc w:val="center"/>
            </w:pPr>
            <w:r>
              <w:rPr>
                <w:color w:val="000000"/>
                <w:sz w:val="20"/>
                <w:szCs w:val="20"/>
              </w:rPr>
              <w:t>2.4%</w:t>
            </w:r>
          </w:p>
        </w:tc>
      </w:tr>
      <w:tr w:rsidR="00493B03" w14:paraId="43DC2AA8" w14:textId="77777777">
        <w:tblPrEx>
          <w:tblCellMar>
            <w:top w:w="0" w:type="dxa"/>
            <w:bottom w:w="0" w:type="dxa"/>
          </w:tblCellMar>
        </w:tblPrEx>
        <w:trPr>
          <w:cantSplit/>
        </w:trPr>
        <w:tc>
          <w:tcPr>
            <w:tcW w:w="2200" w:type="dxa"/>
            <w:shd w:val="clear" w:color="auto" w:fill="FFFFFF"/>
            <w:tcMar>
              <w:top w:w="90" w:type="dxa"/>
              <w:left w:w="110" w:type="dxa"/>
              <w:bottom w:w="90" w:type="dxa"/>
              <w:right w:w="110" w:type="dxa"/>
            </w:tcMar>
            <w:vAlign w:val="center"/>
          </w:tcPr>
          <w:p w14:paraId="090995A5" w14:textId="77777777" w:rsidR="00493B03" w:rsidRDefault="00000000">
            <w:pPr>
              <w:jc w:val="center"/>
            </w:pPr>
            <w:r>
              <w:rPr>
                <w:color w:val="000000"/>
                <w:sz w:val="20"/>
                <w:szCs w:val="20"/>
              </w:rPr>
              <w:t>Desktop</w:t>
            </w:r>
          </w:p>
        </w:tc>
        <w:tc>
          <w:tcPr>
            <w:tcW w:w="1700" w:type="dxa"/>
            <w:shd w:val="clear" w:color="auto" w:fill="FFFFFF"/>
            <w:tcMar>
              <w:top w:w="90" w:type="dxa"/>
              <w:left w:w="110" w:type="dxa"/>
              <w:bottom w:w="90" w:type="dxa"/>
              <w:right w:w="110" w:type="dxa"/>
            </w:tcMar>
            <w:vAlign w:val="center"/>
          </w:tcPr>
          <w:p w14:paraId="4FBE83C7" w14:textId="77777777" w:rsidR="00493B03" w:rsidRDefault="00000000">
            <w:pPr>
              <w:jc w:val="center"/>
            </w:pPr>
            <w:r>
              <w:rPr>
                <w:color w:val="000000"/>
                <w:sz w:val="20"/>
                <w:szCs w:val="20"/>
              </w:rPr>
              <w:t>148 (29.6%)</w:t>
            </w:r>
          </w:p>
        </w:tc>
        <w:tc>
          <w:tcPr>
            <w:tcW w:w="1900" w:type="dxa"/>
            <w:shd w:val="clear" w:color="auto" w:fill="FFFFFF"/>
            <w:tcMar>
              <w:top w:w="90" w:type="dxa"/>
              <w:left w:w="110" w:type="dxa"/>
              <w:bottom w:w="90" w:type="dxa"/>
              <w:right w:w="110" w:type="dxa"/>
            </w:tcMar>
            <w:vAlign w:val="center"/>
          </w:tcPr>
          <w:p w14:paraId="5AD242E8" w14:textId="77777777" w:rsidR="00493B03" w:rsidRDefault="00000000">
            <w:pPr>
              <w:jc w:val="center"/>
            </w:pPr>
            <w:r>
              <w:rPr>
                <w:color w:val="000000"/>
                <w:sz w:val="20"/>
                <w:szCs w:val="20"/>
              </w:rPr>
              <w:t>33.1%</w:t>
            </w:r>
          </w:p>
        </w:tc>
        <w:tc>
          <w:tcPr>
            <w:tcW w:w="1900" w:type="dxa"/>
            <w:shd w:val="clear" w:color="auto" w:fill="FFFFFF"/>
            <w:tcMar>
              <w:top w:w="90" w:type="dxa"/>
              <w:left w:w="110" w:type="dxa"/>
              <w:bottom w:w="90" w:type="dxa"/>
              <w:right w:w="110" w:type="dxa"/>
            </w:tcMar>
            <w:vAlign w:val="center"/>
          </w:tcPr>
          <w:p w14:paraId="4F5DA169" w14:textId="77777777" w:rsidR="00493B03" w:rsidRDefault="00000000">
            <w:pPr>
              <w:jc w:val="center"/>
            </w:pPr>
            <w:r>
              <w:rPr>
                <w:color w:val="000000"/>
                <w:sz w:val="20"/>
                <w:szCs w:val="20"/>
              </w:rPr>
              <w:t>12.2%</w:t>
            </w:r>
          </w:p>
        </w:tc>
        <w:tc>
          <w:tcPr>
            <w:tcW w:w="2000" w:type="dxa"/>
            <w:shd w:val="clear" w:color="auto" w:fill="FFFFFF"/>
            <w:tcMar>
              <w:top w:w="90" w:type="dxa"/>
              <w:left w:w="110" w:type="dxa"/>
              <w:bottom w:w="90" w:type="dxa"/>
              <w:right w:w="110" w:type="dxa"/>
            </w:tcMar>
            <w:vAlign w:val="center"/>
          </w:tcPr>
          <w:p w14:paraId="56061EE5" w14:textId="77777777" w:rsidR="00493B03" w:rsidRDefault="00000000">
            <w:pPr>
              <w:jc w:val="center"/>
            </w:pPr>
            <w:r>
              <w:rPr>
                <w:color w:val="000000"/>
                <w:sz w:val="20"/>
                <w:szCs w:val="20"/>
              </w:rPr>
              <w:t>4.7%</w:t>
            </w:r>
          </w:p>
        </w:tc>
      </w:tr>
      <w:tr w:rsidR="00493B03" w14:paraId="4454370E" w14:textId="77777777">
        <w:tblPrEx>
          <w:tblCellMar>
            <w:top w:w="0" w:type="dxa"/>
            <w:bottom w:w="0" w:type="dxa"/>
          </w:tblCellMar>
        </w:tblPrEx>
        <w:trPr>
          <w:cantSplit/>
        </w:trPr>
        <w:tc>
          <w:tcPr>
            <w:tcW w:w="2200" w:type="dxa"/>
            <w:shd w:val="clear" w:color="auto" w:fill="F2F5F7"/>
            <w:tcMar>
              <w:top w:w="90" w:type="dxa"/>
              <w:left w:w="110" w:type="dxa"/>
              <w:bottom w:w="90" w:type="dxa"/>
              <w:right w:w="110" w:type="dxa"/>
            </w:tcMar>
            <w:vAlign w:val="center"/>
          </w:tcPr>
          <w:p w14:paraId="705D4559" w14:textId="77777777" w:rsidR="00493B03" w:rsidRDefault="00000000">
            <w:pPr>
              <w:jc w:val="center"/>
            </w:pPr>
            <w:r>
              <w:rPr>
                <w:color w:val="000000"/>
                <w:sz w:val="20"/>
                <w:szCs w:val="20"/>
              </w:rPr>
              <w:t>Tablet</w:t>
            </w:r>
          </w:p>
        </w:tc>
        <w:tc>
          <w:tcPr>
            <w:tcW w:w="1700" w:type="dxa"/>
            <w:shd w:val="clear" w:color="auto" w:fill="F2F5F7"/>
            <w:tcMar>
              <w:top w:w="90" w:type="dxa"/>
              <w:left w:w="110" w:type="dxa"/>
              <w:bottom w:w="90" w:type="dxa"/>
              <w:right w:w="110" w:type="dxa"/>
            </w:tcMar>
            <w:vAlign w:val="center"/>
          </w:tcPr>
          <w:p w14:paraId="453A4AC3" w14:textId="77777777" w:rsidR="00493B03" w:rsidRDefault="00000000">
            <w:pPr>
              <w:jc w:val="center"/>
            </w:pPr>
            <w:r>
              <w:rPr>
                <w:color w:val="000000"/>
                <w:sz w:val="20"/>
                <w:szCs w:val="20"/>
              </w:rPr>
              <w:t>22 (4.4%)</w:t>
            </w:r>
          </w:p>
        </w:tc>
        <w:tc>
          <w:tcPr>
            <w:tcW w:w="1900" w:type="dxa"/>
            <w:shd w:val="clear" w:color="auto" w:fill="F2F5F7"/>
            <w:tcMar>
              <w:top w:w="90" w:type="dxa"/>
              <w:left w:w="110" w:type="dxa"/>
              <w:bottom w:w="90" w:type="dxa"/>
              <w:right w:w="110" w:type="dxa"/>
            </w:tcMar>
            <w:vAlign w:val="center"/>
          </w:tcPr>
          <w:p w14:paraId="6852F62D" w14:textId="77777777" w:rsidR="00493B03" w:rsidRDefault="00000000">
            <w:pPr>
              <w:jc w:val="center"/>
            </w:pPr>
            <w:r>
              <w:rPr>
                <w:color w:val="000000"/>
                <w:sz w:val="20"/>
                <w:szCs w:val="20"/>
              </w:rPr>
              <w:t>45.5%</w:t>
            </w:r>
          </w:p>
        </w:tc>
        <w:tc>
          <w:tcPr>
            <w:tcW w:w="1900" w:type="dxa"/>
            <w:shd w:val="clear" w:color="auto" w:fill="F2F5F7"/>
            <w:tcMar>
              <w:top w:w="90" w:type="dxa"/>
              <w:left w:w="110" w:type="dxa"/>
              <w:bottom w:w="90" w:type="dxa"/>
              <w:right w:w="110" w:type="dxa"/>
            </w:tcMar>
            <w:vAlign w:val="center"/>
          </w:tcPr>
          <w:p w14:paraId="51BB064C" w14:textId="77777777" w:rsidR="00493B03" w:rsidRDefault="00000000">
            <w:pPr>
              <w:jc w:val="center"/>
            </w:pPr>
            <w:r>
              <w:rPr>
                <w:color w:val="000000"/>
                <w:sz w:val="20"/>
                <w:szCs w:val="20"/>
              </w:rPr>
              <w:t>9.1%</w:t>
            </w:r>
          </w:p>
        </w:tc>
        <w:tc>
          <w:tcPr>
            <w:tcW w:w="2000" w:type="dxa"/>
            <w:shd w:val="clear" w:color="auto" w:fill="F2F5F7"/>
            <w:tcMar>
              <w:top w:w="90" w:type="dxa"/>
              <w:left w:w="110" w:type="dxa"/>
              <w:bottom w:w="90" w:type="dxa"/>
              <w:right w:w="110" w:type="dxa"/>
            </w:tcMar>
            <w:vAlign w:val="center"/>
          </w:tcPr>
          <w:p w14:paraId="0EED654F" w14:textId="77777777" w:rsidR="00493B03" w:rsidRDefault="00000000">
            <w:pPr>
              <w:jc w:val="center"/>
            </w:pPr>
            <w:r>
              <w:rPr>
                <w:color w:val="000000"/>
                <w:sz w:val="20"/>
                <w:szCs w:val="20"/>
              </w:rPr>
              <w:t>0.0%</w:t>
            </w:r>
          </w:p>
        </w:tc>
      </w:tr>
    </w:tbl>
    <w:p w14:paraId="6DD0E621" w14:textId="77777777" w:rsidR="00493B03" w:rsidRDefault="00493B03">
      <w:pPr>
        <w:spacing w:before="200" w:after="100"/>
      </w:pPr>
    </w:p>
    <w:p w14:paraId="02197C39" w14:textId="77777777" w:rsidR="00493B03" w:rsidRDefault="00000000">
      <w:pPr>
        <w:pStyle w:val="ListParagraph"/>
        <w:numPr>
          <w:ilvl w:val="0"/>
          <w:numId w:val="3"/>
        </w:numPr>
        <w:spacing w:after="90"/>
      </w:pPr>
      <w:r>
        <w:rPr>
          <w:b/>
          <w:bCs/>
          <w:color w:val="1F3552"/>
        </w:rPr>
        <w:t xml:space="preserve">Mobile dominates volume but underperforms on conversion: </w:t>
      </w:r>
      <w:r>
        <w:t>Mobile accounts for 66.0% of sessions — consistent with the industry-wide shift toward mobile shopping — yet converts at only 2.4%, roughly half the desktop rate of 4.7%. Mobile also bounces at the highest rate (45.8%) of the three device categories.</w:t>
      </w:r>
    </w:p>
    <w:p w14:paraId="26BF507B" w14:textId="77777777" w:rsidR="00493B03" w:rsidRDefault="00000000">
      <w:pPr>
        <w:pStyle w:val="ListParagraph"/>
        <w:numPr>
          <w:ilvl w:val="0"/>
          <w:numId w:val="3"/>
        </w:numPr>
        <w:spacing w:after="90"/>
      </w:pPr>
      <w:r>
        <w:rPr>
          <w:b/>
          <w:bCs/>
          <w:color w:val="1F3552"/>
        </w:rPr>
        <w:t xml:space="preserve">Desktop is the most efficient channel per session: </w:t>
      </w:r>
      <w:r>
        <w:t>Despite carrying under a third of total traffic, desktop sessions are almost twice as likely to convert as mobile sessions, pointing to a materially better on-site experience (page load speed, form usability, or payment friction) on larger screens.</w:t>
      </w:r>
    </w:p>
    <w:p w14:paraId="147F33E3" w14:textId="77777777" w:rsidR="00493B03" w:rsidRDefault="00000000">
      <w:pPr>
        <w:pStyle w:val="ListParagraph"/>
        <w:numPr>
          <w:ilvl w:val="0"/>
          <w:numId w:val="3"/>
        </w:numPr>
        <w:spacing w:after="90"/>
      </w:pPr>
      <w:r>
        <w:rPr>
          <w:b/>
          <w:bCs/>
          <w:color w:val="1F3552"/>
        </w:rPr>
        <w:t xml:space="preserve">Tablet is a statistically small but zero-converting segment: </w:t>
      </w:r>
      <w:r>
        <w:t>With only 22 sessions and zero completed purchases in this sample, tablet performance should be monitored over a longer window before drawing firm conclusions, but it is not currently a productive segment to target with incremental spend.</w:t>
      </w:r>
    </w:p>
    <w:p w14:paraId="6EF65498" w14:textId="77777777" w:rsidR="00493B03" w:rsidRDefault="00000000">
      <w:r>
        <w:br w:type="page"/>
      </w:r>
    </w:p>
    <w:p w14:paraId="7B182FD8" w14:textId="77777777" w:rsidR="00493B03" w:rsidRDefault="00000000">
      <w:pPr>
        <w:pStyle w:val="Heading2"/>
        <w:spacing w:before="280" w:after="140"/>
      </w:pPr>
      <w:r>
        <w:rPr>
          <w:b/>
          <w:bCs/>
          <w:color w:val="2A9D8F"/>
          <w:sz w:val="24"/>
          <w:szCs w:val="24"/>
        </w:rPr>
        <w:lastRenderedPageBreak/>
        <w:t>6.3 Traffic Source Analysis</w:t>
      </w:r>
    </w:p>
    <w:p w14:paraId="69F06F92" w14:textId="77777777" w:rsidR="00493B03" w:rsidRDefault="00000000">
      <w:pPr>
        <w:spacing w:before="160"/>
        <w:jc w:val="center"/>
      </w:pPr>
      <w:r>
        <w:rPr>
          <w:noProof/>
        </w:rPr>
        <w:drawing>
          <wp:inline distT="0" distB="0" distL="0" distR="0" wp14:anchorId="65D4AC63" wp14:editId="2AE6504C">
            <wp:extent cx="4762500" cy="2667000"/>
            <wp:effectExtent l="0" t="0" r="0" b="0"/>
            <wp:docPr id="539258466" name="Picture 53925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67000"/>
                    </a:xfrm>
                    <a:prstGeom prst="rect">
                      <a:avLst/>
                    </a:prstGeom>
                  </pic:spPr>
                </pic:pic>
              </a:graphicData>
            </a:graphic>
          </wp:inline>
        </w:drawing>
      </w:r>
    </w:p>
    <w:p w14:paraId="47F528DA" w14:textId="77777777" w:rsidR="00493B03" w:rsidRDefault="00000000">
      <w:pPr>
        <w:spacing w:before="80" w:after="260"/>
        <w:jc w:val="center"/>
      </w:pPr>
      <w:r>
        <w:rPr>
          <w:i/>
          <w:iCs/>
          <w:color w:val="5A6472"/>
          <w:sz w:val="19"/>
          <w:szCs w:val="19"/>
        </w:rPr>
        <w:t>Figure 3. Session volume (bars) and conversion rate (line) by acquisition channel.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00"/>
        <w:gridCol w:w="2200"/>
        <w:gridCol w:w="2600"/>
      </w:tblGrid>
      <w:tr w:rsidR="00493B03" w14:paraId="512720A0" w14:textId="77777777">
        <w:tblPrEx>
          <w:tblCellMar>
            <w:top w:w="0" w:type="dxa"/>
            <w:bottom w:w="0" w:type="dxa"/>
          </w:tblCellMar>
        </w:tblPrEx>
        <w:trPr>
          <w:cantSplit/>
          <w:tblHeader/>
        </w:trPr>
        <w:tc>
          <w:tcPr>
            <w:tcW w:w="2800" w:type="dxa"/>
            <w:shd w:val="clear" w:color="auto" w:fill="1F3552"/>
            <w:tcMar>
              <w:top w:w="90" w:type="dxa"/>
              <w:left w:w="110" w:type="dxa"/>
              <w:bottom w:w="90" w:type="dxa"/>
              <w:right w:w="110" w:type="dxa"/>
            </w:tcMar>
            <w:vAlign w:val="center"/>
          </w:tcPr>
          <w:p w14:paraId="232D13DB" w14:textId="77777777" w:rsidR="00493B03" w:rsidRDefault="00000000">
            <w:pPr>
              <w:jc w:val="center"/>
            </w:pPr>
            <w:r>
              <w:rPr>
                <w:b/>
                <w:bCs/>
                <w:color w:val="FFFFFF"/>
                <w:sz w:val="20"/>
                <w:szCs w:val="20"/>
              </w:rPr>
              <w:t>Traffic Source</w:t>
            </w:r>
          </w:p>
        </w:tc>
        <w:tc>
          <w:tcPr>
            <w:tcW w:w="2100" w:type="dxa"/>
            <w:shd w:val="clear" w:color="auto" w:fill="1F3552"/>
            <w:tcMar>
              <w:top w:w="90" w:type="dxa"/>
              <w:left w:w="110" w:type="dxa"/>
              <w:bottom w:w="90" w:type="dxa"/>
              <w:right w:w="110" w:type="dxa"/>
            </w:tcMar>
            <w:vAlign w:val="center"/>
          </w:tcPr>
          <w:p w14:paraId="135F782D" w14:textId="77777777" w:rsidR="00493B03" w:rsidRDefault="00000000">
            <w:pPr>
              <w:jc w:val="center"/>
            </w:pPr>
            <w:r>
              <w:rPr>
                <w:b/>
                <w:bCs/>
                <w:color w:val="FFFFFF"/>
                <w:sz w:val="20"/>
                <w:szCs w:val="20"/>
              </w:rPr>
              <w:t>Sessions</w:t>
            </w:r>
          </w:p>
        </w:tc>
        <w:tc>
          <w:tcPr>
            <w:tcW w:w="2200" w:type="dxa"/>
            <w:shd w:val="clear" w:color="auto" w:fill="1F3552"/>
            <w:tcMar>
              <w:top w:w="90" w:type="dxa"/>
              <w:left w:w="110" w:type="dxa"/>
              <w:bottom w:w="90" w:type="dxa"/>
              <w:right w:w="110" w:type="dxa"/>
            </w:tcMar>
            <w:vAlign w:val="center"/>
          </w:tcPr>
          <w:p w14:paraId="509211FD" w14:textId="77777777" w:rsidR="00493B03" w:rsidRDefault="00000000">
            <w:pPr>
              <w:jc w:val="center"/>
            </w:pPr>
            <w:r>
              <w:rPr>
                <w:b/>
                <w:bCs/>
                <w:color w:val="FFFFFF"/>
                <w:sz w:val="20"/>
                <w:szCs w:val="20"/>
              </w:rPr>
              <w:t>Share of Traffic</w:t>
            </w:r>
          </w:p>
        </w:tc>
        <w:tc>
          <w:tcPr>
            <w:tcW w:w="2600" w:type="dxa"/>
            <w:shd w:val="clear" w:color="auto" w:fill="1F3552"/>
            <w:tcMar>
              <w:top w:w="90" w:type="dxa"/>
              <w:left w:w="110" w:type="dxa"/>
              <w:bottom w:w="90" w:type="dxa"/>
              <w:right w:w="110" w:type="dxa"/>
            </w:tcMar>
            <w:vAlign w:val="center"/>
          </w:tcPr>
          <w:p w14:paraId="0EC9073B" w14:textId="77777777" w:rsidR="00493B03" w:rsidRDefault="00000000">
            <w:pPr>
              <w:jc w:val="center"/>
            </w:pPr>
            <w:r>
              <w:rPr>
                <w:b/>
                <w:bCs/>
                <w:color w:val="FFFFFF"/>
                <w:sz w:val="20"/>
                <w:szCs w:val="20"/>
              </w:rPr>
              <w:t>Conversion Rate</w:t>
            </w:r>
          </w:p>
        </w:tc>
      </w:tr>
      <w:tr w:rsidR="00493B03" w14:paraId="311FB955" w14:textId="77777777">
        <w:tblPrEx>
          <w:tblCellMar>
            <w:top w:w="0" w:type="dxa"/>
            <w:bottom w:w="0" w:type="dxa"/>
          </w:tblCellMar>
        </w:tblPrEx>
        <w:trPr>
          <w:cantSplit/>
        </w:trPr>
        <w:tc>
          <w:tcPr>
            <w:tcW w:w="2800" w:type="dxa"/>
            <w:shd w:val="clear" w:color="auto" w:fill="F2F5F7"/>
            <w:tcMar>
              <w:top w:w="90" w:type="dxa"/>
              <w:left w:w="110" w:type="dxa"/>
              <w:bottom w:w="90" w:type="dxa"/>
              <w:right w:w="110" w:type="dxa"/>
            </w:tcMar>
            <w:vAlign w:val="center"/>
          </w:tcPr>
          <w:p w14:paraId="651B6AD2" w14:textId="77777777" w:rsidR="00493B03" w:rsidRDefault="00000000">
            <w:pPr>
              <w:jc w:val="center"/>
            </w:pPr>
            <w:r>
              <w:rPr>
                <w:color w:val="000000"/>
                <w:sz w:val="20"/>
                <w:szCs w:val="20"/>
              </w:rPr>
              <w:t>Organic Search</w:t>
            </w:r>
          </w:p>
        </w:tc>
        <w:tc>
          <w:tcPr>
            <w:tcW w:w="2100" w:type="dxa"/>
            <w:shd w:val="clear" w:color="auto" w:fill="F2F5F7"/>
            <w:tcMar>
              <w:top w:w="90" w:type="dxa"/>
              <w:left w:w="110" w:type="dxa"/>
              <w:bottom w:w="90" w:type="dxa"/>
              <w:right w:w="110" w:type="dxa"/>
            </w:tcMar>
            <w:vAlign w:val="center"/>
          </w:tcPr>
          <w:p w14:paraId="67DDEC2E" w14:textId="77777777" w:rsidR="00493B03" w:rsidRDefault="00000000">
            <w:pPr>
              <w:jc w:val="center"/>
            </w:pPr>
            <w:r>
              <w:rPr>
                <w:color w:val="000000"/>
                <w:sz w:val="20"/>
                <w:szCs w:val="20"/>
              </w:rPr>
              <w:t>154</w:t>
            </w:r>
          </w:p>
        </w:tc>
        <w:tc>
          <w:tcPr>
            <w:tcW w:w="2200" w:type="dxa"/>
            <w:shd w:val="clear" w:color="auto" w:fill="F2F5F7"/>
            <w:tcMar>
              <w:top w:w="90" w:type="dxa"/>
              <w:left w:w="110" w:type="dxa"/>
              <w:bottom w:w="90" w:type="dxa"/>
              <w:right w:w="110" w:type="dxa"/>
            </w:tcMar>
            <w:vAlign w:val="center"/>
          </w:tcPr>
          <w:p w14:paraId="47BA7E25" w14:textId="77777777" w:rsidR="00493B03" w:rsidRDefault="00000000">
            <w:pPr>
              <w:jc w:val="center"/>
            </w:pPr>
            <w:r>
              <w:rPr>
                <w:color w:val="000000"/>
                <w:sz w:val="20"/>
                <w:szCs w:val="20"/>
              </w:rPr>
              <w:t>30.8%</w:t>
            </w:r>
          </w:p>
        </w:tc>
        <w:tc>
          <w:tcPr>
            <w:tcW w:w="2600" w:type="dxa"/>
            <w:shd w:val="clear" w:color="auto" w:fill="F2F5F7"/>
            <w:tcMar>
              <w:top w:w="90" w:type="dxa"/>
              <w:left w:w="110" w:type="dxa"/>
              <w:bottom w:w="90" w:type="dxa"/>
              <w:right w:w="110" w:type="dxa"/>
            </w:tcMar>
            <w:vAlign w:val="center"/>
          </w:tcPr>
          <w:p w14:paraId="58863EB0" w14:textId="77777777" w:rsidR="00493B03" w:rsidRDefault="00000000">
            <w:pPr>
              <w:jc w:val="center"/>
            </w:pPr>
            <w:r>
              <w:rPr>
                <w:color w:val="000000"/>
                <w:sz w:val="20"/>
                <w:szCs w:val="20"/>
              </w:rPr>
              <w:t>1.9%</w:t>
            </w:r>
          </w:p>
        </w:tc>
      </w:tr>
      <w:tr w:rsidR="00493B03" w14:paraId="367E2A48" w14:textId="77777777">
        <w:tblPrEx>
          <w:tblCellMar>
            <w:top w:w="0" w:type="dxa"/>
            <w:bottom w:w="0" w:type="dxa"/>
          </w:tblCellMar>
        </w:tblPrEx>
        <w:trPr>
          <w:cantSplit/>
        </w:trPr>
        <w:tc>
          <w:tcPr>
            <w:tcW w:w="2800" w:type="dxa"/>
            <w:shd w:val="clear" w:color="auto" w:fill="FFFFFF"/>
            <w:tcMar>
              <w:top w:w="90" w:type="dxa"/>
              <w:left w:w="110" w:type="dxa"/>
              <w:bottom w:w="90" w:type="dxa"/>
              <w:right w:w="110" w:type="dxa"/>
            </w:tcMar>
            <w:vAlign w:val="center"/>
          </w:tcPr>
          <w:p w14:paraId="2915D217" w14:textId="77777777" w:rsidR="00493B03" w:rsidRDefault="00000000">
            <w:pPr>
              <w:jc w:val="center"/>
            </w:pPr>
            <w:r>
              <w:rPr>
                <w:color w:val="000000"/>
                <w:sz w:val="20"/>
                <w:szCs w:val="20"/>
              </w:rPr>
              <w:t>Paid Search</w:t>
            </w:r>
          </w:p>
        </w:tc>
        <w:tc>
          <w:tcPr>
            <w:tcW w:w="2100" w:type="dxa"/>
            <w:shd w:val="clear" w:color="auto" w:fill="FFFFFF"/>
            <w:tcMar>
              <w:top w:w="90" w:type="dxa"/>
              <w:left w:w="110" w:type="dxa"/>
              <w:bottom w:w="90" w:type="dxa"/>
              <w:right w:w="110" w:type="dxa"/>
            </w:tcMar>
            <w:vAlign w:val="center"/>
          </w:tcPr>
          <w:p w14:paraId="45297886" w14:textId="77777777" w:rsidR="00493B03" w:rsidRDefault="00000000">
            <w:pPr>
              <w:jc w:val="center"/>
            </w:pPr>
            <w:r>
              <w:rPr>
                <w:color w:val="000000"/>
                <w:sz w:val="20"/>
                <w:szCs w:val="20"/>
              </w:rPr>
              <w:t>100</w:t>
            </w:r>
          </w:p>
        </w:tc>
        <w:tc>
          <w:tcPr>
            <w:tcW w:w="2200" w:type="dxa"/>
            <w:shd w:val="clear" w:color="auto" w:fill="FFFFFF"/>
            <w:tcMar>
              <w:top w:w="90" w:type="dxa"/>
              <w:left w:w="110" w:type="dxa"/>
              <w:bottom w:w="90" w:type="dxa"/>
              <w:right w:w="110" w:type="dxa"/>
            </w:tcMar>
            <w:vAlign w:val="center"/>
          </w:tcPr>
          <w:p w14:paraId="6301810C" w14:textId="77777777" w:rsidR="00493B03" w:rsidRDefault="00000000">
            <w:pPr>
              <w:jc w:val="center"/>
            </w:pPr>
            <w:r>
              <w:rPr>
                <w:color w:val="000000"/>
                <w:sz w:val="20"/>
                <w:szCs w:val="20"/>
              </w:rPr>
              <w:t>20.0%</w:t>
            </w:r>
          </w:p>
        </w:tc>
        <w:tc>
          <w:tcPr>
            <w:tcW w:w="2600" w:type="dxa"/>
            <w:shd w:val="clear" w:color="auto" w:fill="FFFFFF"/>
            <w:tcMar>
              <w:top w:w="90" w:type="dxa"/>
              <w:left w:w="110" w:type="dxa"/>
              <w:bottom w:w="90" w:type="dxa"/>
              <w:right w:w="110" w:type="dxa"/>
            </w:tcMar>
            <w:vAlign w:val="center"/>
          </w:tcPr>
          <w:p w14:paraId="4BC0976E" w14:textId="77777777" w:rsidR="00493B03" w:rsidRDefault="00000000">
            <w:pPr>
              <w:jc w:val="center"/>
            </w:pPr>
            <w:r>
              <w:rPr>
                <w:color w:val="000000"/>
                <w:sz w:val="20"/>
                <w:szCs w:val="20"/>
              </w:rPr>
              <w:t>4.0%</w:t>
            </w:r>
          </w:p>
        </w:tc>
      </w:tr>
      <w:tr w:rsidR="00493B03" w14:paraId="199AF1EF" w14:textId="77777777">
        <w:tblPrEx>
          <w:tblCellMar>
            <w:top w:w="0" w:type="dxa"/>
            <w:bottom w:w="0" w:type="dxa"/>
          </w:tblCellMar>
        </w:tblPrEx>
        <w:trPr>
          <w:cantSplit/>
        </w:trPr>
        <w:tc>
          <w:tcPr>
            <w:tcW w:w="2800" w:type="dxa"/>
            <w:shd w:val="clear" w:color="auto" w:fill="F2F5F7"/>
            <w:tcMar>
              <w:top w:w="90" w:type="dxa"/>
              <w:left w:w="110" w:type="dxa"/>
              <w:bottom w:w="90" w:type="dxa"/>
              <w:right w:w="110" w:type="dxa"/>
            </w:tcMar>
            <w:vAlign w:val="center"/>
          </w:tcPr>
          <w:p w14:paraId="2128E566" w14:textId="77777777" w:rsidR="00493B03" w:rsidRDefault="00000000">
            <w:pPr>
              <w:jc w:val="center"/>
            </w:pPr>
            <w:r>
              <w:rPr>
                <w:color w:val="000000"/>
                <w:sz w:val="20"/>
                <w:szCs w:val="20"/>
              </w:rPr>
              <w:t>Direct</w:t>
            </w:r>
          </w:p>
        </w:tc>
        <w:tc>
          <w:tcPr>
            <w:tcW w:w="2100" w:type="dxa"/>
            <w:shd w:val="clear" w:color="auto" w:fill="F2F5F7"/>
            <w:tcMar>
              <w:top w:w="90" w:type="dxa"/>
              <w:left w:w="110" w:type="dxa"/>
              <w:bottom w:w="90" w:type="dxa"/>
              <w:right w:w="110" w:type="dxa"/>
            </w:tcMar>
            <w:vAlign w:val="center"/>
          </w:tcPr>
          <w:p w14:paraId="38F53A58" w14:textId="77777777" w:rsidR="00493B03" w:rsidRDefault="00000000">
            <w:pPr>
              <w:jc w:val="center"/>
            </w:pPr>
            <w:r>
              <w:rPr>
                <w:color w:val="000000"/>
                <w:sz w:val="20"/>
                <w:szCs w:val="20"/>
              </w:rPr>
              <w:t>83</w:t>
            </w:r>
          </w:p>
        </w:tc>
        <w:tc>
          <w:tcPr>
            <w:tcW w:w="2200" w:type="dxa"/>
            <w:shd w:val="clear" w:color="auto" w:fill="F2F5F7"/>
            <w:tcMar>
              <w:top w:w="90" w:type="dxa"/>
              <w:left w:w="110" w:type="dxa"/>
              <w:bottom w:w="90" w:type="dxa"/>
              <w:right w:w="110" w:type="dxa"/>
            </w:tcMar>
            <w:vAlign w:val="center"/>
          </w:tcPr>
          <w:p w14:paraId="32CC15F7" w14:textId="77777777" w:rsidR="00493B03" w:rsidRDefault="00000000">
            <w:pPr>
              <w:jc w:val="center"/>
            </w:pPr>
            <w:r>
              <w:rPr>
                <w:color w:val="000000"/>
                <w:sz w:val="20"/>
                <w:szCs w:val="20"/>
              </w:rPr>
              <w:t>16.6%</w:t>
            </w:r>
          </w:p>
        </w:tc>
        <w:tc>
          <w:tcPr>
            <w:tcW w:w="2600" w:type="dxa"/>
            <w:shd w:val="clear" w:color="auto" w:fill="F2F5F7"/>
            <w:tcMar>
              <w:top w:w="90" w:type="dxa"/>
              <w:left w:w="110" w:type="dxa"/>
              <w:bottom w:w="90" w:type="dxa"/>
              <w:right w:w="110" w:type="dxa"/>
            </w:tcMar>
            <w:vAlign w:val="center"/>
          </w:tcPr>
          <w:p w14:paraId="5A736FF5" w14:textId="77777777" w:rsidR="00493B03" w:rsidRDefault="00000000">
            <w:pPr>
              <w:jc w:val="center"/>
            </w:pPr>
            <w:r>
              <w:rPr>
                <w:color w:val="000000"/>
                <w:sz w:val="20"/>
                <w:szCs w:val="20"/>
              </w:rPr>
              <w:t>3.6%</w:t>
            </w:r>
          </w:p>
        </w:tc>
      </w:tr>
      <w:tr w:rsidR="00493B03" w14:paraId="30FCA663" w14:textId="77777777">
        <w:tblPrEx>
          <w:tblCellMar>
            <w:top w:w="0" w:type="dxa"/>
            <w:bottom w:w="0" w:type="dxa"/>
          </w:tblCellMar>
        </w:tblPrEx>
        <w:trPr>
          <w:cantSplit/>
        </w:trPr>
        <w:tc>
          <w:tcPr>
            <w:tcW w:w="2800" w:type="dxa"/>
            <w:shd w:val="clear" w:color="auto" w:fill="FFFFFF"/>
            <w:tcMar>
              <w:top w:w="90" w:type="dxa"/>
              <w:left w:w="110" w:type="dxa"/>
              <w:bottom w:w="90" w:type="dxa"/>
              <w:right w:w="110" w:type="dxa"/>
            </w:tcMar>
            <w:vAlign w:val="center"/>
          </w:tcPr>
          <w:p w14:paraId="68400ED3" w14:textId="77777777" w:rsidR="00493B03" w:rsidRDefault="00000000">
            <w:pPr>
              <w:jc w:val="center"/>
            </w:pPr>
            <w:r>
              <w:rPr>
                <w:color w:val="000000"/>
                <w:sz w:val="20"/>
                <w:szCs w:val="20"/>
              </w:rPr>
              <w:t>Paid Social</w:t>
            </w:r>
          </w:p>
        </w:tc>
        <w:tc>
          <w:tcPr>
            <w:tcW w:w="2100" w:type="dxa"/>
            <w:shd w:val="clear" w:color="auto" w:fill="FFFFFF"/>
            <w:tcMar>
              <w:top w:w="90" w:type="dxa"/>
              <w:left w:w="110" w:type="dxa"/>
              <w:bottom w:w="90" w:type="dxa"/>
              <w:right w:w="110" w:type="dxa"/>
            </w:tcMar>
            <w:vAlign w:val="center"/>
          </w:tcPr>
          <w:p w14:paraId="7C85ACE9" w14:textId="77777777" w:rsidR="00493B03" w:rsidRDefault="00000000">
            <w:pPr>
              <w:jc w:val="center"/>
            </w:pPr>
            <w:r>
              <w:rPr>
                <w:color w:val="000000"/>
                <w:sz w:val="20"/>
                <w:szCs w:val="20"/>
              </w:rPr>
              <w:t>70</w:t>
            </w:r>
          </w:p>
        </w:tc>
        <w:tc>
          <w:tcPr>
            <w:tcW w:w="2200" w:type="dxa"/>
            <w:shd w:val="clear" w:color="auto" w:fill="FFFFFF"/>
            <w:tcMar>
              <w:top w:w="90" w:type="dxa"/>
              <w:left w:w="110" w:type="dxa"/>
              <w:bottom w:w="90" w:type="dxa"/>
              <w:right w:w="110" w:type="dxa"/>
            </w:tcMar>
            <w:vAlign w:val="center"/>
          </w:tcPr>
          <w:p w14:paraId="2F4754F1" w14:textId="77777777" w:rsidR="00493B03" w:rsidRDefault="00000000">
            <w:pPr>
              <w:jc w:val="center"/>
            </w:pPr>
            <w:r>
              <w:rPr>
                <w:color w:val="000000"/>
                <w:sz w:val="20"/>
                <w:szCs w:val="20"/>
              </w:rPr>
              <w:t>14.0%</w:t>
            </w:r>
          </w:p>
        </w:tc>
        <w:tc>
          <w:tcPr>
            <w:tcW w:w="2600" w:type="dxa"/>
            <w:shd w:val="clear" w:color="auto" w:fill="FFFFFF"/>
            <w:tcMar>
              <w:top w:w="90" w:type="dxa"/>
              <w:left w:w="110" w:type="dxa"/>
              <w:bottom w:w="90" w:type="dxa"/>
              <w:right w:w="110" w:type="dxa"/>
            </w:tcMar>
            <w:vAlign w:val="center"/>
          </w:tcPr>
          <w:p w14:paraId="5E926369" w14:textId="77777777" w:rsidR="00493B03" w:rsidRDefault="00000000">
            <w:pPr>
              <w:jc w:val="center"/>
            </w:pPr>
            <w:r>
              <w:rPr>
                <w:color w:val="000000"/>
                <w:sz w:val="20"/>
                <w:szCs w:val="20"/>
              </w:rPr>
              <w:t>4.3%</w:t>
            </w:r>
          </w:p>
        </w:tc>
      </w:tr>
      <w:tr w:rsidR="00493B03" w14:paraId="5D6623BC" w14:textId="77777777">
        <w:tblPrEx>
          <w:tblCellMar>
            <w:top w:w="0" w:type="dxa"/>
            <w:bottom w:w="0" w:type="dxa"/>
          </w:tblCellMar>
        </w:tblPrEx>
        <w:trPr>
          <w:cantSplit/>
        </w:trPr>
        <w:tc>
          <w:tcPr>
            <w:tcW w:w="2800" w:type="dxa"/>
            <w:shd w:val="clear" w:color="auto" w:fill="F2F5F7"/>
            <w:tcMar>
              <w:top w:w="90" w:type="dxa"/>
              <w:left w:w="110" w:type="dxa"/>
              <w:bottom w:w="90" w:type="dxa"/>
              <w:right w:w="110" w:type="dxa"/>
            </w:tcMar>
            <w:vAlign w:val="center"/>
          </w:tcPr>
          <w:p w14:paraId="6787E560" w14:textId="77777777" w:rsidR="00493B03" w:rsidRDefault="00000000">
            <w:pPr>
              <w:jc w:val="center"/>
            </w:pPr>
            <w:r>
              <w:rPr>
                <w:color w:val="000000"/>
                <w:sz w:val="20"/>
                <w:szCs w:val="20"/>
              </w:rPr>
              <w:t>Email</w:t>
            </w:r>
          </w:p>
        </w:tc>
        <w:tc>
          <w:tcPr>
            <w:tcW w:w="2100" w:type="dxa"/>
            <w:shd w:val="clear" w:color="auto" w:fill="F2F5F7"/>
            <w:tcMar>
              <w:top w:w="90" w:type="dxa"/>
              <w:left w:w="110" w:type="dxa"/>
              <w:bottom w:w="90" w:type="dxa"/>
              <w:right w:w="110" w:type="dxa"/>
            </w:tcMar>
            <w:vAlign w:val="center"/>
          </w:tcPr>
          <w:p w14:paraId="637783AB" w14:textId="77777777" w:rsidR="00493B03" w:rsidRDefault="00000000">
            <w:pPr>
              <w:jc w:val="center"/>
            </w:pPr>
            <w:r>
              <w:rPr>
                <w:color w:val="000000"/>
                <w:sz w:val="20"/>
                <w:szCs w:val="20"/>
              </w:rPr>
              <w:t>57</w:t>
            </w:r>
          </w:p>
        </w:tc>
        <w:tc>
          <w:tcPr>
            <w:tcW w:w="2200" w:type="dxa"/>
            <w:shd w:val="clear" w:color="auto" w:fill="F2F5F7"/>
            <w:tcMar>
              <w:top w:w="90" w:type="dxa"/>
              <w:left w:w="110" w:type="dxa"/>
              <w:bottom w:w="90" w:type="dxa"/>
              <w:right w:w="110" w:type="dxa"/>
            </w:tcMar>
            <w:vAlign w:val="center"/>
          </w:tcPr>
          <w:p w14:paraId="7B031142" w14:textId="77777777" w:rsidR="00493B03" w:rsidRDefault="00000000">
            <w:pPr>
              <w:jc w:val="center"/>
            </w:pPr>
            <w:r>
              <w:rPr>
                <w:color w:val="000000"/>
                <w:sz w:val="20"/>
                <w:szCs w:val="20"/>
              </w:rPr>
              <w:t>11.4%</w:t>
            </w:r>
          </w:p>
        </w:tc>
        <w:tc>
          <w:tcPr>
            <w:tcW w:w="2600" w:type="dxa"/>
            <w:shd w:val="clear" w:color="auto" w:fill="F2F5F7"/>
            <w:tcMar>
              <w:top w:w="90" w:type="dxa"/>
              <w:left w:w="110" w:type="dxa"/>
              <w:bottom w:w="90" w:type="dxa"/>
              <w:right w:w="110" w:type="dxa"/>
            </w:tcMar>
            <w:vAlign w:val="center"/>
          </w:tcPr>
          <w:p w14:paraId="3FB9FE86" w14:textId="77777777" w:rsidR="00493B03" w:rsidRDefault="00000000">
            <w:pPr>
              <w:jc w:val="center"/>
            </w:pPr>
            <w:r>
              <w:rPr>
                <w:color w:val="000000"/>
                <w:sz w:val="20"/>
                <w:szCs w:val="20"/>
              </w:rPr>
              <w:t>3.5%</w:t>
            </w:r>
          </w:p>
        </w:tc>
      </w:tr>
      <w:tr w:rsidR="00493B03" w14:paraId="0177B518" w14:textId="77777777">
        <w:tblPrEx>
          <w:tblCellMar>
            <w:top w:w="0" w:type="dxa"/>
            <w:bottom w:w="0" w:type="dxa"/>
          </w:tblCellMar>
        </w:tblPrEx>
        <w:trPr>
          <w:cantSplit/>
        </w:trPr>
        <w:tc>
          <w:tcPr>
            <w:tcW w:w="2800" w:type="dxa"/>
            <w:shd w:val="clear" w:color="auto" w:fill="FFFFFF"/>
            <w:tcMar>
              <w:top w:w="90" w:type="dxa"/>
              <w:left w:w="110" w:type="dxa"/>
              <w:bottom w:w="90" w:type="dxa"/>
              <w:right w:w="110" w:type="dxa"/>
            </w:tcMar>
            <w:vAlign w:val="center"/>
          </w:tcPr>
          <w:p w14:paraId="3275C0F5" w14:textId="77777777" w:rsidR="00493B03" w:rsidRDefault="00000000">
            <w:pPr>
              <w:jc w:val="center"/>
            </w:pPr>
            <w:r>
              <w:rPr>
                <w:color w:val="000000"/>
                <w:sz w:val="20"/>
                <w:szCs w:val="20"/>
              </w:rPr>
              <w:t>Referral</w:t>
            </w:r>
          </w:p>
        </w:tc>
        <w:tc>
          <w:tcPr>
            <w:tcW w:w="2100" w:type="dxa"/>
            <w:shd w:val="clear" w:color="auto" w:fill="FFFFFF"/>
            <w:tcMar>
              <w:top w:w="90" w:type="dxa"/>
              <w:left w:w="110" w:type="dxa"/>
              <w:bottom w:w="90" w:type="dxa"/>
              <w:right w:w="110" w:type="dxa"/>
            </w:tcMar>
            <w:vAlign w:val="center"/>
          </w:tcPr>
          <w:p w14:paraId="6A7852CA" w14:textId="77777777" w:rsidR="00493B03" w:rsidRDefault="00000000">
            <w:pPr>
              <w:jc w:val="center"/>
            </w:pPr>
            <w:r>
              <w:rPr>
                <w:color w:val="000000"/>
                <w:sz w:val="20"/>
                <w:szCs w:val="20"/>
              </w:rPr>
              <w:t>36</w:t>
            </w:r>
          </w:p>
        </w:tc>
        <w:tc>
          <w:tcPr>
            <w:tcW w:w="2200" w:type="dxa"/>
            <w:shd w:val="clear" w:color="auto" w:fill="FFFFFF"/>
            <w:tcMar>
              <w:top w:w="90" w:type="dxa"/>
              <w:left w:w="110" w:type="dxa"/>
              <w:bottom w:w="90" w:type="dxa"/>
              <w:right w:w="110" w:type="dxa"/>
            </w:tcMar>
            <w:vAlign w:val="center"/>
          </w:tcPr>
          <w:p w14:paraId="250CFCC8" w14:textId="77777777" w:rsidR="00493B03" w:rsidRDefault="00000000">
            <w:pPr>
              <w:jc w:val="center"/>
            </w:pPr>
            <w:r>
              <w:rPr>
                <w:color w:val="000000"/>
                <w:sz w:val="20"/>
                <w:szCs w:val="20"/>
              </w:rPr>
              <w:t>7.2%</w:t>
            </w:r>
          </w:p>
        </w:tc>
        <w:tc>
          <w:tcPr>
            <w:tcW w:w="2600" w:type="dxa"/>
            <w:shd w:val="clear" w:color="auto" w:fill="FFFFFF"/>
            <w:tcMar>
              <w:top w:w="90" w:type="dxa"/>
              <w:left w:w="110" w:type="dxa"/>
              <w:bottom w:w="90" w:type="dxa"/>
              <w:right w:w="110" w:type="dxa"/>
            </w:tcMar>
            <w:vAlign w:val="center"/>
          </w:tcPr>
          <w:p w14:paraId="7E4A3F9F" w14:textId="77777777" w:rsidR="00493B03" w:rsidRDefault="00000000">
            <w:pPr>
              <w:jc w:val="center"/>
            </w:pPr>
            <w:r>
              <w:rPr>
                <w:color w:val="000000"/>
                <w:sz w:val="20"/>
                <w:szCs w:val="20"/>
              </w:rPr>
              <w:t>0.0%</w:t>
            </w:r>
          </w:p>
        </w:tc>
      </w:tr>
    </w:tbl>
    <w:p w14:paraId="686B16C8" w14:textId="77777777" w:rsidR="00493B03" w:rsidRDefault="00493B03">
      <w:pPr>
        <w:spacing w:before="200" w:after="100"/>
      </w:pPr>
    </w:p>
    <w:p w14:paraId="6F55F848" w14:textId="77777777" w:rsidR="00493B03" w:rsidRDefault="00000000">
      <w:pPr>
        <w:pStyle w:val="ListParagraph"/>
        <w:numPr>
          <w:ilvl w:val="0"/>
          <w:numId w:val="3"/>
        </w:numPr>
        <w:spacing w:after="90"/>
      </w:pPr>
      <w:r>
        <w:rPr>
          <w:b/>
          <w:bCs/>
          <w:color w:val="1F3552"/>
        </w:rPr>
        <w:t xml:space="preserve">Organic Search drives the most volume but the weakest conversion: </w:t>
      </w:r>
      <w:r>
        <w:t>As the largest single channel (30.8% of sessions), Organic Search converts at only 1.9% — the second-lowest rate of any channel — suggesting a mismatch between search intent and landing-page content, or a high share of early-stage, informational queries.</w:t>
      </w:r>
    </w:p>
    <w:p w14:paraId="5022D09A" w14:textId="77777777" w:rsidR="00493B03" w:rsidRDefault="00000000">
      <w:pPr>
        <w:pStyle w:val="ListParagraph"/>
        <w:numPr>
          <w:ilvl w:val="0"/>
          <w:numId w:val="3"/>
        </w:numPr>
        <w:spacing w:after="90"/>
      </w:pPr>
      <w:r>
        <w:rPr>
          <w:b/>
          <w:bCs/>
          <w:color w:val="1F3552"/>
        </w:rPr>
        <w:t xml:space="preserve">Paid Social and Paid Search convert best among high-volume channels: </w:t>
      </w:r>
      <w:r>
        <w:t>Paid Social (4.3%) and Paid Search (4.0%) both convert well above the account average of 3.0%, indicating that pre-qualified, intent-driven traffic from these channels is landing on pages that meet expectations.</w:t>
      </w:r>
    </w:p>
    <w:p w14:paraId="62A973E4" w14:textId="77777777" w:rsidR="00493B03" w:rsidRDefault="00000000">
      <w:pPr>
        <w:pStyle w:val="ListParagraph"/>
        <w:numPr>
          <w:ilvl w:val="0"/>
          <w:numId w:val="3"/>
        </w:numPr>
        <w:spacing w:after="90"/>
      </w:pPr>
      <w:r>
        <w:rPr>
          <w:b/>
          <w:bCs/>
          <w:color w:val="1F3552"/>
        </w:rPr>
        <w:t xml:space="preserve">Referral traffic converts at 0% in this sample: </w:t>
      </w:r>
      <w:r>
        <w:t>With 36 sessions and zero purchases, Referral is either sending low-intent traffic (e.g., content or comparison sites) or suffers from a landing-page mismatch; this channel warrants qualitative review of referring domains before further investment.</w:t>
      </w:r>
    </w:p>
    <w:p w14:paraId="19CFEAC4" w14:textId="77777777" w:rsidR="00493B03" w:rsidRDefault="00000000">
      <w:pPr>
        <w:pStyle w:val="Heading2"/>
        <w:spacing w:before="280" w:after="140"/>
      </w:pPr>
      <w:r>
        <w:rPr>
          <w:b/>
          <w:bCs/>
          <w:color w:val="2A9D8F"/>
          <w:sz w:val="24"/>
          <w:szCs w:val="24"/>
        </w:rPr>
        <w:t>6.4 Weekly Trend Analysis</w:t>
      </w:r>
    </w:p>
    <w:p w14:paraId="586E1B1F" w14:textId="77777777" w:rsidR="00493B03" w:rsidRDefault="00000000">
      <w:pPr>
        <w:spacing w:before="160"/>
        <w:jc w:val="center"/>
      </w:pPr>
      <w:r>
        <w:rPr>
          <w:noProof/>
        </w:rPr>
        <w:lastRenderedPageBreak/>
        <w:drawing>
          <wp:inline distT="0" distB="0" distL="0" distR="0" wp14:anchorId="60A33086" wp14:editId="6F89785E">
            <wp:extent cx="4572000" cy="2390775"/>
            <wp:effectExtent l="0" t="0" r="0" b="0"/>
            <wp:docPr id="1874877771" name="Picture 187487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390775"/>
                    </a:xfrm>
                    <a:prstGeom prst="rect">
                      <a:avLst/>
                    </a:prstGeom>
                  </pic:spPr>
                </pic:pic>
              </a:graphicData>
            </a:graphic>
          </wp:inline>
        </w:drawing>
      </w:r>
    </w:p>
    <w:p w14:paraId="13135DC4" w14:textId="77777777" w:rsidR="00493B03" w:rsidRDefault="00000000">
      <w:pPr>
        <w:spacing w:before="80" w:after="260"/>
        <w:jc w:val="center"/>
      </w:pPr>
      <w:r>
        <w:rPr>
          <w:i/>
          <w:iCs/>
          <w:color w:val="5A6472"/>
          <w:sz w:val="19"/>
          <w:szCs w:val="19"/>
        </w:rPr>
        <w:t>Figure 4. Weekly conversion rate and bounce rate across the four-week analysis window.</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500"/>
      </w:tblGrid>
      <w:tr w:rsidR="00493B03" w14:paraId="7EBEFA84" w14:textId="77777777">
        <w:tblPrEx>
          <w:tblCellMar>
            <w:top w:w="0" w:type="dxa"/>
            <w:bottom w:w="0" w:type="dxa"/>
          </w:tblCellMar>
        </w:tblPrEx>
        <w:trPr>
          <w:cantSplit/>
          <w:tblHeader/>
        </w:trPr>
        <w:tc>
          <w:tcPr>
            <w:tcW w:w="2200" w:type="dxa"/>
            <w:shd w:val="clear" w:color="auto" w:fill="1F3552"/>
            <w:tcMar>
              <w:top w:w="90" w:type="dxa"/>
              <w:left w:w="110" w:type="dxa"/>
              <w:bottom w:w="90" w:type="dxa"/>
              <w:right w:w="110" w:type="dxa"/>
            </w:tcMar>
            <w:vAlign w:val="center"/>
          </w:tcPr>
          <w:p w14:paraId="6900D216" w14:textId="77777777" w:rsidR="00493B03" w:rsidRDefault="00000000">
            <w:pPr>
              <w:jc w:val="center"/>
            </w:pPr>
            <w:r>
              <w:rPr>
                <w:b/>
                <w:bCs/>
                <w:color w:val="FFFFFF"/>
                <w:sz w:val="20"/>
                <w:szCs w:val="20"/>
              </w:rPr>
              <w:t>Week</w:t>
            </w:r>
          </w:p>
        </w:tc>
        <w:tc>
          <w:tcPr>
            <w:tcW w:w="2500" w:type="dxa"/>
            <w:shd w:val="clear" w:color="auto" w:fill="1F3552"/>
            <w:tcMar>
              <w:top w:w="90" w:type="dxa"/>
              <w:left w:w="110" w:type="dxa"/>
              <w:bottom w:w="90" w:type="dxa"/>
              <w:right w:w="110" w:type="dxa"/>
            </w:tcMar>
            <w:vAlign w:val="center"/>
          </w:tcPr>
          <w:p w14:paraId="5F88846F" w14:textId="77777777" w:rsidR="00493B03" w:rsidRDefault="00000000">
            <w:pPr>
              <w:jc w:val="center"/>
            </w:pPr>
            <w:r>
              <w:rPr>
                <w:b/>
                <w:bCs/>
                <w:color w:val="FFFFFF"/>
                <w:sz w:val="20"/>
                <w:szCs w:val="20"/>
              </w:rPr>
              <w:t>Sessions</w:t>
            </w:r>
          </w:p>
        </w:tc>
        <w:tc>
          <w:tcPr>
            <w:tcW w:w="2500" w:type="dxa"/>
            <w:shd w:val="clear" w:color="auto" w:fill="1F3552"/>
            <w:tcMar>
              <w:top w:w="90" w:type="dxa"/>
              <w:left w:w="110" w:type="dxa"/>
              <w:bottom w:w="90" w:type="dxa"/>
              <w:right w:w="110" w:type="dxa"/>
            </w:tcMar>
            <w:vAlign w:val="center"/>
          </w:tcPr>
          <w:p w14:paraId="134D8C7D" w14:textId="77777777" w:rsidR="00493B03" w:rsidRDefault="00000000">
            <w:pPr>
              <w:jc w:val="center"/>
            </w:pPr>
            <w:r>
              <w:rPr>
                <w:b/>
                <w:bCs/>
                <w:color w:val="FFFFFF"/>
                <w:sz w:val="20"/>
                <w:szCs w:val="20"/>
              </w:rPr>
              <w:t>Conversion Rate</w:t>
            </w:r>
          </w:p>
        </w:tc>
        <w:tc>
          <w:tcPr>
            <w:tcW w:w="2500" w:type="dxa"/>
            <w:shd w:val="clear" w:color="auto" w:fill="1F3552"/>
            <w:tcMar>
              <w:top w:w="90" w:type="dxa"/>
              <w:left w:w="110" w:type="dxa"/>
              <w:bottom w:w="90" w:type="dxa"/>
              <w:right w:w="110" w:type="dxa"/>
            </w:tcMar>
            <w:vAlign w:val="center"/>
          </w:tcPr>
          <w:p w14:paraId="21135C0C" w14:textId="77777777" w:rsidR="00493B03" w:rsidRDefault="00000000">
            <w:pPr>
              <w:jc w:val="center"/>
            </w:pPr>
            <w:r>
              <w:rPr>
                <w:b/>
                <w:bCs/>
                <w:color w:val="FFFFFF"/>
                <w:sz w:val="20"/>
                <w:szCs w:val="20"/>
              </w:rPr>
              <w:t>Bounce Rate</w:t>
            </w:r>
          </w:p>
        </w:tc>
      </w:tr>
      <w:tr w:rsidR="00493B03" w14:paraId="6DEBB614" w14:textId="77777777">
        <w:tblPrEx>
          <w:tblCellMar>
            <w:top w:w="0" w:type="dxa"/>
            <w:bottom w:w="0" w:type="dxa"/>
          </w:tblCellMar>
        </w:tblPrEx>
        <w:trPr>
          <w:cantSplit/>
        </w:trPr>
        <w:tc>
          <w:tcPr>
            <w:tcW w:w="2200" w:type="dxa"/>
            <w:shd w:val="clear" w:color="auto" w:fill="F2F5F7"/>
            <w:tcMar>
              <w:top w:w="90" w:type="dxa"/>
              <w:left w:w="110" w:type="dxa"/>
              <w:bottom w:w="90" w:type="dxa"/>
              <w:right w:w="110" w:type="dxa"/>
            </w:tcMar>
            <w:vAlign w:val="center"/>
          </w:tcPr>
          <w:p w14:paraId="7F9DA910" w14:textId="77777777" w:rsidR="00493B03" w:rsidRDefault="00000000">
            <w:pPr>
              <w:jc w:val="center"/>
            </w:pPr>
            <w:r>
              <w:rPr>
                <w:color w:val="000000"/>
                <w:sz w:val="20"/>
                <w:szCs w:val="20"/>
              </w:rPr>
              <w:t>Week 1</w:t>
            </w:r>
          </w:p>
        </w:tc>
        <w:tc>
          <w:tcPr>
            <w:tcW w:w="2500" w:type="dxa"/>
            <w:shd w:val="clear" w:color="auto" w:fill="F2F5F7"/>
            <w:tcMar>
              <w:top w:w="90" w:type="dxa"/>
              <w:left w:w="110" w:type="dxa"/>
              <w:bottom w:w="90" w:type="dxa"/>
              <w:right w:w="110" w:type="dxa"/>
            </w:tcMar>
            <w:vAlign w:val="center"/>
          </w:tcPr>
          <w:p w14:paraId="5E6BC89E" w14:textId="77777777" w:rsidR="00493B03" w:rsidRDefault="00000000">
            <w:pPr>
              <w:jc w:val="center"/>
            </w:pPr>
            <w:r>
              <w:rPr>
                <w:color w:val="000000"/>
                <w:sz w:val="20"/>
                <w:szCs w:val="20"/>
              </w:rPr>
              <w:t>120</w:t>
            </w:r>
          </w:p>
        </w:tc>
        <w:tc>
          <w:tcPr>
            <w:tcW w:w="2500" w:type="dxa"/>
            <w:shd w:val="clear" w:color="auto" w:fill="F2F5F7"/>
            <w:tcMar>
              <w:top w:w="90" w:type="dxa"/>
              <w:left w:w="110" w:type="dxa"/>
              <w:bottom w:w="90" w:type="dxa"/>
              <w:right w:w="110" w:type="dxa"/>
            </w:tcMar>
            <w:vAlign w:val="center"/>
          </w:tcPr>
          <w:p w14:paraId="67FC2E56" w14:textId="77777777" w:rsidR="00493B03" w:rsidRDefault="00000000">
            <w:pPr>
              <w:jc w:val="center"/>
            </w:pPr>
            <w:r>
              <w:rPr>
                <w:color w:val="000000"/>
                <w:sz w:val="20"/>
                <w:szCs w:val="20"/>
              </w:rPr>
              <w:t>3.3%</w:t>
            </w:r>
          </w:p>
        </w:tc>
        <w:tc>
          <w:tcPr>
            <w:tcW w:w="2500" w:type="dxa"/>
            <w:shd w:val="clear" w:color="auto" w:fill="F2F5F7"/>
            <w:tcMar>
              <w:top w:w="90" w:type="dxa"/>
              <w:left w:w="110" w:type="dxa"/>
              <w:bottom w:w="90" w:type="dxa"/>
              <w:right w:w="110" w:type="dxa"/>
            </w:tcMar>
            <w:vAlign w:val="center"/>
          </w:tcPr>
          <w:p w14:paraId="508A8A62" w14:textId="77777777" w:rsidR="00493B03" w:rsidRDefault="00000000">
            <w:pPr>
              <w:jc w:val="center"/>
            </w:pPr>
            <w:r>
              <w:rPr>
                <w:color w:val="000000"/>
                <w:sz w:val="20"/>
                <w:szCs w:val="20"/>
              </w:rPr>
              <w:t>44.2%</w:t>
            </w:r>
          </w:p>
        </w:tc>
      </w:tr>
      <w:tr w:rsidR="00493B03" w14:paraId="12FD8514" w14:textId="77777777">
        <w:tblPrEx>
          <w:tblCellMar>
            <w:top w:w="0" w:type="dxa"/>
            <w:bottom w:w="0" w:type="dxa"/>
          </w:tblCellMar>
        </w:tblPrEx>
        <w:trPr>
          <w:cantSplit/>
        </w:trPr>
        <w:tc>
          <w:tcPr>
            <w:tcW w:w="2200" w:type="dxa"/>
            <w:shd w:val="clear" w:color="auto" w:fill="FFFFFF"/>
            <w:tcMar>
              <w:top w:w="90" w:type="dxa"/>
              <w:left w:w="110" w:type="dxa"/>
              <w:bottom w:w="90" w:type="dxa"/>
              <w:right w:w="110" w:type="dxa"/>
            </w:tcMar>
            <w:vAlign w:val="center"/>
          </w:tcPr>
          <w:p w14:paraId="06B50D5D" w14:textId="77777777" w:rsidR="00493B03" w:rsidRDefault="00000000">
            <w:pPr>
              <w:jc w:val="center"/>
            </w:pPr>
            <w:r>
              <w:rPr>
                <w:color w:val="000000"/>
                <w:sz w:val="20"/>
                <w:szCs w:val="20"/>
              </w:rPr>
              <w:t>Week 2</w:t>
            </w:r>
          </w:p>
        </w:tc>
        <w:tc>
          <w:tcPr>
            <w:tcW w:w="2500" w:type="dxa"/>
            <w:shd w:val="clear" w:color="auto" w:fill="FFFFFF"/>
            <w:tcMar>
              <w:top w:w="90" w:type="dxa"/>
              <w:left w:w="110" w:type="dxa"/>
              <w:bottom w:w="90" w:type="dxa"/>
              <w:right w:w="110" w:type="dxa"/>
            </w:tcMar>
            <w:vAlign w:val="center"/>
          </w:tcPr>
          <w:p w14:paraId="6ACE5212" w14:textId="77777777" w:rsidR="00493B03" w:rsidRDefault="00000000">
            <w:pPr>
              <w:jc w:val="center"/>
            </w:pPr>
            <w:r>
              <w:rPr>
                <w:color w:val="000000"/>
                <w:sz w:val="20"/>
                <w:szCs w:val="20"/>
              </w:rPr>
              <w:t>130</w:t>
            </w:r>
          </w:p>
        </w:tc>
        <w:tc>
          <w:tcPr>
            <w:tcW w:w="2500" w:type="dxa"/>
            <w:shd w:val="clear" w:color="auto" w:fill="FFFFFF"/>
            <w:tcMar>
              <w:top w:w="90" w:type="dxa"/>
              <w:left w:w="110" w:type="dxa"/>
              <w:bottom w:w="90" w:type="dxa"/>
              <w:right w:w="110" w:type="dxa"/>
            </w:tcMar>
            <w:vAlign w:val="center"/>
          </w:tcPr>
          <w:p w14:paraId="082F599B" w14:textId="77777777" w:rsidR="00493B03" w:rsidRDefault="00000000">
            <w:pPr>
              <w:jc w:val="center"/>
            </w:pPr>
            <w:r>
              <w:rPr>
                <w:color w:val="000000"/>
                <w:sz w:val="20"/>
                <w:szCs w:val="20"/>
              </w:rPr>
              <w:t>1.5%</w:t>
            </w:r>
          </w:p>
        </w:tc>
        <w:tc>
          <w:tcPr>
            <w:tcW w:w="2500" w:type="dxa"/>
            <w:shd w:val="clear" w:color="auto" w:fill="FFFFFF"/>
            <w:tcMar>
              <w:top w:w="90" w:type="dxa"/>
              <w:left w:w="110" w:type="dxa"/>
              <w:bottom w:w="90" w:type="dxa"/>
              <w:right w:w="110" w:type="dxa"/>
            </w:tcMar>
            <w:vAlign w:val="center"/>
          </w:tcPr>
          <w:p w14:paraId="1B8D3380" w14:textId="77777777" w:rsidR="00493B03" w:rsidRDefault="00000000">
            <w:pPr>
              <w:jc w:val="center"/>
            </w:pPr>
            <w:r>
              <w:rPr>
                <w:color w:val="000000"/>
                <w:sz w:val="20"/>
                <w:szCs w:val="20"/>
              </w:rPr>
              <w:t>41.5%</w:t>
            </w:r>
          </w:p>
        </w:tc>
      </w:tr>
      <w:tr w:rsidR="00493B03" w14:paraId="6CC5BE5D" w14:textId="77777777">
        <w:tblPrEx>
          <w:tblCellMar>
            <w:top w:w="0" w:type="dxa"/>
            <w:bottom w:w="0" w:type="dxa"/>
          </w:tblCellMar>
        </w:tblPrEx>
        <w:trPr>
          <w:cantSplit/>
        </w:trPr>
        <w:tc>
          <w:tcPr>
            <w:tcW w:w="2200" w:type="dxa"/>
            <w:shd w:val="clear" w:color="auto" w:fill="F2F5F7"/>
            <w:tcMar>
              <w:top w:w="90" w:type="dxa"/>
              <w:left w:w="110" w:type="dxa"/>
              <w:bottom w:w="90" w:type="dxa"/>
              <w:right w:w="110" w:type="dxa"/>
            </w:tcMar>
            <w:vAlign w:val="center"/>
          </w:tcPr>
          <w:p w14:paraId="22E6FFFF" w14:textId="77777777" w:rsidR="00493B03" w:rsidRDefault="00000000">
            <w:pPr>
              <w:jc w:val="center"/>
            </w:pPr>
            <w:r>
              <w:rPr>
                <w:color w:val="000000"/>
                <w:sz w:val="20"/>
                <w:szCs w:val="20"/>
              </w:rPr>
              <w:t>Week 3</w:t>
            </w:r>
          </w:p>
        </w:tc>
        <w:tc>
          <w:tcPr>
            <w:tcW w:w="2500" w:type="dxa"/>
            <w:shd w:val="clear" w:color="auto" w:fill="F2F5F7"/>
            <w:tcMar>
              <w:top w:w="90" w:type="dxa"/>
              <w:left w:w="110" w:type="dxa"/>
              <w:bottom w:w="90" w:type="dxa"/>
              <w:right w:w="110" w:type="dxa"/>
            </w:tcMar>
            <w:vAlign w:val="center"/>
          </w:tcPr>
          <w:p w14:paraId="12F7A82A" w14:textId="77777777" w:rsidR="00493B03" w:rsidRDefault="00000000">
            <w:pPr>
              <w:jc w:val="center"/>
            </w:pPr>
            <w:r>
              <w:rPr>
                <w:color w:val="000000"/>
                <w:sz w:val="20"/>
                <w:szCs w:val="20"/>
              </w:rPr>
              <w:t>138</w:t>
            </w:r>
          </w:p>
        </w:tc>
        <w:tc>
          <w:tcPr>
            <w:tcW w:w="2500" w:type="dxa"/>
            <w:shd w:val="clear" w:color="auto" w:fill="F2F5F7"/>
            <w:tcMar>
              <w:top w:w="90" w:type="dxa"/>
              <w:left w:w="110" w:type="dxa"/>
              <w:bottom w:w="90" w:type="dxa"/>
              <w:right w:w="110" w:type="dxa"/>
            </w:tcMar>
            <w:vAlign w:val="center"/>
          </w:tcPr>
          <w:p w14:paraId="41FB1485" w14:textId="77777777" w:rsidR="00493B03" w:rsidRDefault="00000000">
            <w:pPr>
              <w:jc w:val="center"/>
            </w:pPr>
            <w:r>
              <w:rPr>
                <w:color w:val="000000"/>
                <w:sz w:val="20"/>
                <w:szCs w:val="20"/>
              </w:rPr>
              <w:t>2.2%</w:t>
            </w:r>
          </w:p>
        </w:tc>
        <w:tc>
          <w:tcPr>
            <w:tcW w:w="2500" w:type="dxa"/>
            <w:shd w:val="clear" w:color="auto" w:fill="F2F5F7"/>
            <w:tcMar>
              <w:top w:w="90" w:type="dxa"/>
              <w:left w:w="110" w:type="dxa"/>
              <w:bottom w:w="90" w:type="dxa"/>
              <w:right w:w="110" w:type="dxa"/>
            </w:tcMar>
            <w:vAlign w:val="center"/>
          </w:tcPr>
          <w:p w14:paraId="584F142C" w14:textId="77777777" w:rsidR="00493B03" w:rsidRDefault="00000000">
            <w:pPr>
              <w:jc w:val="center"/>
            </w:pPr>
            <w:r>
              <w:rPr>
                <w:color w:val="000000"/>
                <w:sz w:val="20"/>
                <w:szCs w:val="20"/>
              </w:rPr>
              <w:t>42.8%</w:t>
            </w:r>
          </w:p>
        </w:tc>
      </w:tr>
      <w:tr w:rsidR="00493B03" w14:paraId="16267292" w14:textId="77777777">
        <w:tblPrEx>
          <w:tblCellMar>
            <w:top w:w="0" w:type="dxa"/>
            <w:bottom w:w="0" w:type="dxa"/>
          </w:tblCellMar>
        </w:tblPrEx>
        <w:trPr>
          <w:cantSplit/>
        </w:trPr>
        <w:tc>
          <w:tcPr>
            <w:tcW w:w="2200" w:type="dxa"/>
            <w:shd w:val="clear" w:color="auto" w:fill="FFFFFF"/>
            <w:tcMar>
              <w:top w:w="90" w:type="dxa"/>
              <w:left w:w="110" w:type="dxa"/>
              <w:bottom w:w="90" w:type="dxa"/>
              <w:right w:w="110" w:type="dxa"/>
            </w:tcMar>
            <w:vAlign w:val="center"/>
          </w:tcPr>
          <w:p w14:paraId="7924E294" w14:textId="77777777" w:rsidR="00493B03" w:rsidRDefault="00000000">
            <w:pPr>
              <w:jc w:val="center"/>
            </w:pPr>
            <w:r>
              <w:rPr>
                <w:color w:val="000000"/>
                <w:sz w:val="20"/>
                <w:szCs w:val="20"/>
              </w:rPr>
              <w:t>Week 4</w:t>
            </w:r>
          </w:p>
        </w:tc>
        <w:tc>
          <w:tcPr>
            <w:tcW w:w="2500" w:type="dxa"/>
            <w:shd w:val="clear" w:color="auto" w:fill="FFFFFF"/>
            <w:tcMar>
              <w:top w:w="90" w:type="dxa"/>
              <w:left w:w="110" w:type="dxa"/>
              <w:bottom w:w="90" w:type="dxa"/>
              <w:right w:w="110" w:type="dxa"/>
            </w:tcMar>
            <w:vAlign w:val="center"/>
          </w:tcPr>
          <w:p w14:paraId="17153E15" w14:textId="77777777" w:rsidR="00493B03" w:rsidRDefault="00000000">
            <w:pPr>
              <w:jc w:val="center"/>
            </w:pPr>
            <w:r>
              <w:rPr>
                <w:color w:val="000000"/>
                <w:sz w:val="20"/>
                <w:szCs w:val="20"/>
              </w:rPr>
              <w:t>112</w:t>
            </w:r>
          </w:p>
        </w:tc>
        <w:tc>
          <w:tcPr>
            <w:tcW w:w="2500" w:type="dxa"/>
            <w:shd w:val="clear" w:color="auto" w:fill="FFFFFF"/>
            <w:tcMar>
              <w:top w:w="90" w:type="dxa"/>
              <w:left w:w="110" w:type="dxa"/>
              <w:bottom w:w="90" w:type="dxa"/>
              <w:right w:w="110" w:type="dxa"/>
            </w:tcMar>
            <w:vAlign w:val="center"/>
          </w:tcPr>
          <w:p w14:paraId="24FB57EA" w14:textId="77777777" w:rsidR="00493B03" w:rsidRDefault="00000000">
            <w:pPr>
              <w:jc w:val="center"/>
            </w:pPr>
            <w:r>
              <w:rPr>
                <w:color w:val="000000"/>
                <w:sz w:val="20"/>
                <w:szCs w:val="20"/>
              </w:rPr>
              <w:t>5.4%</w:t>
            </w:r>
          </w:p>
        </w:tc>
        <w:tc>
          <w:tcPr>
            <w:tcW w:w="2500" w:type="dxa"/>
            <w:shd w:val="clear" w:color="auto" w:fill="FFFFFF"/>
            <w:tcMar>
              <w:top w:w="90" w:type="dxa"/>
              <w:left w:w="110" w:type="dxa"/>
              <w:bottom w:w="90" w:type="dxa"/>
              <w:right w:w="110" w:type="dxa"/>
            </w:tcMar>
            <w:vAlign w:val="center"/>
          </w:tcPr>
          <w:p w14:paraId="59686CE5" w14:textId="77777777" w:rsidR="00493B03" w:rsidRDefault="00000000">
            <w:pPr>
              <w:jc w:val="center"/>
            </w:pPr>
            <w:r>
              <w:rPr>
                <w:color w:val="000000"/>
                <w:sz w:val="20"/>
                <w:szCs w:val="20"/>
              </w:rPr>
              <w:t>39.3%</w:t>
            </w:r>
          </w:p>
        </w:tc>
      </w:tr>
    </w:tbl>
    <w:p w14:paraId="5C061BA9" w14:textId="77777777" w:rsidR="00493B03" w:rsidRDefault="00493B03">
      <w:pPr>
        <w:spacing w:before="200" w:after="100"/>
      </w:pPr>
    </w:p>
    <w:p w14:paraId="71600D51" w14:textId="77777777" w:rsidR="00493B03" w:rsidRDefault="00000000">
      <w:pPr>
        <w:pStyle w:val="ListParagraph"/>
        <w:numPr>
          <w:ilvl w:val="0"/>
          <w:numId w:val="3"/>
        </w:numPr>
        <w:spacing w:after="90"/>
      </w:pPr>
      <w:r>
        <w:rPr>
          <w:b/>
          <w:bCs/>
          <w:color w:val="1F3552"/>
        </w:rPr>
        <w:t xml:space="preserve">Bounce rate trended down across the window: </w:t>
      </w:r>
      <w:r>
        <w:t>Bounce rate fell from 44.2% in Week 1 to 39.3% in Week 4, a modest but consistent improvement that suggests either an improving traffic mix or a positive, if unmeasured, on-site change during the period.</w:t>
      </w:r>
    </w:p>
    <w:p w14:paraId="0CEBBDFC" w14:textId="77777777" w:rsidR="00493B03" w:rsidRDefault="00000000">
      <w:pPr>
        <w:pStyle w:val="ListParagraph"/>
        <w:numPr>
          <w:ilvl w:val="0"/>
          <w:numId w:val="3"/>
        </w:numPr>
        <w:spacing w:after="90"/>
      </w:pPr>
      <w:r>
        <w:rPr>
          <w:b/>
          <w:bCs/>
          <w:color w:val="1F3552"/>
        </w:rPr>
        <w:t xml:space="preserve">Conversion rate recovered strongly in Week 4: </w:t>
      </w:r>
      <w:r>
        <w:t>After dipping to 1.5% in Week 2 — likely ordinary week-to-week variance at this sample size — conversion rate rebounded to 5.4% in Week 4, the strongest week in the window, alongside the lowest bounce rate. The inverse relationship between the two metrics across the four weeks (lower bounce coinciding with higher conversion) is directionally consistent with the expected causal link between engagement and purchase.</w:t>
      </w:r>
    </w:p>
    <w:p w14:paraId="4AE43334" w14:textId="77777777" w:rsidR="00493B03" w:rsidRDefault="00000000">
      <w:pPr>
        <w:spacing w:after="160" w:line="288" w:lineRule="auto"/>
        <w:jc w:val="both"/>
      </w:pPr>
      <w:r>
        <w:rPr>
          <w:i/>
          <w:iCs/>
          <w:sz w:val="20"/>
          <w:szCs w:val="20"/>
        </w:rPr>
        <w:t>Note on sample size: with roughly 112–138 sessions and only 1–7 purchases per week, week-level conversion-rate figures carry wide confidence intervals. The trend direction is informative, but a live implementation should validate any weekly swing against a larger sample or a longer observation window before treating it as a durable shift.</w:t>
      </w:r>
    </w:p>
    <w:p w14:paraId="2F8D36BF" w14:textId="77777777" w:rsidR="00493B03" w:rsidRDefault="00000000">
      <w:r>
        <w:br w:type="page"/>
      </w:r>
    </w:p>
    <w:p w14:paraId="577A0398" w14:textId="77777777" w:rsidR="00493B03" w:rsidRDefault="00000000">
      <w:pPr>
        <w:pStyle w:val="Heading1"/>
        <w:pBdr>
          <w:bottom w:val="single" w:sz="8" w:space="4" w:color="1F3552"/>
        </w:pBdr>
        <w:spacing w:before="380" w:after="200"/>
      </w:pPr>
      <w:r>
        <w:rPr>
          <w:b/>
          <w:bCs/>
          <w:color w:val="1F3552"/>
          <w:sz w:val="30"/>
          <w:szCs w:val="30"/>
        </w:rPr>
        <w:lastRenderedPageBreak/>
        <w:t>7. Key Insights</w:t>
      </w:r>
    </w:p>
    <w:p w14:paraId="7EE8BF9F" w14:textId="77777777" w:rsidR="00493B03" w:rsidRDefault="00000000">
      <w:pPr>
        <w:spacing w:after="160" w:line="288" w:lineRule="auto"/>
        <w:jc w:val="both"/>
      </w:pPr>
      <w:r>
        <w:t>Synthesizing the four analyses above, five insights stand out as the most consequential for conversion rate optimization:</w:t>
      </w:r>
    </w:p>
    <w:p w14:paraId="420C3C0F" w14:textId="77777777" w:rsidR="00493B03" w:rsidRDefault="00000000">
      <w:pPr>
        <w:pStyle w:val="ListParagraph"/>
        <w:numPr>
          <w:ilvl w:val="0"/>
          <w:numId w:val="4"/>
        </w:numPr>
        <w:spacing w:after="100"/>
      </w:pPr>
      <w:r>
        <w:t>The checkout stage, not the landing page, is the single biggest revenue leak. While the landing-to-product-view drop-off is the largest in raw volume, a 42.0% bounce rate is within the normal industry range (20%–45%). The 72.7% cart abandonment rate, by contrast, is where the most qualified traffic — visitors who have already selected a product — is being lost.</w:t>
      </w:r>
    </w:p>
    <w:p w14:paraId="6A68EAAE" w14:textId="77777777" w:rsidR="00493B03" w:rsidRDefault="00000000">
      <w:pPr>
        <w:pStyle w:val="ListParagraph"/>
        <w:numPr>
          <w:ilvl w:val="0"/>
          <w:numId w:val="4"/>
        </w:numPr>
        <w:spacing w:after="100"/>
      </w:pPr>
      <w:r>
        <w:t>Mobile is an under-optimized majority channel. Mobile supplies two-thirds of all sessions but converts at less than half the desktop rate. Because mobile is also structurally the fastest-growing share of eCommerce traffic industry-wide, this gap will compound over time if left unaddressed.</w:t>
      </w:r>
    </w:p>
    <w:p w14:paraId="5600103E" w14:textId="77777777" w:rsidR="00493B03" w:rsidRDefault="00000000">
      <w:pPr>
        <w:pStyle w:val="ListParagraph"/>
        <w:numPr>
          <w:ilvl w:val="0"/>
          <w:numId w:val="4"/>
        </w:numPr>
        <w:spacing w:after="100"/>
      </w:pPr>
      <w:r>
        <w:t>Paid, intent-driven channels outperform broad organic and referral traffic. Paid Search and Paid Social both convert 40–125% better than the aggregate average, while the two "free" high-volume channels (Organic Search and Referral) underperform — a signal to invest more in content and SEO relevance, not necessarily more organic volume.</w:t>
      </w:r>
    </w:p>
    <w:p w14:paraId="5B7BFE1A" w14:textId="77777777" w:rsidR="00493B03" w:rsidRDefault="00000000">
      <w:pPr>
        <w:pStyle w:val="ListParagraph"/>
        <w:numPr>
          <w:ilvl w:val="0"/>
          <w:numId w:val="4"/>
        </w:numPr>
        <w:spacing w:after="100"/>
      </w:pPr>
      <w:r>
        <w:t xml:space="preserve">The product-page-to-cart step has meaningful room to improve. Of sessions that click through to a product detail page, only 26.4% add the item to a cart — below the ~30%+ that well-optimized product pages typically achieve, pointing to opportunities in product imagery, pricing clarity, reviews, or stock/urgency </w:t>
      </w:r>
      <w:proofErr w:type="spellStart"/>
      <w:r>
        <w:t>signaling</w:t>
      </w:r>
      <w:proofErr w:type="spellEnd"/>
      <w:r>
        <w:t>.</w:t>
      </w:r>
    </w:p>
    <w:p w14:paraId="3ED014A5" w14:textId="77777777" w:rsidR="00493B03" w:rsidRDefault="00000000">
      <w:pPr>
        <w:pStyle w:val="ListParagraph"/>
        <w:numPr>
          <w:ilvl w:val="0"/>
          <w:numId w:val="4"/>
        </w:numPr>
        <w:spacing w:after="100"/>
      </w:pPr>
      <w:r>
        <w:t>Engagement and conversion move together over time. The weekly data shows bounce rate and conversion rate moving in opposite directions in the same weeks, reinforcing that interventions which improve on-site engagement (content relevance, page speed, navigation) are likely to show up directly in the conversion number, not just in vanity engagement metrics.</w:t>
      </w:r>
    </w:p>
    <w:p w14:paraId="4FB4D8AE" w14:textId="77777777" w:rsidR="00493B03" w:rsidRDefault="00000000">
      <w:r>
        <w:br w:type="page"/>
      </w:r>
    </w:p>
    <w:p w14:paraId="67E963C6" w14:textId="77777777" w:rsidR="00493B03" w:rsidRDefault="00000000">
      <w:pPr>
        <w:pStyle w:val="Heading1"/>
        <w:pBdr>
          <w:bottom w:val="single" w:sz="8" w:space="4" w:color="1F3552"/>
        </w:pBdr>
        <w:spacing w:before="380" w:after="200"/>
      </w:pPr>
      <w:r>
        <w:rPr>
          <w:b/>
          <w:bCs/>
          <w:color w:val="1F3552"/>
          <w:sz w:val="30"/>
          <w:szCs w:val="30"/>
        </w:rPr>
        <w:lastRenderedPageBreak/>
        <w:t>8. Recommendations for Conversion Rate Optimization</w:t>
      </w:r>
    </w:p>
    <w:p w14:paraId="7FA59797" w14:textId="77777777" w:rsidR="00493B03" w:rsidRDefault="00000000">
      <w:pPr>
        <w:spacing w:after="160" w:line="288" w:lineRule="auto"/>
        <w:jc w:val="both"/>
      </w:pPr>
      <w:r>
        <w:t>Recommendations are organized by funnel focus area and rated on relative implementation effort versus expected impact on conversion rate, so that a team can sequence quick wins alongside larger initiatives.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1700"/>
        <w:gridCol w:w="1700"/>
      </w:tblGrid>
      <w:tr w:rsidR="00493B03" w14:paraId="2318B3E4" w14:textId="77777777">
        <w:tblPrEx>
          <w:tblCellMar>
            <w:top w:w="0" w:type="dxa"/>
            <w:bottom w:w="0" w:type="dxa"/>
          </w:tblCellMar>
        </w:tblPrEx>
        <w:trPr>
          <w:cantSplit/>
          <w:tblHeader/>
        </w:trPr>
        <w:tc>
          <w:tcPr>
            <w:tcW w:w="2000" w:type="dxa"/>
            <w:shd w:val="clear" w:color="auto" w:fill="1F3552"/>
            <w:tcMar>
              <w:top w:w="90" w:type="dxa"/>
              <w:left w:w="110" w:type="dxa"/>
              <w:bottom w:w="90" w:type="dxa"/>
              <w:right w:w="110" w:type="dxa"/>
            </w:tcMar>
            <w:vAlign w:val="center"/>
          </w:tcPr>
          <w:p w14:paraId="0EB574F1" w14:textId="77777777" w:rsidR="00493B03" w:rsidRDefault="00000000">
            <w:pPr>
              <w:jc w:val="center"/>
            </w:pPr>
            <w:r>
              <w:rPr>
                <w:b/>
                <w:bCs/>
                <w:color w:val="FFFFFF"/>
                <w:sz w:val="20"/>
                <w:szCs w:val="20"/>
              </w:rPr>
              <w:t>Focus Area</w:t>
            </w:r>
          </w:p>
        </w:tc>
        <w:tc>
          <w:tcPr>
            <w:tcW w:w="4300" w:type="dxa"/>
            <w:shd w:val="clear" w:color="auto" w:fill="1F3552"/>
            <w:tcMar>
              <w:top w:w="90" w:type="dxa"/>
              <w:left w:w="110" w:type="dxa"/>
              <w:bottom w:w="90" w:type="dxa"/>
              <w:right w:w="110" w:type="dxa"/>
            </w:tcMar>
            <w:vAlign w:val="center"/>
          </w:tcPr>
          <w:p w14:paraId="62540968" w14:textId="77777777" w:rsidR="00493B03" w:rsidRDefault="00000000">
            <w:pPr>
              <w:jc w:val="center"/>
            </w:pPr>
            <w:r>
              <w:rPr>
                <w:b/>
                <w:bCs/>
                <w:color w:val="FFFFFF"/>
                <w:sz w:val="20"/>
                <w:szCs w:val="20"/>
              </w:rPr>
              <w:t>Recommended Action</w:t>
            </w:r>
          </w:p>
        </w:tc>
        <w:tc>
          <w:tcPr>
            <w:tcW w:w="1700" w:type="dxa"/>
            <w:shd w:val="clear" w:color="auto" w:fill="1F3552"/>
            <w:tcMar>
              <w:top w:w="90" w:type="dxa"/>
              <w:left w:w="110" w:type="dxa"/>
              <w:bottom w:w="90" w:type="dxa"/>
              <w:right w:w="110" w:type="dxa"/>
            </w:tcMar>
            <w:vAlign w:val="center"/>
          </w:tcPr>
          <w:p w14:paraId="4CF9BC0A" w14:textId="77777777" w:rsidR="00493B03" w:rsidRDefault="00000000">
            <w:pPr>
              <w:jc w:val="center"/>
            </w:pPr>
            <w:r>
              <w:rPr>
                <w:b/>
                <w:bCs/>
                <w:color w:val="FFFFFF"/>
                <w:sz w:val="20"/>
                <w:szCs w:val="20"/>
              </w:rPr>
              <w:t>Effort</w:t>
            </w:r>
          </w:p>
        </w:tc>
        <w:tc>
          <w:tcPr>
            <w:tcW w:w="1700" w:type="dxa"/>
            <w:shd w:val="clear" w:color="auto" w:fill="1F3552"/>
            <w:tcMar>
              <w:top w:w="90" w:type="dxa"/>
              <w:left w:w="110" w:type="dxa"/>
              <w:bottom w:w="90" w:type="dxa"/>
              <w:right w:w="110" w:type="dxa"/>
            </w:tcMar>
            <w:vAlign w:val="center"/>
          </w:tcPr>
          <w:p w14:paraId="23AF9CA2" w14:textId="77777777" w:rsidR="00493B03" w:rsidRDefault="00000000">
            <w:pPr>
              <w:jc w:val="center"/>
            </w:pPr>
            <w:r>
              <w:rPr>
                <w:b/>
                <w:bCs/>
                <w:color w:val="FFFFFF"/>
                <w:sz w:val="20"/>
                <w:szCs w:val="20"/>
              </w:rPr>
              <w:t>Impact</w:t>
            </w:r>
          </w:p>
        </w:tc>
      </w:tr>
      <w:tr w:rsidR="00493B03" w14:paraId="06B8EED7"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05B9FEC9" w14:textId="77777777" w:rsidR="00493B03" w:rsidRDefault="00000000">
            <w:r>
              <w:rPr>
                <w:color w:val="000000"/>
                <w:sz w:val="20"/>
                <w:szCs w:val="20"/>
              </w:rPr>
              <w:t>Checkout / Cart</w:t>
            </w:r>
          </w:p>
        </w:tc>
        <w:tc>
          <w:tcPr>
            <w:tcW w:w="4300" w:type="dxa"/>
            <w:tcMar>
              <w:top w:w="90" w:type="dxa"/>
              <w:left w:w="110" w:type="dxa"/>
              <w:bottom w:w="90" w:type="dxa"/>
              <w:right w:w="110" w:type="dxa"/>
            </w:tcMar>
            <w:vAlign w:val="center"/>
          </w:tcPr>
          <w:p w14:paraId="4B700709" w14:textId="77777777" w:rsidR="00493B03" w:rsidRDefault="00000000">
            <w:r>
              <w:rPr>
                <w:color w:val="000000"/>
                <w:sz w:val="20"/>
                <w:szCs w:val="20"/>
              </w:rPr>
              <w:t>Reduce checkout to a single page (or clear progress steps); surface shipping costs and taxes before the final step to prevent "surprise cost" abandonment.</w:t>
            </w:r>
          </w:p>
        </w:tc>
        <w:tc>
          <w:tcPr>
            <w:tcW w:w="1700" w:type="dxa"/>
            <w:tcMar>
              <w:top w:w="90" w:type="dxa"/>
              <w:left w:w="110" w:type="dxa"/>
              <w:bottom w:w="90" w:type="dxa"/>
              <w:right w:w="110" w:type="dxa"/>
            </w:tcMar>
            <w:vAlign w:val="center"/>
          </w:tcPr>
          <w:p w14:paraId="23CACFF2" w14:textId="77777777" w:rsidR="00493B03" w:rsidRDefault="00000000">
            <w:pPr>
              <w:jc w:val="center"/>
            </w:pPr>
            <w:r>
              <w:rPr>
                <w:color w:val="000000"/>
                <w:sz w:val="20"/>
                <w:szCs w:val="20"/>
              </w:rPr>
              <w:t>Medium</w:t>
            </w:r>
          </w:p>
        </w:tc>
        <w:tc>
          <w:tcPr>
            <w:tcW w:w="1700" w:type="dxa"/>
            <w:tcMar>
              <w:top w:w="90" w:type="dxa"/>
              <w:left w:w="110" w:type="dxa"/>
              <w:bottom w:w="90" w:type="dxa"/>
              <w:right w:w="110" w:type="dxa"/>
            </w:tcMar>
            <w:vAlign w:val="center"/>
          </w:tcPr>
          <w:p w14:paraId="36982B11" w14:textId="77777777" w:rsidR="00493B03" w:rsidRDefault="00000000">
            <w:pPr>
              <w:jc w:val="center"/>
            </w:pPr>
            <w:r>
              <w:rPr>
                <w:color w:val="000000"/>
                <w:sz w:val="20"/>
                <w:szCs w:val="20"/>
              </w:rPr>
              <w:t>High</w:t>
            </w:r>
          </w:p>
        </w:tc>
      </w:tr>
      <w:tr w:rsidR="00493B03" w14:paraId="1B15974B"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FAF6267" w14:textId="77777777" w:rsidR="00493B03" w:rsidRDefault="00000000">
            <w:r>
              <w:rPr>
                <w:color w:val="000000"/>
                <w:sz w:val="20"/>
                <w:szCs w:val="20"/>
              </w:rPr>
              <w:t>Checkout / Cart</w:t>
            </w:r>
          </w:p>
        </w:tc>
        <w:tc>
          <w:tcPr>
            <w:tcW w:w="4300" w:type="dxa"/>
            <w:tcMar>
              <w:top w:w="90" w:type="dxa"/>
              <w:left w:w="110" w:type="dxa"/>
              <w:bottom w:w="90" w:type="dxa"/>
              <w:right w:w="110" w:type="dxa"/>
            </w:tcMar>
            <w:vAlign w:val="center"/>
          </w:tcPr>
          <w:p w14:paraId="065F0162" w14:textId="77777777" w:rsidR="00493B03" w:rsidRDefault="00000000">
            <w:r>
              <w:rPr>
                <w:color w:val="000000"/>
                <w:sz w:val="20"/>
                <w:szCs w:val="20"/>
              </w:rPr>
              <w:t>Launch a 2–3 email/SMS cart-recovery sequence (industry benchmark: ~41.8% open rate, ~10.7% conversion on recovery emails).</w:t>
            </w:r>
          </w:p>
        </w:tc>
        <w:tc>
          <w:tcPr>
            <w:tcW w:w="1700" w:type="dxa"/>
            <w:tcMar>
              <w:top w:w="90" w:type="dxa"/>
              <w:left w:w="110" w:type="dxa"/>
              <w:bottom w:w="90" w:type="dxa"/>
              <w:right w:w="110" w:type="dxa"/>
            </w:tcMar>
            <w:vAlign w:val="center"/>
          </w:tcPr>
          <w:p w14:paraId="05C4B8BD" w14:textId="77777777" w:rsidR="00493B03" w:rsidRDefault="00000000">
            <w:pPr>
              <w:jc w:val="center"/>
            </w:pPr>
            <w:r>
              <w:rPr>
                <w:color w:val="000000"/>
                <w:sz w:val="20"/>
                <w:szCs w:val="20"/>
              </w:rPr>
              <w:t>Low</w:t>
            </w:r>
          </w:p>
        </w:tc>
        <w:tc>
          <w:tcPr>
            <w:tcW w:w="1700" w:type="dxa"/>
            <w:tcMar>
              <w:top w:w="90" w:type="dxa"/>
              <w:left w:w="110" w:type="dxa"/>
              <w:bottom w:w="90" w:type="dxa"/>
              <w:right w:w="110" w:type="dxa"/>
            </w:tcMar>
            <w:vAlign w:val="center"/>
          </w:tcPr>
          <w:p w14:paraId="66EFDD9C" w14:textId="77777777" w:rsidR="00493B03" w:rsidRDefault="00000000">
            <w:pPr>
              <w:jc w:val="center"/>
            </w:pPr>
            <w:r>
              <w:rPr>
                <w:color w:val="000000"/>
                <w:sz w:val="20"/>
                <w:szCs w:val="20"/>
              </w:rPr>
              <w:t>High</w:t>
            </w:r>
          </w:p>
        </w:tc>
      </w:tr>
      <w:tr w:rsidR="00493B03" w14:paraId="0C59E896"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2659E81F" w14:textId="77777777" w:rsidR="00493B03" w:rsidRDefault="00000000">
            <w:r>
              <w:rPr>
                <w:color w:val="000000"/>
                <w:sz w:val="20"/>
                <w:szCs w:val="20"/>
              </w:rPr>
              <w:t>Mobile Experience</w:t>
            </w:r>
          </w:p>
        </w:tc>
        <w:tc>
          <w:tcPr>
            <w:tcW w:w="4300" w:type="dxa"/>
            <w:tcMar>
              <w:top w:w="90" w:type="dxa"/>
              <w:left w:w="110" w:type="dxa"/>
              <w:bottom w:w="90" w:type="dxa"/>
              <w:right w:w="110" w:type="dxa"/>
            </w:tcMar>
            <w:vAlign w:val="center"/>
          </w:tcPr>
          <w:p w14:paraId="622AB8DD" w14:textId="77777777" w:rsidR="00493B03" w:rsidRDefault="00000000">
            <w:r>
              <w:rPr>
                <w:color w:val="000000"/>
                <w:sz w:val="20"/>
                <w:szCs w:val="20"/>
              </w:rPr>
              <w:t>Audit and optimize mobile page-load speed, tap-target sizing, and mobile-native payment options (Apple Pay / Google Pay / UPI) to close the mobile-vs-desktop conversion gap.</w:t>
            </w:r>
          </w:p>
        </w:tc>
        <w:tc>
          <w:tcPr>
            <w:tcW w:w="1700" w:type="dxa"/>
            <w:tcMar>
              <w:top w:w="90" w:type="dxa"/>
              <w:left w:w="110" w:type="dxa"/>
              <w:bottom w:w="90" w:type="dxa"/>
              <w:right w:w="110" w:type="dxa"/>
            </w:tcMar>
            <w:vAlign w:val="center"/>
          </w:tcPr>
          <w:p w14:paraId="1C02DAB1" w14:textId="77777777" w:rsidR="00493B03" w:rsidRDefault="00000000">
            <w:pPr>
              <w:jc w:val="center"/>
            </w:pPr>
            <w:r>
              <w:rPr>
                <w:color w:val="000000"/>
                <w:sz w:val="20"/>
                <w:szCs w:val="20"/>
              </w:rPr>
              <w:t>Medium</w:t>
            </w:r>
          </w:p>
        </w:tc>
        <w:tc>
          <w:tcPr>
            <w:tcW w:w="1700" w:type="dxa"/>
            <w:tcMar>
              <w:top w:w="90" w:type="dxa"/>
              <w:left w:w="110" w:type="dxa"/>
              <w:bottom w:w="90" w:type="dxa"/>
              <w:right w:w="110" w:type="dxa"/>
            </w:tcMar>
            <w:vAlign w:val="center"/>
          </w:tcPr>
          <w:p w14:paraId="348C7B10" w14:textId="77777777" w:rsidR="00493B03" w:rsidRDefault="00000000">
            <w:pPr>
              <w:jc w:val="center"/>
            </w:pPr>
            <w:r>
              <w:rPr>
                <w:color w:val="000000"/>
                <w:sz w:val="20"/>
                <w:szCs w:val="20"/>
              </w:rPr>
              <w:t>High</w:t>
            </w:r>
          </w:p>
        </w:tc>
      </w:tr>
      <w:tr w:rsidR="00493B03" w14:paraId="0C075E31"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703C78D0" w14:textId="77777777" w:rsidR="00493B03" w:rsidRDefault="00000000">
            <w:r>
              <w:rPr>
                <w:color w:val="000000"/>
                <w:sz w:val="20"/>
                <w:szCs w:val="20"/>
              </w:rPr>
              <w:t>Mobile Experience</w:t>
            </w:r>
          </w:p>
        </w:tc>
        <w:tc>
          <w:tcPr>
            <w:tcW w:w="4300" w:type="dxa"/>
            <w:tcMar>
              <w:top w:w="90" w:type="dxa"/>
              <w:left w:w="110" w:type="dxa"/>
              <w:bottom w:w="90" w:type="dxa"/>
              <w:right w:w="110" w:type="dxa"/>
            </w:tcMar>
            <w:vAlign w:val="center"/>
          </w:tcPr>
          <w:p w14:paraId="5AF3B7DA" w14:textId="77777777" w:rsidR="00493B03" w:rsidRDefault="00000000">
            <w:r>
              <w:rPr>
                <w:color w:val="000000"/>
                <w:sz w:val="20"/>
                <w:szCs w:val="20"/>
              </w:rPr>
              <w:t>Implement a persistent, thumb-reachable "Add to Cart" / "Buy Now" button on mobile product pages.</w:t>
            </w:r>
          </w:p>
        </w:tc>
        <w:tc>
          <w:tcPr>
            <w:tcW w:w="1700" w:type="dxa"/>
            <w:tcMar>
              <w:top w:w="90" w:type="dxa"/>
              <w:left w:w="110" w:type="dxa"/>
              <w:bottom w:w="90" w:type="dxa"/>
              <w:right w:w="110" w:type="dxa"/>
            </w:tcMar>
            <w:vAlign w:val="center"/>
          </w:tcPr>
          <w:p w14:paraId="52E0FC70" w14:textId="77777777" w:rsidR="00493B03" w:rsidRDefault="00000000">
            <w:pPr>
              <w:jc w:val="center"/>
            </w:pPr>
            <w:r>
              <w:rPr>
                <w:color w:val="000000"/>
                <w:sz w:val="20"/>
                <w:szCs w:val="20"/>
              </w:rPr>
              <w:t>Low</w:t>
            </w:r>
          </w:p>
        </w:tc>
        <w:tc>
          <w:tcPr>
            <w:tcW w:w="1700" w:type="dxa"/>
            <w:tcMar>
              <w:top w:w="90" w:type="dxa"/>
              <w:left w:w="110" w:type="dxa"/>
              <w:bottom w:w="90" w:type="dxa"/>
              <w:right w:w="110" w:type="dxa"/>
            </w:tcMar>
            <w:vAlign w:val="center"/>
          </w:tcPr>
          <w:p w14:paraId="1C413127" w14:textId="77777777" w:rsidR="00493B03" w:rsidRDefault="00000000">
            <w:pPr>
              <w:jc w:val="center"/>
            </w:pPr>
            <w:r>
              <w:rPr>
                <w:color w:val="000000"/>
                <w:sz w:val="20"/>
                <w:szCs w:val="20"/>
              </w:rPr>
              <w:t>Medium</w:t>
            </w:r>
          </w:p>
        </w:tc>
      </w:tr>
      <w:tr w:rsidR="00493B03" w14:paraId="77FD4893"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11B53A0C" w14:textId="77777777" w:rsidR="00493B03" w:rsidRDefault="00000000">
            <w:r>
              <w:rPr>
                <w:color w:val="000000"/>
                <w:sz w:val="20"/>
                <w:szCs w:val="20"/>
              </w:rPr>
              <w:t>Product Pages</w:t>
            </w:r>
          </w:p>
        </w:tc>
        <w:tc>
          <w:tcPr>
            <w:tcW w:w="4300" w:type="dxa"/>
            <w:tcMar>
              <w:top w:w="90" w:type="dxa"/>
              <w:left w:w="110" w:type="dxa"/>
              <w:bottom w:w="90" w:type="dxa"/>
              <w:right w:w="110" w:type="dxa"/>
            </w:tcMar>
            <w:vAlign w:val="center"/>
          </w:tcPr>
          <w:p w14:paraId="70809355" w14:textId="77777777" w:rsidR="00493B03" w:rsidRDefault="00000000">
            <w:r>
              <w:rPr>
                <w:color w:val="000000"/>
                <w:sz w:val="20"/>
                <w:szCs w:val="20"/>
              </w:rPr>
              <w:t>Add customer reviews, higher-resolution imagery/video, and clear stock-availability or urgency messaging to lift the click-to-cart rate above the current 26.4%.</w:t>
            </w:r>
          </w:p>
        </w:tc>
        <w:tc>
          <w:tcPr>
            <w:tcW w:w="1700" w:type="dxa"/>
            <w:tcMar>
              <w:top w:w="90" w:type="dxa"/>
              <w:left w:w="110" w:type="dxa"/>
              <w:bottom w:w="90" w:type="dxa"/>
              <w:right w:w="110" w:type="dxa"/>
            </w:tcMar>
            <w:vAlign w:val="center"/>
          </w:tcPr>
          <w:p w14:paraId="0FA10DD5" w14:textId="77777777" w:rsidR="00493B03" w:rsidRDefault="00000000">
            <w:pPr>
              <w:jc w:val="center"/>
            </w:pPr>
            <w:r>
              <w:rPr>
                <w:color w:val="000000"/>
                <w:sz w:val="20"/>
                <w:szCs w:val="20"/>
              </w:rPr>
              <w:t>Medium</w:t>
            </w:r>
          </w:p>
        </w:tc>
        <w:tc>
          <w:tcPr>
            <w:tcW w:w="1700" w:type="dxa"/>
            <w:tcMar>
              <w:top w:w="90" w:type="dxa"/>
              <w:left w:w="110" w:type="dxa"/>
              <w:bottom w:w="90" w:type="dxa"/>
              <w:right w:w="110" w:type="dxa"/>
            </w:tcMar>
            <w:vAlign w:val="center"/>
          </w:tcPr>
          <w:p w14:paraId="309C51DD" w14:textId="77777777" w:rsidR="00493B03" w:rsidRDefault="00000000">
            <w:pPr>
              <w:jc w:val="center"/>
            </w:pPr>
            <w:r>
              <w:rPr>
                <w:color w:val="000000"/>
                <w:sz w:val="20"/>
                <w:szCs w:val="20"/>
              </w:rPr>
              <w:t>Medium</w:t>
            </w:r>
          </w:p>
        </w:tc>
      </w:tr>
      <w:tr w:rsidR="00493B03" w14:paraId="2810D07B"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4AD61F92" w14:textId="77777777" w:rsidR="00493B03" w:rsidRDefault="00000000">
            <w:r>
              <w:rPr>
                <w:color w:val="000000"/>
                <w:sz w:val="20"/>
                <w:szCs w:val="20"/>
              </w:rPr>
              <w:t>Channel Mix</w:t>
            </w:r>
          </w:p>
        </w:tc>
        <w:tc>
          <w:tcPr>
            <w:tcW w:w="4300" w:type="dxa"/>
            <w:tcMar>
              <w:top w:w="90" w:type="dxa"/>
              <w:left w:w="110" w:type="dxa"/>
              <w:bottom w:w="90" w:type="dxa"/>
              <w:right w:w="110" w:type="dxa"/>
            </w:tcMar>
            <w:vAlign w:val="center"/>
          </w:tcPr>
          <w:p w14:paraId="1385FABC" w14:textId="77777777" w:rsidR="00493B03" w:rsidRDefault="00000000">
            <w:r>
              <w:rPr>
                <w:color w:val="000000"/>
                <w:sz w:val="20"/>
                <w:szCs w:val="20"/>
              </w:rPr>
              <w:t>Reallocate incremental acquisition budget toward Paid Search and Paid Social, which convert at 4.0% and 4.3% respectively versus a 3.0% blended average.</w:t>
            </w:r>
          </w:p>
        </w:tc>
        <w:tc>
          <w:tcPr>
            <w:tcW w:w="1700" w:type="dxa"/>
            <w:tcMar>
              <w:top w:w="90" w:type="dxa"/>
              <w:left w:w="110" w:type="dxa"/>
              <w:bottom w:w="90" w:type="dxa"/>
              <w:right w:w="110" w:type="dxa"/>
            </w:tcMar>
            <w:vAlign w:val="center"/>
          </w:tcPr>
          <w:p w14:paraId="15F0B7D8" w14:textId="77777777" w:rsidR="00493B03" w:rsidRDefault="00000000">
            <w:pPr>
              <w:jc w:val="center"/>
            </w:pPr>
            <w:r>
              <w:rPr>
                <w:color w:val="000000"/>
                <w:sz w:val="20"/>
                <w:szCs w:val="20"/>
              </w:rPr>
              <w:t>Low</w:t>
            </w:r>
          </w:p>
        </w:tc>
        <w:tc>
          <w:tcPr>
            <w:tcW w:w="1700" w:type="dxa"/>
            <w:tcMar>
              <w:top w:w="90" w:type="dxa"/>
              <w:left w:w="110" w:type="dxa"/>
              <w:bottom w:w="90" w:type="dxa"/>
              <w:right w:w="110" w:type="dxa"/>
            </w:tcMar>
            <w:vAlign w:val="center"/>
          </w:tcPr>
          <w:p w14:paraId="4EC9A020" w14:textId="77777777" w:rsidR="00493B03" w:rsidRDefault="00000000">
            <w:pPr>
              <w:jc w:val="center"/>
            </w:pPr>
            <w:r>
              <w:rPr>
                <w:color w:val="000000"/>
                <w:sz w:val="20"/>
                <w:szCs w:val="20"/>
              </w:rPr>
              <w:t>Medium</w:t>
            </w:r>
          </w:p>
        </w:tc>
      </w:tr>
      <w:tr w:rsidR="00493B03" w14:paraId="46809392"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281AC4E5" w14:textId="77777777" w:rsidR="00493B03" w:rsidRDefault="00000000">
            <w:r>
              <w:rPr>
                <w:color w:val="000000"/>
                <w:sz w:val="20"/>
                <w:szCs w:val="20"/>
              </w:rPr>
              <w:t>Channel Mix</w:t>
            </w:r>
          </w:p>
        </w:tc>
        <w:tc>
          <w:tcPr>
            <w:tcW w:w="4300" w:type="dxa"/>
            <w:tcMar>
              <w:top w:w="90" w:type="dxa"/>
              <w:left w:w="110" w:type="dxa"/>
              <w:bottom w:w="90" w:type="dxa"/>
              <w:right w:w="110" w:type="dxa"/>
            </w:tcMar>
            <w:vAlign w:val="center"/>
          </w:tcPr>
          <w:p w14:paraId="2600403D" w14:textId="77777777" w:rsidR="00493B03" w:rsidRDefault="00000000">
            <w:r>
              <w:rPr>
                <w:color w:val="000000"/>
                <w:sz w:val="20"/>
                <w:szCs w:val="20"/>
              </w:rPr>
              <w:t>Audit Organic Search landing pages against top query intent, and review Referral sources for relevance; consider pausing spend/effort on underperforming referral partners.</w:t>
            </w:r>
          </w:p>
        </w:tc>
        <w:tc>
          <w:tcPr>
            <w:tcW w:w="1700" w:type="dxa"/>
            <w:tcMar>
              <w:top w:w="90" w:type="dxa"/>
              <w:left w:w="110" w:type="dxa"/>
              <w:bottom w:w="90" w:type="dxa"/>
              <w:right w:w="110" w:type="dxa"/>
            </w:tcMar>
            <w:vAlign w:val="center"/>
          </w:tcPr>
          <w:p w14:paraId="72AD1CBA" w14:textId="77777777" w:rsidR="00493B03" w:rsidRDefault="00000000">
            <w:pPr>
              <w:jc w:val="center"/>
            </w:pPr>
            <w:r>
              <w:rPr>
                <w:color w:val="000000"/>
                <w:sz w:val="20"/>
                <w:szCs w:val="20"/>
              </w:rPr>
              <w:t>Medium</w:t>
            </w:r>
          </w:p>
        </w:tc>
        <w:tc>
          <w:tcPr>
            <w:tcW w:w="1700" w:type="dxa"/>
            <w:tcMar>
              <w:top w:w="90" w:type="dxa"/>
              <w:left w:w="110" w:type="dxa"/>
              <w:bottom w:w="90" w:type="dxa"/>
              <w:right w:w="110" w:type="dxa"/>
            </w:tcMar>
            <w:vAlign w:val="center"/>
          </w:tcPr>
          <w:p w14:paraId="76341117" w14:textId="77777777" w:rsidR="00493B03" w:rsidRDefault="00000000">
            <w:pPr>
              <w:jc w:val="center"/>
            </w:pPr>
            <w:r>
              <w:rPr>
                <w:color w:val="000000"/>
                <w:sz w:val="20"/>
                <w:szCs w:val="20"/>
              </w:rPr>
              <w:t>Medium</w:t>
            </w:r>
          </w:p>
        </w:tc>
      </w:tr>
      <w:tr w:rsidR="00493B03" w14:paraId="2085B6BB" w14:textId="77777777">
        <w:tblPrEx>
          <w:tblCellMar>
            <w:top w:w="0" w:type="dxa"/>
            <w:bottom w:w="0" w:type="dxa"/>
          </w:tblCellMar>
        </w:tblPrEx>
        <w:trPr>
          <w:cantSplit/>
        </w:trPr>
        <w:tc>
          <w:tcPr>
            <w:tcW w:w="2000" w:type="dxa"/>
            <w:tcMar>
              <w:top w:w="90" w:type="dxa"/>
              <w:left w:w="110" w:type="dxa"/>
              <w:bottom w:w="90" w:type="dxa"/>
              <w:right w:w="110" w:type="dxa"/>
            </w:tcMar>
            <w:vAlign w:val="center"/>
          </w:tcPr>
          <w:p w14:paraId="4DAA1763" w14:textId="77777777" w:rsidR="00493B03" w:rsidRDefault="00000000">
            <w:r>
              <w:rPr>
                <w:color w:val="000000"/>
                <w:sz w:val="20"/>
                <w:szCs w:val="20"/>
              </w:rPr>
              <w:t>Testing &amp; Measurement</w:t>
            </w:r>
          </w:p>
        </w:tc>
        <w:tc>
          <w:tcPr>
            <w:tcW w:w="4300" w:type="dxa"/>
            <w:tcMar>
              <w:top w:w="90" w:type="dxa"/>
              <w:left w:w="110" w:type="dxa"/>
              <w:bottom w:w="90" w:type="dxa"/>
              <w:right w:w="110" w:type="dxa"/>
            </w:tcMar>
            <w:vAlign w:val="center"/>
          </w:tcPr>
          <w:p w14:paraId="11501885" w14:textId="77777777" w:rsidR="00493B03" w:rsidRDefault="00000000">
            <w:r>
              <w:rPr>
                <w:color w:val="000000"/>
                <w:sz w:val="20"/>
                <w:szCs w:val="20"/>
              </w:rPr>
              <w:t>Run structured A/B tests on checkout flow and product-page changes before full rollout; given current traffic volume, plan for an adequately powered sample per the ~1,000-conversions-per-variant guideline used in industry CRO practice.</w:t>
            </w:r>
          </w:p>
        </w:tc>
        <w:tc>
          <w:tcPr>
            <w:tcW w:w="1700" w:type="dxa"/>
            <w:tcMar>
              <w:top w:w="90" w:type="dxa"/>
              <w:left w:w="110" w:type="dxa"/>
              <w:bottom w:w="90" w:type="dxa"/>
              <w:right w:w="110" w:type="dxa"/>
            </w:tcMar>
            <w:vAlign w:val="center"/>
          </w:tcPr>
          <w:p w14:paraId="48C95AD7" w14:textId="77777777" w:rsidR="00493B03" w:rsidRDefault="00000000">
            <w:pPr>
              <w:jc w:val="center"/>
            </w:pPr>
            <w:r>
              <w:rPr>
                <w:color w:val="000000"/>
                <w:sz w:val="20"/>
                <w:szCs w:val="20"/>
              </w:rPr>
              <w:t>Medium</w:t>
            </w:r>
          </w:p>
        </w:tc>
        <w:tc>
          <w:tcPr>
            <w:tcW w:w="1700" w:type="dxa"/>
            <w:tcMar>
              <w:top w:w="90" w:type="dxa"/>
              <w:left w:w="110" w:type="dxa"/>
              <w:bottom w:w="90" w:type="dxa"/>
              <w:right w:w="110" w:type="dxa"/>
            </w:tcMar>
            <w:vAlign w:val="center"/>
          </w:tcPr>
          <w:p w14:paraId="6FAED09B" w14:textId="77777777" w:rsidR="00493B03" w:rsidRDefault="00000000">
            <w:pPr>
              <w:jc w:val="center"/>
            </w:pPr>
            <w:r>
              <w:rPr>
                <w:color w:val="000000"/>
                <w:sz w:val="20"/>
                <w:szCs w:val="20"/>
              </w:rPr>
              <w:t>High</w:t>
            </w:r>
          </w:p>
        </w:tc>
      </w:tr>
    </w:tbl>
    <w:p w14:paraId="5F2F3FB2" w14:textId="77777777" w:rsidR="00B637E4" w:rsidRDefault="00B637E4" w:rsidP="00B637E4">
      <w:pPr>
        <w:rPr>
          <w:b/>
          <w:bCs/>
          <w:color w:val="1F3552"/>
          <w:sz w:val="30"/>
          <w:szCs w:val="30"/>
        </w:rPr>
      </w:pPr>
    </w:p>
    <w:p w14:paraId="2142D4CF" w14:textId="1D80BAD6" w:rsidR="00493B03" w:rsidRDefault="00B637E4" w:rsidP="00B637E4">
      <w:pPr>
        <w:rPr>
          <w:b/>
          <w:bCs/>
          <w:color w:val="1F3552"/>
          <w:sz w:val="30"/>
          <w:szCs w:val="30"/>
        </w:rPr>
      </w:pPr>
      <w:r>
        <w:rPr>
          <w:b/>
          <w:bCs/>
          <w:color w:val="1F3552"/>
          <w:sz w:val="30"/>
          <w:szCs w:val="30"/>
        </w:rPr>
        <w:t>9</w:t>
      </w:r>
      <w:r w:rsidR="00000000">
        <w:rPr>
          <w:b/>
          <w:bCs/>
          <w:color w:val="1F3552"/>
          <w:sz w:val="30"/>
          <w:szCs w:val="30"/>
        </w:rPr>
        <w:t>. Conclusion</w:t>
      </w:r>
    </w:p>
    <w:p w14:paraId="1CC43BE2" w14:textId="77777777" w:rsidR="00B637E4" w:rsidRDefault="00B637E4" w:rsidP="00B637E4"/>
    <w:p w14:paraId="1BEAD93A" w14:textId="77777777" w:rsidR="00493B03" w:rsidRDefault="00000000">
      <w:pPr>
        <w:spacing w:after="160" w:line="288" w:lineRule="auto"/>
        <w:jc w:val="both"/>
      </w:pPr>
      <w:r>
        <w:t xml:space="preserve">This analysis demonstrates that a small set of well-chosen KPIs — bounce rate, session duration, click-through rate, cart abandonment, and conversion rate — is sufficient to build a clear, actionable diagnosis of eCommerce website performance, even under the constraints of a simulated dataset. The overall conversion rate of 3.0% is broadly in line with global 2025–2026 benchmarks, but that aggregate figure conceals two significant and addressable gaps: a </w:t>
      </w:r>
      <w:r>
        <w:lastRenderedPageBreak/>
        <w:t>checkout process that loses nearly three-quarters of qualified carts, and a mobile experience that converts at less than half the rate of desktop.</w:t>
      </w:r>
    </w:p>
    <w:p w14:paraId="1B9C5040" w14:textId="77777777" w:rsidR="00493B03" w:rsidRDefault="00000000">
      <w:pPr>
        <w:spacing w:after="160" w:line="288" w:lineRule="auto"/>
        <w:jc w:val="both"/>
      </w:pPr>
      <w:r>
        <w:t>Because these two issues sit late in the funnel, among visitors who have already demonstrated strong purchase intent, they represent the highest-leverage opportunities for improvement — every percentage point of cart abandonment recovered, or every point of mobile conversion closed against desktop, converts directly into incremental revenue without any additional spend on traffic acquisition. The phased roadmap in Section 9 sequences these opportunities from quick, low-effort wins to larger structural initiatives, giving a realistic path from the current 3.0% conversion rate toward a 4.0%–4.5% target.</w:t>
      </w:r>
    </w:p>
    <w:p w14:paraId="4BA149D9" w14:textId="796FEF16" w:rsidR="00493B03" w:rsidRDefault="00493B03">
      <w:pPr>
        <w:spacing w:before="260"/>
      </w:pPr>
    </w:p>
    <w:sectPr w:rsidR="00493B03">
      <w:headerReference w:type="default" r:id="rId11"/>
      <w:footerReference w:type="default" r:id="rId12"/>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7E1B1" w14:textId="77777777" w:rsidR="00005639" w:rsidRDefault="00005639">
      <w:r>
        <w:separator/>
      </w:r>
    </w:p>
  </w:endnote>
  <w:endnote w:type="continuationSeparator" w:id="0">
    <w:p w14:paraId="208D6DCB" w14:textId="77777777" w:rsidR="00005639" w:rsidRDefault="00005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2974" w14:textId="77777777" w:rsidR="00493B03" w:rsidRDefault="00000000">
    <w:pPr>
      <w:jc w:val="center"/>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B637E4">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B637E4">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D3B19" w14:textId="77777777" w:rsidR="00005639" w:rsidRDefault="00005639">
      <w:r>
        <w:separator/>
      </w:r>
    </w:p>
  </w:footnote>
  <w:footnote w:type="continuationSeparator" w:id="0">
    <w:p w14:paraId="4D5C9607" w14:textId="77777777" w:rsidR="00005639" w:rsidRDefault="00005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16A35" w14:textId="77777777" w:rsidR="00493B03" w:rsidRDefault="00000000">
    <w:pPr>
      <w:pBdr>
        <w:bottom w:val="single" w:sz="4" w:space="4" w:color="CCCCCC"/>
      </w:pBdr>
      <w:jc w:val="right"/>
    </w:pPr>
    <w:r>
      <w:rPr>
        <w:i/>
        <w:iCs/>
        <w:color w:val="5A6472"/>
        <w:sz w:val="16"/>
        <w:szCs w:val="16"/>
      </w:rPr>
      <w:t>Website Analytics &amp; CRO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A37BB"/>
    <w:multiLevelType w:val="hybridMultilevel"/>
    <w:tmpl w:val="7FB6C7EA"/>
    <w:lvl w:ilvl="0" w:tplc="05C0D0D2">
      <w:start w:val="1"/>
      <w:numFmt w:val="decimal"/>
      <w:lvlText w:val="%1."/>
      <w:lvlJc w:val="left"/>
      <w:pPr>
        <w:ind w:left="460" w:hanging="260"/>
      </w:pPr>
    </w:lvl>
    <w:lvl w:ilvl="1" w:tplc="C204B0D4">
      <w:numFmt w:val="decimal"/>
      <w:lvlText w:val=""/>
      <w:lvlJc w:val="left"/>
    </w:lvl>
    <w:lvl w:ilvl="2" w:tplc="32E039B4">
      <w:numFmt w:val="decimal"/>
      <w:lvlText w:val=""/>
      <w:lvlJc w:val="left"/>
    </w:lvl>
    <w:lvl w:ilvl="3" w:tplc="1BD03D74">
      <w:numFmt w:val="decimal"/>
      <w:lvlText w:val=""/>
      <w:lvlJc w:val="left"/>
    </w:lvl>
    <w:lvl w:ilvl="4" w:tplc="D86E77B0">
      <w:numFmt w:val="decimal"/>
      <w:lvlText w:val=""/>
      <w:lvlJc w:val="left"/>
    </w:lvl>
    <w:lvl w:ilvl="5" w:tplc="000877B8">
      <w:numFmt w:val="decimal"/>
      <w:lvlText w:val=""/>
      <w:lvlJc w:val="left"/>
    </w:lvl>
    <w:lvl w:ilvl="6" w:tplc="70E2FCD0">
      <w:numFmt w:val="decimal"/>
      <w:lvlText w:val=""/>
      <w:lvlJc w:val="left"/>
    </w:lvl>
    <w:lvl w:ilvl="7" w:tplc="7CB82800">
      <w:numFmt w:val="decimal"/>
      <w:lvlText w:val=""/>
      <w:lvlJc w:val="left"/>
    </w:lvl>
    <w:lvl w:ilvl="8" w:tplc="049EA1F0">
      <w:numFmt w:val="decimal"/>
      <w:lvlText w:val=""/>
      <w:lvlJc w:val="left"/>
    </w:lvl>
  </w:abstractNum>
  <w:abstractNum w:abstractNumId="1" w15:restartNumberingAfterBreak="0">
    <w:nsid w:val="2D03101D"/>
    <w:multiLevelType w:val="hybridMultilevel"/>
    <w:tmpl w:val="B0CAC870"/>
    <w:lvl w:ilvl="0" w:tplc="0832D80C">
      <w:start w:val="1"/>
      <w:numFmt w:val="decimal"/>
      <w:lvlText w:val="%1."/>
      <w:lvlJc w:val="left"/>
      <w:pPr>
        <w:ind w:left="460" w:hanging="260"/>
      </w:pPr>
    </w:lvl>
    <w:lvl w:ilvl="1" w:tplc="E86AEC78">
      <w:numFmt w:val="decimal"/>
      <w:lvlText w:val=""/>
      <w:lvlJc w:val="left"/>
    </w:lvl>
    <w:lvl w:ilvl="2" w:tplc="5BB6CDF6">
      <w:numFmt w:val="decimal"/>
      <w:lvlText w:val=""/>
      <w:lvlJc w:val="left"/>
    </w:lvl>
    <w:lvl w:ilvl="3" w:tplc="0AB87238">
      <w:numFmt w:val="decimal"/>
      <w:lvlText w:val=""/>
      <w:lvlJc w:val="left"/>
    </w:lvl>
    <w:lvl w:ilvl="4" w:tplc="2A06B3E0">
      <w:numFmt w:val="decimal"/>
      <w:lvlText w:val=""/>
      <w:lvlJc w:val="left"/>
    </w:lvl>
    <w:lvl w:ilvl="5" w:tplc="43743A2A">
      <w:numFmt w:val="decimal"/>
      <w:lvlText w:val=""/>
      <w:lvlJc w:val="left"/>
    </w:lvl>
    <w:lvl w:ilvl="6" w:tplc="F14C6FF0">
      <w:numFmt w:val="decimal"/>
      <w:lvlText w:val=""/>
      <w:lvlJc w:val="left"/>
    </w:lvl>
    <w:lvl w:ilvl="7" w:tplc="CAEA2A02">
      <w:numFmt w:val="decimal"/>
      <w:lvlText w:val=""/>
      <w:lvlJc w:val="left"/>
    </w:lvl>
    <w:lvl w:ilvl="8" w:tplc="1200D780">
      <w:numFmt w:val="decimal"/>
      <w:lvlText w:val=""/>
      <w:lvlJc w:val="left"/>
    </w:lvl>
  </w:abstractNum>
  <w:abstractNum w:abstractNumId="2" w15:restartNumberingAfterBreak="0">
    <w:nsid w:val="46020BFB"/>
    <w:multiLevelType w:val="hybridMultilevel"/>
    <w:tmpl w:val="AC4EB284"/>
    <w:lvl w:ilvl="0" w:tplc="FE48AD86">
      <w:start w:val="1"/>
      <w:numFmt w:val="bullet"/>
      <w:lvlText w:val="●"/>
      <w:lvlJc w:val="left"/>
      <w:pPr>
        <w:ind w:left="720" w:hanging="360"/>
      </w:pPr>
    </w:lvl>
    <w:lvl w:ilvl="1" w:tplc="5BBE0C98">
      <w:start w:val="1"/>
      <w:numFmt w:val="bullet"/>
      <w:lvlText w:val="○"/>
      <w:lvlJc w:val="left"/>
      <w:pPr>
        <w:ind w:left="1440" w:hanging="360"/>
      </w:pPr>
    </w:lvl>
    <w:lvl w:ilvl="2" w:tplc="82FC9F52">
      <w:start w:val="1"/>
      <w:numFmt w:val="bullet"/>
      <w:lvlText w:val="■"/>
      <w:lvlJc w:val="left"/>
      <w:pPr>
        <w:ind w:left="2160" w:hanging="360"/>
      </w:pPr>
    </w:lvl>
    <w:lvl w:ilvl="3" w:tplc="9F88B95A">
      <w:start w:val="1"/>
      <w:numFmt w:val="bullet"/>
      <w:lvlText w:val="●"/>
      <w:lvlJc w:val="left"/>
      <w:pPr>
        <w:ind w:left="2880" w:hanging="360"/>
      </w:pPr>
    </w:lvl>
    <w:lvl w:ilvl="4" w:tplc="3E3C16BE">
      <w:start w:val="1"/>
      <w:numFmt w:val="bullet"/>
      <w:lvlText w:val="○"/>
      <w:lvlJc w:val="left"/>
      <w:pPr>
        <w:ind w:left="3600" w:hanging="360"/>
      </w:pPr>
    </w:lvl>
    <w:lvl w:ilvl="5" w:tplc="C8E6ACB4">
      <w:start w:val="1"/>
      <w:numFmt w:val="bullet"/>
      <w:lvlText w:val="■"/>
      <w:lvlJc w:val="left"/>
      <w:pPr>
        <w:ind w:left="4320" w:hanging="360"/>
      </w:pPr>
    </w:lvl>
    <w:lvl w:ilvl="6" w:tplc="E45C1A02">
      <w:start w:val="1"/>
      <w:numFmt w:val="bullet"/>
      <w:lvlText w:val="●"/>
      <w:lvlJc w:val="left"/>
      <w:pPr>
        <w:ind w:left="5040" w:hanging="360"/>
      </w:pPr>
    </w:lvl>
    <w:lvl w:ilvl="7" w:tplc="08922E3E">
      <w:start w:val="1"/>
      <w:numFmt w:val="bullet"/>
      <w:lvlText w:val="●"/>
      <w:lvlJc w:val="left"/>
      <w:pPr>
        <w:ind w:left="5760" w:hanging="360"/>
      </w:pPr>
    </w:lvl>
    <w:lvl w:ilvl="8" w:tplc="5A26DFF0">
      <w:start w:val="1"/>
      <w:numFmt w:val="bullet"/>
      <w:lvlText w:val="●"/>
      <w:lvlJc w:val="left"/>
      <w:pPr>
        <w:ind w:left="6480" w:hanging="360"/>
      </w:pPr>
    </w:lvl>
  </w:abstractNum>
  <w:abstractNum w:abstractNumId="3" w15:restartNumberingAfterBreak="0">
    <w:nsid w:val="4A0328F9"/>
    <w:multiLevelType w:val="hybridMultilevel"/>
    <w:tmpl w:val="EFC4C0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5A7BF7"/>
    <w:multiLevelType w:val="hybridMultilevel"/>
    <w:tmpl w:val="EF74C588"/>
    <w:lvl w:ilvl="0" w:tplc="AC607A26">
      <w:start w:val="1"/>
      <w:numFmt w:val="bullet"/>
      <w:lvlText w:val="●"/>
      <w:lvlJc w:val="left"/>
      <w:pPr>
        <w:ind w:left="460" w:hanging="260"/>
      </w:pPr>
      <w:rPr>
        <w:color w:val="1F3552"/>
      </w:rPr>
    </w:lvl>
    <w:lvl w:ilvl="1" w:tplc="745C5FA2">
      <w:start w:val="1"/>
      <w:numFmt w:val="bullet"/>
      <w:lvlText w:val="–"/>
      <w:lvlJc w:val="left"/>
      <w:pPr>
        <w:ind w:left="820" w:hanging="260"/>
      </w:pPr>
    </w:lvl>
    <w:lvl w:ilvl="2" w:tplc="2F08ABA2">
      <w:numFmt w:val="decimal"/>
      <w:lvlText w:val=""/>
      <w:lvlJc w:val="left"/>
    </w:lvl>
    <w:lvl w:ilvl="3" w:tplc="D12AD7B6">
      <w:numFmt w:val="decimal"/>
      <w:lvlText w:val=""/>
      <w:lvlJc w:val="left"/>
    </w:lvl>
    <w:lvl w:ilvl="4" w:tplc="F63E68F8">
      <w:numFmt w:val="decimal"/>
      <w:lvlText w:val=""/>
      <w:lvlJc w:val="left"/>
    </w:lvl>
    <w:lvl w:ilvl="5" w:tplc="5F6E573E">
      <w:numFmt w:val="decimal"/>
      <w:lvlText w:val=""/>
      <w:lvlJc w:val="left"/>
    </w:lvl>
    <w:lvl w:ilvl="6" w:tplc="465C977C">
      <w:numFmt w:val="decimal"/>
      <w:lvlText w:val=""/>
      <w:lvlJc w:val="left"/>
    </w:lvl>
    <w:lvl w:ilvl="7" w:tplc="DDBAA4FE">
      <w:numFmt w:val="decimal"/>
      <w:lvlText w:val=""/>
      <w:lvlJc w:val="left"/>
    </w:lvl>
    <w:lvl w:ilvl="8" w:tplc="3E209F8E">
      <w:numFmt w:val="decimal"/>
      <w:lvlText w:val=""/>
      <w:lvlJc w:val="left"/>
    </w:lvl>
  </w:abstractNum>
  <w:abstractNum w:abstractNumId="5" w15:restartNumberingAfterBreak="0">
    <w:nsid w:val="63F46527"/>
    <w:multiLevelType w:val="hybridMultilevel"/>
    <w:tmpl w:val="3544B86A"/>
    <w:lvl w:ilvl="0" w:tplc="85741EE8">
      <w:start w:val="1"/>
      <w:numFmt w:val="decimal"/>
      <w:lvlText w:val="%1."/>
      <w:lvlJc w:val="left"/>
      <w:pPr>
        <w:ind w:left="720" w:hanging="360"/>
      </w:pPr>
      <w:rPr>
        <w:rFonts w:hint="default"/>
        <w:b w:val="0"/>
        <w:color w:val="auto"/>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A8934B4"/>
    <w:multiLevelType w:val="hybridMultilevel"/>
    <w:tmpl w:val="5CC6883A"/>
    <w:lvl w:ilvl="0" w:tplc="B38A3B16">
      <w:start w:val="1"/>
      <w:numFmt w:val="decimal"/>
      <w:lvlText w:val="%1."/>
      <w:lvlJc w:val="left"/>
      <w:pPr>
        <w:ind w:left="460" w:hanging="260"/>
      </w:pPr>
    </w:lvl>
    <w:lvl w:ilvl="1" w:tplc="27287C4A">
      <w:numFmt w:val="decimal"/>
      <w:lvlText w:val=""/>
      <w:lvlJc w:val="left"/>
    </w:lvl>
    <w:lvl w:ilvl="2" w:tplc="8586D800">
      <w:numFmt w:val="decimal"/>
      <w:lvlText w:val=""/>
      <w:lvlJc w:val="left"/>
    </w:lvl>
    <w:lvl w:ilvl="3" w:tplc="29866882">
      <w:numFmt w:val="decimal"/>
      <w:lvlText w:val=""/>
      <w:lvlJc w:val="left"/>
    </w:lvl>
    <w:lvl w:ilvl="4" w:tplc="CAE068DE">
      <w:numFmt w:val="decimal"/>
      <w:lvlText w:val=""/>
      <w:lvlJc w:val="left"/>
    </w:lvl>
    <w:lvl w:ilvl="5" w:tplc="AC0E061A">
      <w:numFmt w:val="decimal"/>
      <w:lvlText w:val=""/>
      <w:lvlJc w:val="left"/>
    </w:lvl>
    <w:lvl w:ilvl="6" w:tplc="6DBA00A0">
      <w:numFmt w:val="decimal"/>
      <w:lvlText w:val=""/>
      <w:lvlJc w:val="left"/>
    </w:lvl>
    <w:lvl w:ilvl="7" w:tplc="4800BC3A">
      <w:numFmt w:val="decimal"/>
      <w:lvlText w:val=""/>
      <w:lvlJc w:val="left"/>
    </w:lvl>
    <w:lvl w:ilvl="8" w:tplc="9642F9C4">
      <w:numFmt w:val="decimal"/>
      <w:lvlText w:val=""/>
      <w:lvlJc w:val="left"/>
    </w:lvl>
  </w:abstractNum>
  <w:num w:numId="1" w16cid:durableId="1669284279">
    <w:abstractNumId w:val="2"/>
    <w:lvlOverride w:ilvl="0">
      <w:startOverride w:val="1"/>
    </w:lvlOverride>
  </w:num>
  <w:num w:numId="2" w16cid:durableId="71124798">
    <w:abstractNumId w:val="6"/>
    <w:lvlOverride w:ilvl="0">
      <w:startOverride w:val="1"/>
    </w:lvlOverride>
  </w:num>
  <w:num w:numId="3" w16cid:durableId="889609165">
    <w:abstractNumId w:val="4"/>
    <w:lvlOverride w:ilvl="0">
      <w:startOverride w:val="1"/>
    </w:lvlOverride>
  </w:num>
  <w:num w:numId="4" w16cid:durableId="845289588">
    <w:abstractNumId w:val="0"/>
    <w:lvlOverride w:ilvl="0">
      <w:startOverride w:val="1"/>
    </w:lvlOverride>
  </w:num>
  <w:num w:numId="5" w16cid:durableId="1786075635">
    <w:abstractNumId w:val="1"/>
    <w:lvlOverride w:ilvl="0">
      <w:startOverride w:val="1"/>
    </w:lvlOverride>
  </w:num>
  <w:num w:numId="6" w16cid:durableId="1433354543">
    <w:abstractNumId w:val="3"/>
  </w:num>
  <w:num w:numId="7" w16cid:durableId="1616911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B03"/>
    <w:rsid w:val="00005639"/>
    <w:rsid w:val="00493B03"/>
    <w:rsid w:val="00525CAB"/>
    <w:rsid w:val="00AD24BA"/>
    <w:rsid w:val="00B63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85EC"/>
  <w15:docId w15:val="{CC59A05E-CDF0-4ED4-A4FC-255D4D9A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2937</Words>
  <Characters>16742</Characters>
  <Application>Microsoft Office Word</Application>
  <DocSecurity>0</DocSecurity>
  <Lines>139</Lines>
  <Paragraphs>39</Paragraphs>
  <ScaleCrop>false</ScaleCrop>
  <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shailesh verma</cp:lastModifiedBy>
  <cp:revision>3</cp:revision>
  <dcterms:created xsi:type="dcterms:W3CDTF">2026-09-06T19:44:00Z</dcterms:created>
  <dcterms:modified xsi:type="dcterms:W3CDTF">2026-09-07T09:24:00Z</dcterms:modified>
</cp:coreProperties>
</file>