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147" w:rsidRDefault="00486297" w:rsidP="00486297">
      <w:pPr>
        <w:spacing w:before="157" w:after="157" w:line="270" w:lineRule="auto"/>
        <w:jc w:val="both"/>
      </w:pPr>
      <w:bookmarkStart w:id="0" w:name="key_regulatory_frameworks_influen_65f2f3"/>
      <w:r>
        <w:rPr>
          <w:rFonts w:ascii="source serif 4" w:eastAsia="source serif 4" w:hAnsi="source serif 4" w:cs="source serif 4"/>
          <w:b/>
          <w:color w:val="000000"/>
          <w:sz w:val="39"/>
        </w:rPr>
        <w:t>Key regulatory</w:t>
      </w:r>
      <w:bookmarkStart w:id="1" w:name="_GoBack"/>
      <w:bookmarkEnd w:id="1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frameworks influencing financial sector automation</w:t>
      </w:r>
      <w:bookmarkEnd w:id="0"/>
    </w:p>
    <w:p w:rsidR="00C45147" w:rsidRDefault="00486297" w:rsidP="00486297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Key regulatory frameworks influencing financial sector automation include:</w:t>
      </w:r>
    </w:p>
    <w:p w:rsidR="00C45147" w:rsidRDefault="00486297" w:rsidP="00486297">
      <w:pPr>
        <w:spacing w:before="315" w:after="105" w:line="360" w:lineRule="auto"/>
        <w:ind w:left="-30"/>
        <w:jc w:val="both"/>
      </w:pPr>
      <w:bookmarkStart w:id="2" w:name="us_regulatory_frameworks"/>
      <w:r>
        <w:rPr>
          <w:rFonts w:ascii="source serif 4" w:eastAsia="source serif 4" w:hAnsi="source serif 4" w:cs="source serif 4"/>
          <w:b/>
          <w:color w:val="000000"/>
          <w:sz w:val="24"/>
        </w:rPr>
        <w:t>US Regulatory Frameworks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6"/>
        <w:gridCol w:w="4073"/>
        <w:gridCol w:w="4021"/>
      </w:tblGrid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Framework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Key Automation Requirements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Impact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SEC Regulations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Regulation S-P (customer data safeguarding),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S-ID (identity theft), Investment Advisers Act (fiduciary duties, record-keeping)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Automated trading must avoid market manipulation;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robo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-advisors need fiduciary compliance; all processes require audit trails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FINRA Rules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Rule 3110 (supervisory controls), Rule 4511 (record-keeping), Rule 2090 (KYC)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Automated systems need supervisory control systems; comprehensive record retention required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Bank Secrecy Act (BSA)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Anti-money laundering documentation, transaction monitoring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Automated AML monitoring mandatory; real-time transaction tracking expected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USA PATRIOT 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Customer identification programs (CIP), due diligence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Automated KYC verification required; customer identity validation mandatory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CFPB Requirements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Fair lending (non-discriminatory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outcomes), transparent communication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Automated lending decisions must prevent discrimination; customer communications must be clear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GLBA (Gramm-Leach-Bliley)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Financial privacy requirements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Automated data processing must prot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ect customer financial information </w:t>
            </w:r>
          </w:p>
        </w:tc>
      </w:tr>
    </w:tbl>
    <w:p w:rsidR="00C45147" w:rsidRDefault="00C45147" w:rsidP="00486297">
      <w:pPr>
        <w:jc w:val="both"/>
      </w:pPr>
    </w:p>
    <w:p w:rsidR="00C45147" w:rsidRDefault="00486297" w:rsidP="00486297">
      <w:pPr>
        <w:spacing w:before="315" w:after="105" w:line="360" w:lineRule="auto"/>
        <w:ind w:left="-30"/>
        <w:jc w:val="both"/>
      </w:pPr>
      <w:bookmarkStart w:id="3" w:name="eu_regulatory_frameworks"/>
      <w:r>
        <w:rPr>
          <w:rFonts w:ascii="source serif 4" w:eastAsia="source serif 4" w:hAnsi="source serif 4" w:cs="source serif 4"/>
          <w:b/>
          <w:color w:val="000000"/>
          <w:sz w:val="24"/>
        </w:rPr>
        <w:t>EU Regulatory Frameworks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30"/>
        <w:gridCol w:w="4905"/>
        <w:gridCol w:w="2505"/>
      </w:tblGrid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Framework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Key Automation Requirements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Implementation Timeline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EU AML Regulation (2024/1624)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Single AML rulebook, customer data refresh intervals (max 1 year for high-risk, 5 years for others)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July 10, 2027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6AMLD (2024/1640)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Enhanced high-risk country list, expanded AML scope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Transpositio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 by July 10, 2027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AMLA Operational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Single AML supervisor, ongoing/transaction monitoring guidance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July 2025 (operational)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GDPR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 governance standards, cross-border transfers, consent management, automated decision-making limits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Effective (applies to EU customers)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PSD2/PSD3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 banking APIs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payment services framework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PSD3 adoption expected early 2026 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lastRenderedPageBreak/>
              <w:t>DORA (Digital Operational Resilience Act)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Cybersecurity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standards, IT outsourcing, operational risk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Effective (financial sector)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EU AI Act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Financial AI systems classified as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high-risk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model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explainability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required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Key obligations begin 2026</w:t>
            </w:r>
          </w:p>
        </w:tc>
      </w:tr>
      <w:tr w:rsidR="00C4514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Basel III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Operational risk management, systemic risk solutions, financial resilience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C45147" w:rsidRDefault="00486297" w:rsidP="00486297">
            <w:pPr>
              <w:spacing w:line="360" w:lineRule="auto"/>
              <w:jc w:val="both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Advanced technological solutions accelerated </w:t>
            </w:r>
          </w:p>
        </w:tc>
      </w:tr>
    </w:tbl>
    <w:p w:rsidR="00C45147" w:rsidRDefault="00C45147" w:rsidP="00486297">
      <w:pPr>
        <w:jc w:val="both"/>
      </w:pPr>
    </w:p>
    <w:p w:rsidR="00C45147" w:rsidRDefault="00486297" w:rsidP="00486297">
      <w:pPr>
        <w:spacing w:before="315" w:after="105" w:line="360" w:lineRule="auto"/>
        <w:ind w:left="-30"/>
        <w:jc w:val="both"/>
      </w:pPr>
      <w:bookmarkStart w:id="4" w:name="core_automation_requirements_acro_e47bf0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Core Automation Requirements </w:t>
      </w:r>
      <w:proofErr w:type="gramStart"/>
      <w:r>
        <w:rPr>
          <w:rFonts w:ascii="source serif 4" w:eastAsia="source serif 4" w:hAnsi="source serif 4" w:cs="source serif 4"/>
          <w:b/>
          <w:color w:val="000000"/>
          <w:sz w:val="24"/>
        </w:rPr>
        <w:t>Across</w:t>
      </w:r>
      <w:proofErr w:type="gram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Frameworks</w:t>
      </w:r>
      <w:bookmarkEnd w:id="4"/>
    </w:p>
    <w:p w:rsidR="00C45147" w:rsidRDefault="00486297" w:rsidP="00486297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Record Keeping &amp;</w:t>
      </w:r>
      <w:r>
        <w:rPr>
          <w:rFonts w:ascii="source serif 4" w:eastAsia="source serif 4" w:hAnsi="source serif 4" w:cs="source serif 4"/>
          <w:b/>
          <w:color w:val="000000"/>
        </w:rPr>
        <w:t xml:space="preserve"> Audit Trails</w:t>
      </w:r>
      <w:r>
        <w:rPr>
          <w:rFonts w:ascii="source serif 4" w:eastAsia="source serif 4" w:hAnsi="source serif 4" w:cs="source serif 4"/>
          <w:color w:val="000000"/>
        </w:rPr>
        <w:t>: All automated processes must maintain comprehensive audit trails for regulatory examination</w:t>
      </w:r>
      <w:bookmarkStart w:id="5" w:name="fnref1_3"/>
      <w:bookmarkStart w:id="6" w:name="fnref2_4"/>
      <w:bookmarkEnd w:id="5"/>
      <w:bookmarkEnd w:id="6"/>
    </w:p>
    <w:p w:rsidR="00C45147" w:rsidRDefault="00486297" w:rsidP="00486297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Operational Risk Management</w:t>
      </w:r>
      <w:r>
        <w:rPr>
          <w:rFonts w:ascii="source serif 4" w:eastAsia="source serif 4" w:hAnsi="source serif 4" w:cs="source serif 4"/>
          <w:color w:val="000000"/>
        </w:rPr>
        <w:t>: Automated systems must not increase operational risk beyond ac</w:t>
      </w:r>
      <w:r>
        <w:rPr>
          <w:rFonts w:ascii="source serif 4" w:eastAsia="source serif 4" w:hAnsi="source serif 4" w:cs="source serif 4"/>
          <w:color w:val="000000"/>
        </w:rPr>
        <w:t>ceptable levels</w:t>
      </w:r>
      <w:bookmarkStart w:id="7" w:name="fnref13"/>
      <w:bookmarkStart w:id="8" w:name="fnref1_4"/>
      <w:bookmarkEnd w:id="7"/>
      <w:bookmarkEnd w:id="8"/>
    </w:p>
    <w:p w:rsidR="00C45147" w:rsidRDefault="00486297" w:rsidP="00486297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Data Privacy</w:t>
      </w:r>
      <w:r>
        <w:rPr>
          <w:rFonts w:ascii="source serif 4" w:eastAsia="source serif 4" w:hAnsi="source serif 4" w:cs="source serif 4"/>
          <w:color w:val="000000"/>
        </w:rPr>
        <w:t>: Automated data processing must comply with consumer privacy requirements (GDPR, CCPA, state laws)</w:t>
      </w:r>
      <w:bookmarkStart w:id="9" w:name="fnref9_1"/>
      <w:bookmarkStart w:id="10" w:name="fnref1_5"/>
      <w:bookmarkEnd w:id="9"/>
      <w:bookmarkEnd w:id="10"/>
    </w:p>
    <w:p w:rsidR="00C45147" w:rsidRDefault="00486297" w:rsidP="00486297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Third-Part</w:t>
      </w:r>
      <w:r>
        <w:rPr>
          <w:rFonts w:ascii="source serif 4" w:eastAsia="source serif 4" w:hAnsi="source serif 4" w:cs="source serif 4"/>
          <w:b/>
          <w:color w:val="000000"/>
        </w:rPr>
        <w:t>y Risk</w:t>
      </w:r>
      <w:r>
        <w:rPr>
          <w:rFonts w:ascii="source serif 4" w:eastAsia="source serif 4" w:hAnsi="source serif 4" w:cs="source serif 4"/>
          <w:color w:val="000000"/>
        </w:rPr>
        <w:t>: Automation platforms must meet strict vendor management requirements</w:t>
      </w:r>
      <w:bookmarkStart w:id="11" w:name="fnref7_1"/>
      <w:bookmarkStart w:id="12" w:name="fnref1_6"/>
      <w:bookmarkEnd w:id="11"/>
      <w:bookmarkEnd w:id="12"/>
    </w:p>
    <w:p w:rsidR="00C45147" w:rsidRDefault="00486297" w:rsidP="00486297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Business Continuity</w:t>
      </w:r>
      <w:r>
        <w:rPr>
          <w:rFonts w:ascii="source serif 4" w:eastAsia="source serif 4" w:hAnsi="source serif 4" w:cs="source serif 4"/>
          <w:color w:val="000000"/>
        </w:rPr>
        <w:t>: Automated systems must include robust disaster recovery capabilities</w:t>
      </w:r>
      <w:bookmarkStart w:id="13" w:name="fnref1_7"/>
      <w:bookmarkEnd w:id="13"/>
    </w:p>
    <w:p w:rsidR="00C45147" w:rsidRDefault="00486297" w:rsidP="00486297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>Fair Lending &amp; Non-Discrimination</w:t>
      </w:r>
      <w:r>
        <w:rPr>
          <w:rFonts w:ascii="source serif 4" w:eastAsia="source serif 4" w:hAnsi="source serif 4" w:cs="source serif 4"/>
          <w:color w:val="000000"/>
        </w:rPr>
        <w:t>: Automated decisions must not result in discriminatory outcomes</w:t>
      </w:r>
      <w:bookmarkStart w:id="14" w:name="fnref14"/>
      <w:bookmarkStart w:id="15" w:name="fnref1_8"/>
      <w:bookmarkEnd w:id="14"/>
      <w:bookmarkEnd w:id="15"/>
    </w:p>
    <w:p w:rsidR="00C45147" w:rsidRDefault="00486297" w:rsidP="00486297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b/>
          <w:color w:val="000000"/>
        </w:rPr>
        <w:t xml:space="preserve">Model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Explainability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AI systems in finance require traceability and </w:t>
      </w:r>
      <w:proofErr w:type="spellStart"/>
      <w:r>
        <w:rPr>
          <w:rFonts w:ascii="source serif 4" w:eastAsia="source serif 4" w:hAnsi="source serif 4" w:cs="source serif 4"/>
          <w:color w:val="000000"/>
        </w:rPr>
        <w:t>explainability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(especially un</w:t>
      </w:r>
      <w:r>
        <w:rPr>
          <w:rFonts w:ascii="source serif 4" w:eastAsia="source serif 4" w:hAnsi="source serif 4" w:cs="source serif 4"/>
          <w:color w:val="000000"/>
        </w:rPr>
        <w:t>der EU AI Act)</w:t>
      </w:r>
      <w:bookmarkStart w:id="16" w:name="fnref10_2"/>
      <w:bookmarkStart w:id="17" w:name="fnref7_2"/>
      <w:bookmarkEnd w:id="16"/>
      <w:bookmarkEnd w:id="17"/>
    </w:p>
    <w:p w:rsidR="00C45147" w:rsidRDefault="00486297" w:rsidP="00486297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These frameworks are driving automation adoption while imposing strict compliance requirements on financial institutions implementing AI-driven systems.</w:t>
      </w:r>
      <w:r>
        <w:rPr>
          <w:rFonts w:ascii="source serif 4" w:eastAsia="source serif 4" w:hAnsi="source serif 4" w:cs="source serif 4"/>
          <w:color w:val="000000"/>
        </w:rPr>
        <w:br/>
      </w:r>
    </w:p>
    <w:p w:rsidR="00C45147" w:rsidRDefault="00486297" w:rsidP="00486297">
      <w:pPr>
        <w:spacing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⁂</w:t>
      </w:r>
    </w:p>
    <w:p w:rsidR="00C45147" w:rsidRDefault="00486297" w:rsidP="00486297">
      <w:pPr>
        <w:spacing w:before="210" w:after="0" w:line="360" w:lineRule="auto"/>
        <w:jc w:val="both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C451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source sans 3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127AF"/>
    <w:multiLevelType w:val="hybridMultilevel"/>
    <w:tmpl w:val="1F381156"/>
    <w:lvl w:ilvl="0" w:tplc="96B659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62DB70">
      <w:numFmt w:val="decimal"/>
      <w:lvlText w:val=""/>
      <w:lvlJc w:val="left"/>
    </w:lvl>
    <w:lvl w:ilvl="2" w:tplc="D88C2A9A">
      <w:numFmt w:val="decimal"/>
      <w:lvlText w:val=""/>
      <w:lvlJc w:val="left"/>
    </w:lvl>
    <w:lvl w:ilvl="3" w:tplc="A0FA3E26">
      <w:numFmt w:val="decimal"/>
      <w:lvlText w:val=""/>
      <w:lvlJc w:val="left"/>
    </w:lvl>
    <w:lvl w:ilvl="4" w:tplc="C4268AF6">
      <w:numFmt w:val="decimal"/>
      <w:lvlText w:val=""/>
      <w:lvlJc w:val="left"/>
    </w:lvl>
    <w:lvl w:ilvl="5" w:tplc="63AC3A8C">
      <w:numFmt w:val="decimal"/>
      <w:lvlText w:val=""/>
      <w:lvlJc w:val="left"/>
    </w:lvl>
    <w:lvl w:ilvl="6" w:tplc="8E280A5E">
      <w:numFmt w:val="decimal"/>
      <w:lvlText w:val=""/>
      <w:lvlJc w:val="left"/>
    </w:lvl>
    <w:lvl w:ilvl="7" w:tplc="25CEB188">
      <w:numFmt w:val="decimal"/>
      <w:lvlText w:val=""/>
      <w:lvlJc w:val="left"/>
    </w:lvl>
    <w:lvl w:ilvl="8" w:tplc="37529384">
      <w:numFmt w:val="decimal"/>
      <w:lvlText w:val=""/>
      <w:lvlJc w:val="left"/>
    </w:lvl>
  </w:abstractNum>
  <w:abstractNum w:abstractNumId="1">
    <w:nsid w:val="62CC7FE2"/>
    <w:multiLevelType w:val="hybridMultilevel"/>
    <w:tmpl w:val="A6849EF2"/>
    <w:lvl w:ilvl="0" w:tplc="4A122426">
      <w:numFmt w:val="decimal"/>
      <w:lvlText w:val=""/>
      <w:lvlJc w:val="left"/>
    </w:lvl>
    <w:lvl w:ilvl="1" w:tplc="29028434">
      <w:numFmt w:val="decimal"/>
      <w:lvlText w:val=""/>
      <w:lvlJc w:val="left"/>
    </w:lvl>
    <w:lvl w:ilvl="2" w:tplc="3C3AD556">
      <w:numFmt w:val="decimal"/>
      <w:lvlText w:val=""/>
      <w:lvlJc w:val="left"/>
    </w:lvl>
    <w:lvl w:ilvl="3" w:tplc="CE44857C">
      <w:numFmt w:val="decimal"/>
      <w:lvlText w:val=""/>
      <w:lvlJc w:val="left"/>
    </w:lvl>
    <w:lvl w:ilvl="4" w:tplc="65E20040">
      <w:numFmt w:val="decimal"/>
      <w:lvlText w:val=""/>
      <w:lvlJc w:val="left"/>
    </w:lvl>
    <w:lvl w:ilvl="5" w:tplc="0442CBD6">
      <w:numFmt w:val="decimal"/>
      <w:lvlText w:val=""/>
      <w:lvlJc w:val="left"/>
    </w:lvl>
    <w:lvl w:ilvl="6" w:tplc="57A85324">
      <w:numFmt w:val="decimal"/>
      <w:lvlText w:val=""/>
      <w:lvlJc w:val="left"/>
    </w:lvl>
    <w:lvl w:ilvl="7" w:tplc="E3361FFC">
      <w:numFmt w:val="decimal"/>
      <w:lvlText w:val=""/>
      <w:lvlJc w:val="left"/>
    </w:lvl>
    <w:lvl w:ilvl="8" w:tplc="8D50D376">
      <w:numFmt w:val="decimal"/>
      <w:lvlText w:val=""/>
      <w:lvlJc w:val="left"/>
    </w:lvl>
  </w:abstractNum>
  <w:abstractNum w:abstractNumId="2">
    <w:nsid w:val="68067347"/>
    <w:multiLevelType w:val="hybridMultilevel"/>
    <w:tmpl w:val="8A1A8C98"/>
    <w:lvl w:ilvl="0" w:tplc="4CC0DC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98A116">
      <w:numFmt w:val="decimal"/>
      <w:lvlText w:val=""/>
      <w:lvlJc w:val="left"/>
    </w:lvl>
    <w:lvl w:ilvl="2" w:tplc="5A340DD0">
      <w:numFmt w:val="decimal"/>
      <w:lvlText w:val=""/>
      <w:lvlJc w:val="left"/>
    </w:lvl>
    <w:lvl w:ilvl="3" w:tplc="4B9034EE">
      <w:numFmt w:val="decimal"/>
      <w:lvlText w:val=""/>
      <w:lvlJc w:val="left"/>
    </w:lvl>
    <w:lvl w:ilvl="4" w:tplc="119AA3FE">
      <w:numFmt w:val="decimal"/>
      <w:lvlText w:val=""/>
      <w:lvlJc w:val="left"/>
    </w:lvl>
    <w:lvl w:ilvl="5" w:tplc="B212E15E">
      <w:numFmt w:val="decimal"/>
      <w:lvlText w:val=""/>
      <w:lvlJc w:val="left"/>
    </w:lvl>
    <w:lvl w:ilvl="6" w:tplc="99586F68">
      <w:numFmt w:val="decimal"/>
      <w:lvlText w:val=""/>
      <w:lvlJc w:val="left"/>
    </w:lvl>
    <w:lvl w:ilvl="7" w:tplc="8780B97C">
      <w:numFmt w:val="decimal"/>
      <w:lvlText w:val=""/>
      <w:lvlJc w:val="left"/>
    </w:lvl>
    <w:lvl w:ilvl="8" w:tplc="61C41996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147"/>
    <w:rsid w:val="00486297"/>
    <w:rsid w:val="00C4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6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2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6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2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Shailja Sehgal</cp:lastModifiedBy>
  <cp:revision>3</cp:revision>
  <dcterms:created xsi:type="dcterms:W3CDTF">2026-06-14T02:15:00Z</dcterms:created>
  <dcterms:modified xsi:type="dcterms:W3CDTF">2026-06-14T02:39:00Z</dcterms:modified>
</cp:coreProperties>
</file>