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71CA" w14:textId="77777777" w:rsidR="00FD1BAF" w:rsidRPr="00FD1BAF" w:rsidRDefault="00FD1BAF" w:rsidP="00FD1BAF">
      <w:pPr>
        <w:spacing w:after="0" w:line="240" w:lineRule="auto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Preliminary Analysis Report:</w:t>
      </w:r>
    </w:p>
    <w:p w14:paraId="06991F13" w14:textId="4F79EBBB" w:rsidR="00FD1BAF" w:rsidRPr="00FD1BAF" w:rsidRDefault="00FD1BAF" w:rsidP="00FD1BAF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FD1BAF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1</w:t>
      </w:r>
      <w:r w:rsidRPr="00FD1BAF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FD1BAF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7A70914A" w14:textId="4B82C762" w:rsidR="00FD1BAF" w:rsidRPr="00FD1BAF" w:rsidRDefault="00FD1BAF" w:rsidP="00FD1BAF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kern w:val="0"/>
          <w14:ligatures w14:val="none"/>
        </w:rPr>
      </w:pPr>
      <w:r w:rsidRPr="00FD1BAF">
        <w:rPr>
          <w:rFonts w:ascii="Avenir Book" w:eastAsia="Times New Roman" w:hAnsi="Avenir Book" w:cs="Times New Roman"/>
          <w:kern w:val="0"/>
          <w14:ligatures w14:val="none"/>
        </w:rPr>
        <w:t xml:space="preserve">This report details the computational workflow used to identify gene modules and hub regulators associated with symptomatic atherosclerosis. By integrating Weighted Gene Co-expression Network Analysis (WGCNA) with graph-theoretic metrics and </w:t>
      </w:r>
      <w:proofErr w:type="spellStart"/>
      <w:r w:rsidRPr="00FD1BAF">
        <w:rPr>
          <w:rFonts w:ascii="Avenir Book" w:eastAsia="Times New Roman" w:hAnsi="Avenir Book" w:cs="Times New Roman"/>
          <w:kern w:val="0"/>
          <w14:ligatures w14:val="none"/>
        </w:rPr>
        <w:t>Cytoscape</w:t>
      </w:r>
      <w:proofErr w:type="spellEnd"/>
      <w:r w:rsidRPr="00FD1BAF">
        <w:rPr>
          <w:rFonts w:ascii="Avenir Book" w:eastAsia="Times New Roman" w:hAnsi="Avenir Book" w:cs="Times New Roman"/>
          <w:kern w:val="0"/>
          <w14:ligatures w14:val="none"/>
        </w:rPr>
        <w:t xml:space="preserve"> visualization, we have identified high-confidence intramodular hubs and established a unified namespace for downstream biological validation.</w:t>
      </w:r>
    </w:p>
    <w:p w14:paraId="762B753C" w14:textId="617A59DB" w:rsidR="00FD1BAF" w:rsidRPr="00FD1BAF" w:rsidRDefault="00FD1BAF" w:rsidP="00FD1BAF">
      <w:pPr>
        <w:spacing w:after="80" w:line="240" w:lineRule="auto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34"/>
          <w:szCs w:val="34"/>
          <w14:ligatures w14:val="none"/>
        </w:rPr>
        <w:t xml:space="preserve">2. </w:t>
      </w: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34"/>
          <w:szCs w:val="34"/>
          <w14:ligatures w14:val="none"/>
        </w:rPr>
        <w:t>Method</w:t>
      </w: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34"/>
          <w:szCs w:val="34"/>
          <w14:ligatures w14:val="none"/>
        </w:rPr>
        <w:t>:</w:t>
      </w:r>
    </w:p>
    <w:p w14:paraId="7C3D6B84" w14:textId="77777777" w:rsidR="00FD1BAF" w:rsidRPr="00FD1BAF" w:rsidRDefault="00FD1BAF" w:rsidP="00FD1BAF">
      <w:pPr>
        <w:spacing w:after="80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7"/>
          <w:szCs w:val="27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6"/>
          <w:szCs w:val="26"/>
          <w14:ligatures w14:val="none"/>
        </w:rPr>
        <w:t>2.1 Data Ingestion and Harmonization</w:t>
      </w:r>
    </w:p>
    <w:p w14:paraId="5B52965F" w14:textId="77777777" w:rsidR="00FD1BAF" w:rsidRPr="00FD1BAF" w:rsidRDefault="00FD1BAF" w:rsidP="00FD1BAF">
      <w:pPr>
        <w:spacing w:after="240" w:line="240" w:lineRule="auto"/>
        <w:rPr>
          <w:rFonts w:ascii="Avenir Book" w:eastAsia="Times New Roman" w:hAnsi="Avenir Book" w:cs="Times New Roman"/>
          <w:kern w:val="0"/>
          <w14:ligatures w14:val="none"/>
        </w:rPr>
      </w:pP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Starting from raw WGCNA outputs (.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rds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and .txt), we implemented a Python-based preprocessing layer to resolve genomic identifier discrepancies.</w:t>
      </w:r>
    </w:p>
    <w:p w14:paraId="0A5F9840" w14:textId="77777777" w:rsidR="00FD1BAF" w:rsidRPr="00FD1BAF" w:rsidRDefault="00FD1BAF" w:rsidP="00FD1BAF">
      <w:pPr>
        <w:numPr>
          <w:ilvl w:val="0"/>
          <w:numId w:val="1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ID Normalization: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Ensembl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IDs were cleaned of version suffixes and mapped to HGNC Gene Symbols using a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BioMart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reference database.</w:t>
      </w:r>
    </w:p>
    <w:p w14:paraId="10608BA5" w14:textId="77777777" w:rsidR="00FD1BAF" w:rsidRPr="00FD1BAF" w:rsidRDefault="00FD1BAF" w:rsidP="00FD1BAF">
      <w:pPr>
        <w:numPr>
          <w:ilvl w:val="0"/>
          <w:numId w:val="1"/>
        </w:numPr>
        <w:spacing w:after="24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Filtering: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Low-confidence interactions and self-loops were removed. Mapping QC was performed to ensure that non-protein-coding elements (e.g., mitochondrial RNA) did not bias the connectivity statistics.</w:t>
      </w:r>
    </w:p>
    <w:p w14:paraId="62D9FBDA" w14:textId="77777777" w:rsidR="00FD1BAF" w:rsidRPr="00FD1BAF" w:rsidRDefault="00FD1BAF" w:rsidP="00FD1BAF">
      <w:pPr>
        <w:spacing w:after="80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7"/>
          <w:szCs w:val="27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6"/>
          <w:szCs w:val="26"/>
          <w14:ligatures w14:val="none"/>
        </w:rPr>
        <w:t>2.2 Hub Gene Identification</w:t>
      </w:r>
    </w:p>
    <w:p w14:paraId="5F9FBBE6" w14:textId="77777777" w:rsidR="00FD1BAF" w:rsidRPr="00FD1BAF" w:rsidRDefault="00FD1BAF" w:rsidP="00FD1BAF">
      <w:pPr>
        <w:spacing w:after="240" w:line="240" w:lineRule="auto"/>
        <w:rPr>
          <w:rFonts w:ascii="Avenir Book" w:eastAsia="Times New Roman" w:hAnsi="Avenir Book" w:cs="Times New Roman"/>
          <w:kern w:val="0"/>
          <w14:ligatures w14:val="none"/>
        </w:rPr>
      </w:pP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A "Hybrid Hub" scoring system was developed to rank gene importance across two dimensions:</w:t>
      </w:r>
    </w:p>
    <w:p w14:paraId="0DF8615E" w14:textId="77777777" w:rsidR="00FD1BAF" w:rsidRPr="00FD1BAF" w:rsidRDefault="00FD1BAF" w:rsidP="00FD1BAF">
      <w:pPr>
        <w:numPr>
          <w:ilvl w:val="0"/>
          <w:numId w:val="2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WGCNA Connectivity (</w:t>
      </w:r>
      <w:proofErr w:type="spellStart"/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kWithin</w:t>
      </w:r>
      <w:proofErr w:type="spellEnd"/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):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Measuring the strength of a gene's correlation within its specific module.</w:t>
      </w:r>
    </w:p>
    <w:p w14:paraId="0CBBFB77" w14:textId="77777777" w:rsidR="00FD1BAF" w:rsidRPr="00FD1BAF" w:rsidRDefault="00FD1BAF" w:rsidP="00FD1BAF">
      <w:pPr>
        <w:numPr>
          <w:ilvl w:val="0"/>
          <w:numId w:val="2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Graph Centrality (Degree):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Measuring the total number of connections a gene holds in the global interaction network.</w:t>
      </w:r>
    </w:p>
    <w:p w14:paraId="22AAAD12" w14:textId="77777777" w:rsidR="00FD1BAF" w:rsidRPr="00FD1BAF" w:rsidRDefault="00FD1BAF" w:rsidP="00FD1BAF">
      <w:pPr>
        <w:numPr>
          <w:ilvl w:val="0"/>
          <w:numId w:val="3"/>
        </w:numPr>
        <w:spacing w:after="24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Scoring Formula: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First,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kWithin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and Degree were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normalised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, the score was computed using </w:t>
      </w:r>
      <w:r w:rsidRPr="00FD1BAF">
        <w:rPr>
          <w:rFonts w:ascii="Avenir Book" w:eastAsia="Times New Roman" w:hAnsi="Avenir Book" w:cs="Arial"/>
          <w:color w:val="1F1F1F"/>
          <w:kern w:val="0"/>
          <w:sz w:val="22"/>
          <w:szCs w:val="22"/>
          <w14:ligatures w14:val="none"/>
        </w:rPr>
        <w:t xml:space="preserve">Score = (0.7 x </w:t>
      </w:r>
      <w:proofErr w:type="spellStart"/>
      <w:r w:rsidRPr="00FD1BAF">
        <w:rPr>
          <w:rFonts w:ascii="Avenir Book" w:eastAsia="Times New Roman" w:hAnsi="Avenir Book" w:cs="Arial"/>
          <w:color w:val="1F1F1F"/>
          <w:kern w:val="0"/>
          <w:sz w:val="22"/>
          <w:szCs w:val="22"/>
          <w14:ligatures w14:val="none"/>
        </w:rPr>
        <w:t>kWithin_norm</w:t>
      </w:r>
      <w:proofErr w:type="spellEnd"/>
      <w:r w:rsidRPr="00FD1BAF">
        <w:rPr>
          <w:rFonts w:ascii="Avenir Book" w:eastAsia="Times New Roman" w:hAnsi="Avenir Book" w:cs="Arial"/>
          <w:color w:val="1F1F1F"/>
          <w:kern w:val="0"/>
          <w:sz w:val="22"/>
          <w:szCs w:val="22"/>
          <w14:ligatures w14:val="none"/>
        </w:rPr>
        <w:t xml:space="preserve">) + (0.3 x </w:t>
      </w:r>
      <w:proofErr w:type="spellStart"/>
      <w:r w:rsidRPr="00FD1BAF">
        <w:rPr>
          <w:rFonts w:ascii="Avenir Book" w:eastAsia="Times New Roman" w:hAnsi="Avenir Book" w:cs="Arial"/>
          <w:color w:val="1F1F1F"/>
          <w:kern w:val="0"/>
          <w:sz w:val="22"/>
          <w:szCs w:val="22"/>
          <w14:ligatures w14:val="none"/>
        </w:rPr>
        <w:t>Degree_norm</w:t>
      </w:r>
      <w:proofErr w:type="spellEnd"/>
      <w:r w:rsidRPr="00FD1BAF">
        <w:rPr>
          <w:rFonts w:ascii="Avenir Book" w:eastAsia="Times New Roman" w:hAnsi="Avenir Book" w:cs="Arial"/>
          <w:color w:val="1F1F1F"/>
          <w:kern w:val="0"/>
          <w:sz w:val="22"/>
          <w:szCs w:val="22"/>
          <w14:ligatures w14:val="none"/>
        </w:rPr>
        <w:t>)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. This emphasizes biological co-expression while accounting for physical or regulatory network topology.</w:t>
      </w:r>
    </w:p>
    <w:p w14:paraId="08BE3ECB" w14:textId="77777777" w:rsidR="00FD1BAF" w:rsidRPr="00FD1BAF" w:rsidRDefault="00FD1BAF" w:rsidP="00FD1BAF">
      <w:pPr>
        <w:spacing w:after="80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7"/>
          <w:szCs w:val="27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6"/>
          <w:szCs w:val="26"/>
          <w14:ligatures w14:val="none"/>
        </w:rPr>
        <w:t>2.3 Network Construction and Visualization</w:t>
      </w:r>
    </w:p>
    <w:p w14:paraId="057BAE84" w14:textId="77777777" w:rsidR="00FD1BAF" w:rsidRPr="00FD1BAF" w:rsidRDefault="00FD1BAF" w:rsidP="00FD1BAF">
      <w:pPr>
        <w:numPr>
          <w:ilvl w:val="0"/>
          <w:numId w:val="4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Global Architecture: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A global co-expression network was generated to visualize the spatial distribution of WGCNA modules.</w:t>
      </w:r>
    </w:p>
    <w:p w14:paraId="74E2BD57" w14:textId="77777777" w:rsidR="00FD1BAF" w:rsidRPr="00FD1BAF" w:rsidRDefault="00FD1BAF" w:rsidP="00FD1BAF">
      <w:pPr>
        <w:numPr>
          <w:ilvl w:val="0"/>
          <w:numId w:val="4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Cytoscape</w:t>
      </w:r>
      <w:proofErr w:type="spellEnd"/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 xml:space="preserve"> Automation: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We utilized </w:t>
      </w:r>
      <w:r w:rsidRPr="00FD1BAF">
        <w:rPr>
          <w:rFonts w:ascii="Avenir Book" w:eastAsia="Times New Roman" w:hAnsi="Avenir Book" w:cs="Arial"/>
          <w:color w:val="188038"/>
          <w:kern w:val="0"/>
          <w:sz w:val="22"/>
          <w:szCs w:val="22"/>
          <w14:ligatures w14:val="none"/>
        </w:rPr>
        <w:t>py4cytoscape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to programmatically push data to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Cytoscape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3.10.4. Visual styles were mapped to biological data:</w:t>
      </w:r>
    </w:p>
    <w:p w14:paraId="3986A612" w14:textId="77777777" w:rsidR="00FD1BAF" w:rsidRPr="00FD1BAF" w:rsidRDefault="00FD1BAF" w:rsidP="00FD1BAF">
      <w:pPr>
        <w:numPr>
          <w:ilvl w:val="1"/>
          <w:numId w:val="4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Node Color: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Mapped to WGCNA Module identity.</w:t>
      </w:r>
    </w:p>
    <w:p w14:paraId="7D9DD6EE" w14:textId="77777777" w:rsidR="00FD1BAF" w:rsidRPr="00FD1BAF" w:rsidRDefault="00FD1BAF" w:rsidP="00FD1BAF">
      <w:pPr>
        <w:numPr>
          <w:ilvl w:val="1"/>
          <w:numId w:val="4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Node Size: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Mapped to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kwithin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to highlight intramodular hubs.</w:t>
      </w:r>
    </w:p>
    <w:p w14:paraId="2B4B52DC" w14:textId="77777777" w:rsidR="00FD1BAF" w:rsidRPr="00FD1BAF" w:rsidRDefault="00FD1BAF" w:rsidP="00FD1BAF">
      <w:pPr>
        <w:numPr>
          <w:ilvl w:val="1"/>
          <w:numId w:val="4"/>
        </w:numPr>
        <w:spacing w:after="24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Layout: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Force-directed (Organic) layout to reveal natural clusters.</w:t>
      </w:r>
    </w:p>
    <w:p w14:paraId="03B69911" w14:textId="77777777" w:rsidR="00FD1BAF" w:rsidRPr="00FD1BAF" w:rsidRDefault="00FD1BAF" w:rsidP="00FD1BAF">
      <w:pPr>
        <w:spacing w:after="80" w:line="240" w:lineRule="auto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34"/>
          <w:szCs w:val="34"/>
          <w14:ligatures w14:val="none"/>
        </w:rPr>
        <w:t>3. Preliminary Results &amp; Inferences</w:t>
      </w:r>
    </w:p>
    <w:p w14:paraId="0F1ADE2C" w14:textId="77777777" w:rsidR="00FD1BAF" w:rsidRPr="00FD1BAF" w:rsidRDefault="00FD1BAF" w:rsidP="00FD1BAF">
      <w:pPr>
        <w:spacing w:after="80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7"/>
          <w:szCs w:val="27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6"/>
          <w:szCs w:val="26"/>
          <w14:ligatures w14:val="none"/>
        </w:rPr>
        <w:t>3.1 Network Topology</w:t>
      </w:r>
    </w:p>
    <w:p w14:paraId="14C9EBEB" w14:textId="77777777" w:rsidR="00FD1BAF" w:rsidRPr="00FD1BAF" w:rsidRDefault="00FD1BAF" w:rsidP="00FD1BAF">
      <w:pPr>
        <w:spacing w:after="240" w:line="240" w:lineRule="auto"/>
        <w:rPr>
          <w:rFonts w:ascii="Avenir Book" w:eastAsia="Times New Roman" w:hAnsi="Avenir Book" w:cs="Times New Roman"/>
          <w:kern w:val="0"/>
          <w14:ligatures w14:val="none"/>
        </w:rPr>
      </w:pP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The global network exhibits a "Hub-and-Spoke" architecture, where large, dense communities (primarily in the </w:t>
      </w:r>
      <w:proofErr w:type="gramStart"/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Turquoise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Blue</w:t>
      </w:r>
      <w:proofErr w:type="gram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modules) are interconnected by a smaller number of "bridge" genes.</w:t>
      </w:r>
    </w:p>
    <w:p w14:paraId="216C571D" w14:textId="77777777" w:rsidR="00FD1BAF" w:rsidRPr="00FD1BAF" w:rsidRDefault="00FD1BAF" w:rsidP="00FD1BAF">
      <w:pPr>
        <w:numPr>
          <w:ilvl w:val="0"/>
          <w:numId w:val="5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Turquoise Module: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Identified as the primary high-connectivity core. Based on the study context, this likely represents the Smooth Muscle Cell (SMC) response to plaque progression.</w:t>
      </w:r>
    </w:p>
    <w:p w14:paraId="5456A49D" w14:textId="77777777" w:rsidR="00FD1BAF" w:rsidRPr="00FD1BAF" w:rsidRDefault="00FD1BAF" w:rsidP="00FD1BAF">
      <w:pPr>
        <w:numPr>
          <w:ilvl w:val="0"/>
          <w:numId w:val="5"/>
        </w:numPr>
        <w:spacing w:after="24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Disconnected Components: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A significant number of genes show isolated co-expression patterns, suggesting highly specialized functions that are active only in specific clinical sub-states.</w:t>
      </w:r>
    </w:p>
    <w:p w14:paraId="1AF5F3E7" w14:textId="77777777" w:rsidR="00FD1BAF" w:rsidRPr="00FD1BAF" w:rsidRDefault="00FD1BAF" w:rsidP="00FD1BAF">
      <w:pPr>
        <w:spacing w:after="80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7"/>
          <w:szCs w:val="27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6"/>
          <w:szCs w:val="26"/>
          <w14:ligatures w14:val="none"/>
        </w:rPr>
        <w:t>3.2 Biological Inferences</w:t>
      </w:r>
    </w:p>
    <w:p w14:paraId="689AA8BA" w14:textId="77777777" w:rsidR="00FD1BAF" w:rsidRPr="00FD1BAF" w:rsidRDefault="00FD1BAF" w:rsidP="00FD1BAF">
      <w:pPr>
        <w:numPr>
          <w:ilvl w:val="0"/>
          <w:numId w:val="6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Transition Drivers: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The presence of genes with a </w:t>
      </w:r>
      <w:proofErr w:type="spellStart"/>
      <w:r w:rsidRPr="00FD1BAF">
        <w:rPr>
          <w:rFonts w:ascii="Avenir Book" w:eastAsia="Times New Roman" w:hAnsi="Avenir Book" w:cs="Arial"/>
          <w:color w:val="188038"/>
          <w:kern w:val="0"/>
          <w:sz w:val="22"/>
          <w:szCs w:val="22"/>
          <w14:ligatures w14:val="none"/>
        </w:rPr>
        <w:t>kWithin_quantile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of </w:t>
      </w: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1.0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indicates "Master Regulators." In the context of the symptomatic atherosclerosis dataset, these hubs are statistically the most likely candidates to drive the transition from stable plaque to vulnerable phenotypes.</w:t>
      </w:r>
    </w:p>
    <w:p w14:paraId="1047D02C" w14:textId="77777777" w:rsidR="00FD1BAF" w:rsidRPr="00FD1BAF" w:rsidRDefault="00FD1BAF" w:rsidP="00FD1BAF">
      <w:pPr>
        <w:numPr>
          <w:ilvl w:val="0"/>
          <w:numId w:val="6"/>
        </w:numPr>
        <w:spacing w:after="24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Plaque Stability: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The tight clustering observed in asymptomatic-associated modules suggests a robust, homeostatic gene signature that becomes fragmented as the disease progresses toward a symptomatic state.</w:t>
      </w:r>
    </w:p>
    <w:p w14:paraId="2E09F157" w14:textId="77777777" w:rsidR="00FD1BAF" w:rsidRPr="00FD1BAF" w:rsidRDefault="00FD1BAF" w:rsidP="00FD1BAF">
      <w:pPr>
        <w:spacing w:after="80" w:line="240" w:lineRule="auto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34"/>
          <w:szCs w:val="34"/>
          <w14:ligatures w14:val="none"/>
        </w:rPr>
        <w:t>4. Quality Control Summary</w:t>
      </w:r>
    </w:p>
    <w:p w14:paraId="4E7C69C6" w14:textId="77777777" w:rsidR="00FD1BAF" w:rsidRPr="00FD1BAF" w:rsidRDefault="00FD1BAF" w:rsidP="00FD1BAF">
      <w:pPr>
        <w:numPr>
          <w:ilvl w:val="0"/>
          <w:numId w:val="7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Mapping Rate: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Successfully resolved &gt;90% of protein-coding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Ensembl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IDs to HGNC symbols.</w:t>
      </w:r>
    </w:p>
    <w:p w14:paraId="15F2C299" w14:textId="77777777" w:rsidR="00FD1BAF" w:rsidRPr="00FD1BAF" w:rsidRDefault="00FD1BAF" w:rsidP="00FD1BAF">
      <w:pPr>
        <w:numPr>
          <w:ilvl w:val="0"/>
          <w:numId w:val="7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Internal Consistency: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Validated that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ktotal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kwithin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dimensions in the hub table align with the node counts in the </w:t>
      </w:r>
      <w:r w:rsidRPr="00FD1BAF">
        <w:rPr>
          <w:rFonts w:ascii="Avenir Book" w:eastAsia="Times New Roman" w:hAnsi="Avenir Book" w:cs="Arial"/>
          <w:color w:val="188038"/>
          <w:kern w:val="0"/>
          <w:sz w:val="22"/>
          <w:szCs w:val="22"/>
          <w14:ligatures w14:val="none"/>
        </w:rPr>
        <w:t>gene_module_assignments.txt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file.</w:t>
      </w:r>
    </w:p>
    <w:p w14:paraId="1D20301D" w14:textId="77777777" w:rsidR="00FD1BAF" w:rsidRPr="00FD1BAF" w:rsidRDefault="00FD1BAF" w:rsidP="00FD1BAF">
      <w:pPr>
        <w:numPr>
          <w:ilvl w:val="0"/>
          <w:numId w:val="7"/>
        </w:numPr>
        <w:spacing w:after="24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Visual Validation: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Confirmed that the "Grid" of low-connectivity genes in </w:t>
      </w:r>
      <w:proofErr w:type="spellStart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Cytoscape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does not contain known atherosclerosis markers, ensuring the "Backbone" contains the biologically relevant data.</w:t>
      </w:r>
    </w:p>
    <w:p w14:paraId="76E29BC7" w14:textId="77777777" w:rsidR="00FD1BAF" w:rsidRPr="00FD1BAF" w:rsidRDefault="00FD1BAF" w:rsidP="00FD1BAF">
      <w:pPr>
        <w:spacing w:after="80" w:line="240" w:lineRule="auto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34"/>
          <w:szCs w:val="34"/>
          <w14:ligatures w14:val="none"/>
        </w:rPr>
        <w:t>5. Next Steps</w:t>
      </w:r>
    </w:p>
    <w:p w14:paraId="6E7F19ED" w14:textId="77777777" w:rsidR="00FD1BAF" w:rsidRPr="00FD1BAF" w:rsidRDefault="00FD1BAF" w:rsidP="00FD1BAF">
      <w:pPr>
        <w:spacing w:after="240" w:line="240" w:lineRule="auto"/>
        <w:rPr>
          <w:rFonts w:ascii="Avenir Book" w:eastAsia="Times New Roman" w:hAnsi="Avenir Book" w:cs="Times New Roman"/>
          <w:kern w:val="0"/>
          <w14:ligatures w14:val="none"/>
        </w:rPr>
      </w:pP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>The pipeline is currently optimized for co-expression analysis. To reach "Publication Ready" status, the following will be implemented:</w:t>
      </w:r>
    </w:p>
    <w:p w14:paraId="1D1283DF" w14:textId="77777777" w:rsidR="00FD1BAF" w:rsidRPr="00FD1BAF" w:rsidRDefault="00FD1BAF" w:rsidP="00FD1BAF">
      <w:pPr>
        <w:numPr>
          <w:ilvl w:val="0"/>
          <w:numId w:val="8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TF-Target Overlay: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Integration of the </w:t>
      </w:r>
      <w:proofErr w:type="spellStart"/>
      <w:r w:rsidRPr="00FD1BAF">
        <w:rPr>
          <w:rFonts w:ascii="Avenir Book" w:eastAsia="Times New Roman" w:hAnsi="Avenir Book" w:cs="Arial"/>
          <w:color w:val="188038"/>
          <w:kern w:val="0"/>
          <w:sz w:val="22"/>
          <w:szCs w:val="22"/>
          <w14:ligatures w14:val="none"/>
        </w:rPr>
        <w:t>AnimalTFDB</w:t>
      </w:r>
      <w:proofErr w:type="spellEnd"/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to differentiate between regulators and targets.</w:t>
      </w:r>
    </w:p>
    <w:p w14:paraId="6A59D5B4" w14:textId="77777777" w:rsidR="00FD1BAF" w:rsidRPr="00FD1BAF" w:rsidRDefault="00FD1BAF" w:rsidP="00FD1BAF">
      <w:pPr>
        <w:numPr>
          <w:ilvl w:val="0"/>
          <w:numId w:val="8"/>
        </w:numPr>
        <w:spacing w:after="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Directional Mapping: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Converting undirected co-expression edges into directed regulatory interactions.</w:t>
      </w:r>
    </w:p>
    <w:p w14:paraId="1368567A" w14:textId="77777777" w:rsidR="00FD1BAF" w:rsidRPr="00FD1BAF" w:rsidRDefault="00FD1BAF" w:rsidP="00FD1BAF">
      <w:pPr>
        <w:numPr>
          <w:ilvl w:val="0"/>
          <w:numId w:val="8"/>
        </w:numPr>
        <w:spacing w:after="240" w:line="240" w:lineRule="auto"/>
        <w:textAlignment w:val="baseline"/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</w:pPr>
      <w:r w:rsidRPr="00FD1BAF">
        <w:rPr>
          <w:rFonts w:ascii="Avenir Book" w:eastAsia="Times New Roman" w:hAnsi="Avenir Book" w:cs="Arial"/>
          <w:b/>
          <w:bCs/>
          <w:color w:val="000000"/>
          <w:kern w:val="0"/>
          <w:sz w:val="22"/>
          <w:szCs w:val="22"/>
          <w14:ligatures w14:val="none"/>
        </w:rPr>
        <w:t>Module-Trait Association:</w:t>
      </w:r>
      <w:r w:rsidRPr="00FD1BAF">
        <w:rPr>
          <w:rFonts w:ascii="Avenir Book" w:eastAsia="Times New Roman" w:hAnsi="Avenir Book" w:cs="Arial"/>
          <w:color w:val="000000"/>
          <w:kern w:val="0"/>
          <w:sz w:val="22"/>
          <w:szCs w:val="22"/>
          <w14:ligatures w14:val="none"/>
        </w:rPr>
        <w:t xml:space="preserve"> Statistical heatmap generation to quantify the exact p-value of hub genes relative to the "Symptomatic" phenotype.</w:t>
      </w:r>
    </w:p>
    <w:p w14:paraId="24CA3201" w14:textId="77777777" w:rsidR="00FD1BAF" w:rsidRPr="00FD1BAF" w:rsidRDefault="00FD1BAF" w:rsidP="00FD1BAF">
      <w:pPr>
        <w:spacing w:after="0" w:line="240" w:lineRule="auto"/>
        <w:rPr>
          <w:rFonts w:ascii="Avenir Book" w:eastAsia="Times New Roman" w:hAnsi="Avenir Book" w:cs="Times New Roman"/>
          <w:kern w:val="0"/>
          <w14:ligatures w14:val="none"/>
        </w:rPr>
      </w:pPr>
    </w:p>
    <w:p w14:paraId="605C6E0D" w14:textId="77777777" w:rsidR="00C42453" w:rsidRPr="00FD1BAF" w:rsidRDefault="00C42453">
      <w:pPr>
        <w:rPr>
          <w:rFonts w:ascii="Avenir Book" w:hAnsi="Avenir Book"/>
        </w:rPr>
      </w:pPr>
    </w:p>
    <w:sectPr w:rsidR="00C42453" w:rsidRPr="00FD1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58D4"/>
    <w:multiLevelType w:val="multilevel"/>
    <w:tmpl w:val="220C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40980"/>
    <w:multiLevelType w:val="multilevel"/>
    <w:tmpl w:val="437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66608"/>
    <w:multiLevelType w:val="multilevel"/>
    <w:tmpl w:val="221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D2C91"/>
    <w:multiLevelType w:val="multilevel"/>
    <w:tmpl w:val="DBF8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C263C"/>
    <w:multiLevelType w:val="multilevel"/>
    <w:tmpl w:val="2038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75200"/>
    <w:multiLevelType w:val="multilevel"/>
    <w:tmpl w:val="232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F0EAE"/>
    <w:multiLevelType w:val="multilevel"/>
    <w:tmpl w:val="9C9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4347C"/>
    <w:multiLevelType w:val="multilevel"/>
    <w:tmpl w:val="4D72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164065">
    <w:abstractNumId w:val="6"/>
  </w:num>
  <w:num w:numId="2" w16cid:durableId="1424573783">
    <w:abstractNumId w:val="7"/>
  </w:num>
  <w:num w:numId="3" w16cid:durableId="1570461180">
    <w:abstractNumId w:val="3"/>
  </w:num>
  <w:num w:numId="4" w16cid:durableId="862285125">
    <w:abstractNumId w:val="5"/>
  </w:num>
  <w:num w:numId="5" w16cid:durableId="1719934621">
    <w:abstractNumId w:val="2"/>
  </w:num>
  <w:num w:numId="6" w16cid:durableId="1477919458">
    <w:abstractNumId w:val="1"/>
  </w:num>
  <w:num w:numId="7" w16cid:durableId="2131438453">
    <w:abstractNumId w:val="0"/>
  </w:num>
  <w:num w:numId="8" w16cid:durableId="173665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AF"/>
    <w:rsid w:val="001E6B6A"/>
    <w:rsid w:val="00356DF9"/>
    <w:rsid w:val="008B70F9"/>
    <w:rsid w:val="00C42453"/>
    <w:rsid w:val="00CC37C3"/>
    <w:rsid w:val="00E23D9E"/>
    <w:rsid w:val="00FD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83A9"/>
  <w15:chartTrackingRefBased/>
  <w15:docId w15:val="{76686587-900D-D04E-9F08-3BCA4FFF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B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553</Words>
  <Characters>3573</Characters>
  <Application>Microsoft Office Word</Application>
  <DocSecurity>0</DocSecurity>
  <Lines>71</Lines>
  <Paragraphs>42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 Sam</dc:creator>
  <cp:keywords/>
  <dc:description/>
  <cp:lastModifiedBy>Ush Sam</cp:lastModifiedBy>
  <cp:revision>1</cp:revision>
  <dcterms:created xsi:type="dcterms:W3CDTF">2026-04-18T13:55:00Z</dcterms:created>
  <dcterms:modified xsi:type="dcterms:W3CDTF">2026-04-18T14:00:00Z</dcterms:modified>
</cp:coreProperties>
</file>