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B3877" w14:textId="77777777" w:rsidR="00862FFE" w:rsidRDefault="00862FFE" w:rsidP="00AE2A04">
      <w:proofErr w:type="spellStart"/>
      <w:r>
        <w:t>Shairoz</w:t>
      </w:r>
      <w:proofErr w:type="spellEnd"/>
      <w:r>
        <w:t xml:space="preserve"> </w:t>
      </w:r>
      <w:proofErr w:type="spellStart"/>
      <w:r>
        <w:t>Sohail</w:t>
      </w:r>
      <w:proofErr w:type="spellEnd"/>
      <w:r>
        <w:t xml:space="preserve"> – ECON 490 Environmental Economics, Buckley B.</w:t>
      </w:r>
    </w:p>
    <w:p w14:paraId="7721F71B" w14:textId="77777777" w:rsidR="00862FFE" w:rsidRDefault="00862FFE" w:rsidP="00AE2A04"/>
    <w:p w14:paraId="6D11CAC1" w14:textId="77777777" w:rsidR="00862FFE" w:rsidRPr="00862FFE" w:rsidRDefault="00862FFE" w:rsidP="00AE2A04">
      <w:pPr>
        <w:rPr>
          <w:sz w:val="32"/>
          <w:szCs w:val="32"/>
        </w:rPr>
      </w:pPr>
      <w:r w:rsidRPr="00862FFE">
        <w:rPr>
          <w:sz w:val="32"/>
          <w:szCs w:val="32"/>
        </w:rPr>
        <w:t xml:space="preserve">The Real State of CO2 Emissions; An Update to </w:t>
      </w:r>
      <w:proofErr w:type="spellStart"/>
      <w:r w:rsidRPr="00862FFE">
        <w:rPr>
          <w:sz w:val="32"/>
          <w:szCs w:val="32"/>
        </w:rPr>
        <w:t>Lomborg</w:t>
      </w:r>
      <w:proofErr w:type="spellEnd"/>
      <w:r w:rsidRPr="00862FFE">
        <w:rPr>
          <w:sz w:val="32"/>
          <w:szCs w:val="32"/>
        </w:rPr>
        <w:t xml:space="preserve"> and Analysis of Current and Future CO2 Emissions</w:t>
      </w:r>
    </w:p>
    <w:p w14:paraId="5E9C495E" w14:textId="77777777" w:rsidR="00862FFE" w:rsidRDefault="00862FFE" w:rsidP="00AE2A04"/>
    <w:p w14:paraId="2CB793B6" w14:textId="77777777" w:rsidR="00AE2A04" w:rsidRDefault="00AE2A04" w:rsidP="00AE2A04">
      <w:r>
        <w:t>Introduction</w:t>
      </w:r>
    </w:p>
    <w:p w14:paraId="19AA6A90" w14:textId="77777777" w:rsidR="00AE2A04" w:rsidRDefault="00AE2A04" w:rsidP="00AE2A04">
      <w:r>
        <w:t xml:space="preserve">In 2000, Bjorn </w:t>
      </w:r>
      <w:proofErr w:type="spellStart"/>
      <w:r>
        <w:t>Lomborg</w:t>
      </w:r>
      <w:proofErr w:type="spellEnd"/>
      <w:r>
        <w:t xml:space="preserve">, an Associate Professor of Statistics at the University of </w:t>
      </w:r>
      <w:proofErr w:type="spellStart"/>
      <w:r>
        <w:t>Aarhaus</w:t>
      </w:r>
      <w:proofErr w:type="spellEnd"/>
      <w:r>
        <w:t xml:space="preserve"> in Denmark, made an effort to collect in-depth statistical analysis of various </w:t>
      </w:r>
      <w:proofErr w:type="spellStart"/>
      <w:r>
        <w:t>enviornmental</w:t>
      </w:r>
      <w:proofErr w:type="spellEnd"/>
      <w:r>
        <w:t xml:space="preserve"> issues along with various interpretations and conclusions and compiled it into a best selling book titled "The Skeptical Environmentalist: Measuring the Real State of the </w:t>
      </w:r>
      <w:proofErr w:type="gramStart"/>
      <w:r>
        <w:t>World</w:t>
      </w:r>
      <w:r w:rsidR="00862FFE" w:rsidRPr="00862FFE">
        <w:rPr>
          <w:vertAlign w:val="superscript"/>
        </w:rPr>
        <w:t>[</w:t>
      </w:r>
      <w:proofErr w:type="gramEnd"/>
      <w:r w:rsidR="00862FFE" w:rsidRPr="00862FFE">
        <w:rPr>
          <w:vertAlign w:val="superscript"/>
        </w:rPr>
        <w:t>6]</w:t>
      </w:r>
      <w:r w:rsidR="00862FFE">
        <w:t xml:space="preserve">. </w:t>
      </w:r>
      <w:r>
        <w:t xml:space="preserve">Among one of the issues touched in the book was the future of CO2 (and other Fossil Fuel) emissions in the context of global warming. </w:t>
      </w:r>
    </w:p>
    <w:p w14:paraId="39C6C7B1" w14:textId="77777777" w:rsidR="00AE2A04" w:rsidRDefault="00AE2A04" w:rsidP="00AE2A04">
      <w:r>
        <w:t>The data is a measurement of CO2 concentrations taken over a period of almost 50 years at various marine measurements sites over the world owned by the Earth System Research Laboratory (ESRL, part of the U.S Department of Commerce). For each site data was collected over the decades on CO2 concentration (in parts per million) and time the measurement is taken. The CO2 amount is measured as a dry mole fraction, or the ratio of CO2 molecules in the air sample to all molecules (after removal of water vapor). According to the ESRL, their methodology is as follows</w:t>
      </w:r>
      <w:proofErr w:type="gramStart"/>
      <w:r>
        <w:t>:  “</w:t>
      </w:r>
      <w:proofErr w:type="gramEnd"/>
      <w:r>
        <w:t>A global average is constructed by first fitting a smoothed curve as a function of time to each site, and then the smoothed value for each site is plotted as a function of latitude for 48 equal time steps per year. A global average is calculated from the latitude plot at each time step”. The finished data set has two columns, one for a time variable with relevant year and one for a continuous-valued carbon dioxide growth rate (in ppm</w:t>
      </w:r>
      <w:proofErr w:type="gramStart"/>
      <w:r>
        <w:t>) .</w:t>
      </w:r>
      <w:proofErr w:type="gramEnd"/>
      <w:r>
        <w:t xml:space="preserve"> PPM is a measure of how many particles CO2 are present in a sample of one million air particles, so a ratio of 0.000402 is listed as 402 ppm. This paper will attempt to update the data used in the book (ranging from 1949 - 2000) into the modern day (2015) and examine whether the trends and conclusions identified by </w:t>
      </w:r>
      <w:proofErr w:type="spellStart"/>
      <w:r>
        <w:t>Lomborg</w:t>
      </w:r>
      <w:proofErr w:type="spellEnd"/>
      <w:r>
        <w:t xml:space="preserve"> still ring true.  Between popular scientists and many news outlets the issue of global warming has become quite well-known to the general public, and while there is little doubt that global climate trends are </w:t>
      </w:r>
      <w:proofErr w:type="gramStart"/>
      <w:r>
        <w:t>shifting</w:t>
      </w:r>
      <w:r w:rsidRPr="00AE2A04">
        <w:rPr>
          <w:vertAlign w:val="superscript"/>
        </w:rPr>
        <w:t>[</w:t>
      </w:r>
      <w:proofErr w:type="gramEnd"/>
      <w:r w:rsidRPr="00AE2A04">
        <w:rPr>
          <w:vertAlign w:val="superscript"/>
        </w:rPr>
        <w:t>1]</w:t>
      </w:r>
      <w:r>
        <w:t xml:space="preserve"> the state of the current situation (compared with history) and future predictions are an area of hot debate . About two in three Americans (71%) beli</w:t>
      </w:r>
      <w:r w:rsidR="0055599A">
        <w:t xml:space="preserve">eve global warming is </w:t>
      </w:r>
      <w:proofErr w:type="gramStart"/>
      <w:r w:rsidR="0055599A">
        <w:t>happening</w:t>
      </w:r>
      <w:r w:rsidR="0055599A" w:rsidRPr="0055599A">
        <w:rPr>
          <w:vertAlign w:val="superscript"/>
        </w:rPr>
        <w:t>[</w:t>
      </w:r>
      <w:proofErr w:type="gramEnd"/>
      <w:r w:rsidR="0055599A" w:rsidRPr="0055599A">
        <w:rPr>
          <w:vertAlign w:val="superscript"/>
        </w:rPr>
        <w:t>2]</w:t>
      </w:r>
      <w:r w:rsidR="0055599A">
        <w:t xml:space="preserve"> </w:t>
      </w:r>
      <w:r>
        <w:t>and this is generall</w:t>
      </w:r>
      <w:r w:rsidR="0055599A">
        <w:t>y supported by climate data</w:t>
      </w:r>
      <w:r>
        <w:t xml:space="preserve">. This data is particularly important at the moment because of the rapidly increasing rate of technology advancement [2], to get a better grip on whether such advancement is adverse for the environment. </w:t>
      </w:r>
    </w:p>
    <w:p w14:paraId="19E79FAE" w14:textId="77777777" w:rsidR="00AE2A04" w:rsidRDefault="00AE2A04" w:rsidP="00AE2A04"/>
    <w:p w14:paraId="65E58989" w14:textId="77777777" w:rsidR="00AE2A04" w:rsidRDefault="00AE2A04" w:rsidP="00AE2A04">
      <w:r>
        <w:t>Original Data</w:t>
      </w:r>
    </w:p>
    <w:p w14:paraId="31DA36DF" w14:textId="77777777" w:rsidR="00AE2A04" w:rsidRDefault="00AE2A04" w:rsidP="00AE2A04">
      <w:r>
        <w:t xml:space="preserve">The source of the original data used by </w:t>
      </w:r>
      <w:proofErr w:type="spellStart"/>
      <w:r>
        <w:t>Lomborg</w:t>
      </w:r>
      <w:proofErr w:type="spellEnd"/>
      <w:r>
        <w:t xml:space="preserve"> </w:t>
      </w:r>
      <w:r w:rsidR="00862FFE">
        <w:t xml:space="preserve">(pg. 279) </w:t>
      </w:r>
      <w:r>
        <w:t xml:space="preserve">is a combination of the same data cited above (CO2 measurements by ESRL) combined with analysis done by the Intergovernmental Panel on Climate Change (IPCC) and conclusions drawn with a paper released by Hansen and Soto in 2000. The data covers a time period from 1851 to 1998 and is available as global data. </w:t>
      </w:r>
      <w:proofErr w:type="spellStart"/>
      <w:r>
        <w:t>Lomborg</w:t>
      </w:r>
      <w:proofErr w:type="spellEnd"/>
      <w:r>
        <w:t xml:space="preserve"> merged the data with measurements of other gases (CFC’s, </w:t>
      </w:r>
      <w:proofErr w:type="gramStart"/>
      <w:r>
        <w:t>Nitrous  Oxide</w:t>
      </w:r>
      <w:proofErr w:type="gramEnd"/>
      <w:r>
        <w:t xml:space="preserve">, and Methane) and scaled the measurements to be in terms of CO2 equivalents (to account for the addition of other gases). </w:t>
      </w:r>
    </w:p>
    <w:p w14:paraId="1B77C448" w14:textId="77777777" w:rsidR="00AE2A04" w:rsidRDefault="00AE2A04" w:rsidP="00AE2A04"/>
    <w:p w14:paraId="5CB1CBA1" w14:textId="77777777" w:rsidR="00AE2A04" w:rsidRDefault="00AE2A04" w:rsidP="00AE2A04"/>
    <w:p w14:paraId="2BDDD8A6" w14:textId="77777777" w:rsidR="00AE2A04" w:rsidRDefault="00AE2A04" w:rsidP="00AE2A04">
      <w:r>
        <w:t>Original Data Interpretation</w:t>
      </w:r>
    </w:p>
    <w:p w14:paraId="78CD2720" w14:textId="77777777" w:rsidR="00AE2A04" w:rsidRDefault="00AE2A04" w:rsidP="00AE2A04">
      <w:proofErr w:type="spellStart"/>
      <w:r>
        <w:t>Lomborg</w:t>
      </w:r>
      <w:proofErr w:type="spellEnd"/>
      <w:r>
        <w:t xml:space="preserve"> thinks the data is important as other explanations of climate change such as the sunspot cycle are not </w:t>
      </w:r>
      <w:r w:rsidR="00862FFE">
        <w:t>adequate</w:t>
      </w:r>
      <w:r>
        <w:t xml:space="preserve"> to explain all variance in global </w:t>
      </w:r>
      <w:r w:rsidR="00862FFE">
        <w:t>temperature</w:t>
      </w:r>
      <w:r>
        <w:t xml:space="preserve">, and there is a confirmed link between greenhouse gas emissions and weather changes. For </w:t>
      </w:r>
      <w:proofErr w:type="spellStart"/>
      <w:r>
        <w:t>Lomborg</w:t>
      </w:r>
      <w:proofErr w:type="spellEnd"/>
      <w:r>
        <w:t xml:space="preserve">, the graph constructed from the </w:t>
      </w:r>
      <w:r w:rsidR="00862FFE">
        <w:t>data is</w:t>
      </w:r>
      <w:r>
        <w:t xml:space="preserve"> used to display the progression of Greenhouse Gas emissions throughout the the last five decades and lay a foundation for presenting IPCC predictions on future emissions in the following few pages. Arguably, the data does serve its purpose in providing a snapshot of how greenhouse gas emission trends have been but does not, by itself, present a good baseline for extrapolation, as noted by </w:t>
      </w:r>
      <w:proofErr w:type="spellStart"/>
      <w:r>
        <w:t>Lomborg</w:t>
      </w:r>
      <w:proofErr w:type="spellEnd"/>
      <w:r>
        <w:t xml:space="preserve"> and the IPCC in their projections.  Since forecasting is better done with data on a process that is largely self-contained and growth or reduction is due to inherent patterns in the consumption or evolution of the system underlying the data, the IPCC has included other data in its projections of future emissions. The IPCC projections have been “set to fit two quantitative targets, population and wealth”. These serve as good proxy variables for many factors that may affect emissions, like industrialization, alternate fuel usage </w:t>
      </w:r>
      <w:proofErr w:type="gramStart"/>
      <w:r>
        <w:t>and .</w:t>
      </w:r>
      <w:proofErr w:type="gramEnd"/>
      <w:r>
        <w:t xml:space="preserve"> There is a trend of increasing emissions in the original data, with large jumps every decade after 1960. This trend may be explained by increases in general industrialization and population of the world. </w:t>
      </w:r>
    </w:p>
    <w:p w14:paraId="7162FA1F" w14:textId="77777777" w:rsidR="00AE2A04" w:rsidRDefault="00AE2A04" w:rsidP="00AE2A04"/>
    <w:p w14:paraId="7D226F12" w14:textId="77777777" w:rsidR="00AE2A04" w:rsidRDefault="00AE2A04" w:rsidP="00AE2A04">
      <w:r>
        <w:t>New Data</w:t>
      </w:r>
    </w:p>
    <w:p w14:paraId="2D0BF077" w14:textId="77777777" w:rsidR="00AE2A04" w:rsidRDefault="00AE2A04" w:rsidP="00AE2A04">
      <w:r>
        <w:t xml:space="preserve">The data used in this paper is simply an update of data used by </w:t>
      </w:r>
      <w:proofErr w:type="spellStart"/>
      <w:r>
        <w:t>Lomborg</w:t>
      </w:r>
      <w:proofErr w:type="spellEnd"/>
      <w:r>
        <w:t xml:space="preserve"> and thus uses the same collection methods and reporting methodologies outlined under the introduction. The update spans a time period of 16 years from where </w:t>
      </w:r>
      <w:proofErr w:type="spellStart"/>
      <w:r>
        <w:t>Lomborg</w:t>
      </w:r>
      <w:proofErr w:type="spellEnd"/>
      <w:r>
        <w:t xml:space="preserve"> leaves off (1998) to the latest available year (2014). Updates span the same regions as original and are reported as global data. In general, the data shows an increasing trend despite their being numerous technological advancements over the period [4]. There </w:t>
      </w:r>
      <w:proofErr w:type="gramStart"/>
      <w:r>
        <w:t>is</w:t>
      </w:r>
      <w:proofErr w:type="gramEnd"/>
      <w:r>
        <w:t xml:space="preserve"> more countries then ever achieving industrialization also, and this may counter the effects of individual countries becoming more environmentally friendly. [5]</w:t>
      </w:r>
    </w:p>
    <w:p w14:paraId="3E14C080" w14:textId="77777777" w:rsidR="00862FFE" w:rsidRDefault="00862FFE" w:rsidP="00AE2A04"/>
    <w:p w14:paraId="3D29BBFA" w14:textId="77777777" w:rsidR="00862FFE" w:rsidRDefault="00862FFE" w:rsidP="00AE2A04">
      <w:r>
        <w:t>The following charts are provided to summarize the findings and provide a general overview of trends described. We provide 3 graphical aids.</w:t>
      </w:r>
    </w:p>
    <w:p w14:paraId="051D389F" w14:textId="77777777" w:rsidR="00862FFE" w:rsidRDefault="00862FFE" w:rsidP="00AE2A04"/>
    <w:p w14:paraId="4D11D439" w14:textId="77777777" w:rsidR="00862FFE" w:rsidRDefault="00862FFE" w:rsidP="00AE2A04">
      <w:r>
        <w:t>(1): Mean Global Temperature and CO2 Emissions carry a 0.78 correlation (out of 1, a perfect correlation). This is indicative of there being a strong (not necessarily causal) relationship between these two things, this chart helps show the general increasing trend in both of these variables throughout the last several decades.</w:t>
      </w:r>
    </w:p>
    <w:p w14:paraId="40076BD8" w14:textId="77777777" w:rsidR="00862FFE" w:rsidRDefault="00862FFE" w:rsidP="00AE2A04"/>
    <w:p w14:paraId="77C10ED6" w14:textId="77777777" w:rsidR="00862FFE" w:rsidRDefault="00862FFE" w:rsidP="00AE2A04">
      <w:r>
        <w:t>(2) CO2 Emissions by Year in PPM: This provides a closer snapshot of the second series in chart 1, showing CO2 Emissions by Year for the last several decades. This chart helps provide a glimpse into the overall variability of CO2 emissions and provides a framework for understanding CO2 Emission changes in accordance with global events that may have occurred during a certain time frame.</w:t>
      </w:r>
    </w:p>
    <w:p w14:paraId="446331FC" w14:textId="77777777" w:rsidR="00862FFE" w:rsidRDefault="00862FFE" w:rsidP="00AE2A04"/>
    <w:p w14:paraId="2C816F55" w14:textId="77777777" w:rsidR="00862FFE" w:rsidRDefault="00862FFE" w:rsidP="00AE2A04">
      <w:r>
        <w:t xml:space="preserve">(3) A collection of significant global metrics and their correlation with the global mean temperature, CO2 emissions and cross-correlations. This is provided for exploratory purposes only and to guide possible future predictive analysis techniques. All data gathered from the World Bank. </w:t>
      </w:r>
    </w:p>
    <w:p w14:paraId="7C98E119" w14:textId="77777777" w:rsidR="00862FFE" w:rsidRDefault="00862FFE" w:rsidP="00AE2A04">
      <w:r>
        <w:rPr>
          <w:noProof/>
        </w:rPr>
        <w:drawing>
          <wp:anchor distT="0" distB="0" distL="114300" distR="114300" simplePos="0" relativeHeight="251658240" behindDoc="0" locked="0" layoutInCell="1" allowOverlap="1" wp14:anchorId="2A38F0C8" wp14:editId="6579E4E6">
            <wp:simplePos x="0" y="0"/>
            <wp:positionH relativeFrom="column">
              <wp:posOffset>-62865</wp:posOffset>
            </wp:positionH>
            <wp:positionV relativeFrom="paragraph">
              <wp:posOffset>3189605</wp:posOffset>
            </wp:positionV>
            <wp:extent cx="6057265" cy="3268980"/>
            <wp:effectExtent l="0" t="0" r="0" b="762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rPr>
          <w:noProof/>
        </w:rPr>
        <w:drawing>
          <wp:inline distT="0" distB="0" distL="0" distR="0" wp14:anchorId="6C9E88DF" wp14:editId="18F5D6AA">
            <wp:extent cx="5995035" cy="3142782"/>
            <wp:effectExtent l="0" t="0" r="0"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0007864" w14:textId="77777777" w:rsidR="00862FFE" w:rsidRDefault="00862FFE" w:rsidP="00AE2A04"/>
    <w:p w14:paraId="7D1754FD" w14:textId="77777777" w:rsidR="00862FFE" w:rsidRDefault="00862FFE" w:rsidP="00AE2A04"/>
    <w:p w14:paraId="032464C0" w14:textId="77777777" w:rsidR="00862FFE" w:rsidRDefault="00862FFE" w:rsidP="00AE2A04"/>
    <w:p w14:paraId="2639D086" w14:textId="77777777" w:rsidR="00862FFE" w:rsidRDefault="00862FFE" w:rsidP="00AE2A04"/>
    <w:p w14:paraId="1301760F" w14:textId="77777777" w:rsidR="00862FFE" w:rsidRDefault="00862FFE" w:rsidP="00AE2A04"/>
    <w:p w14:paraId="3A1ACB9B" w14:textId="77777777" w:rsidR="00EF2693" w:rsidRDefault="00EF2693" w:rsidP="00AE2A04"/>
    <w:p w14:paraId="3101CEF4" w14:textId="77777777" w:rsidR="001F3FFA" w:rsidRDefault="001F3FFA" w:rsidP="00AE2A04"/>
    <w:p w14:paraId="2D6D31B8" w14:textId="77777777" w:rsidR="00862FFE" w:rsidRDefault="00862FFE" w:rsidP="00AE2A04"/>
    <w:p w14:paraId="511939D5" w14:textId="77777777" w:rsidR="00862FFE" w:rsidRDefault="00862FFE" w:rsidP="00862FFE"/>
    <w:p w14:paraId="4FCC7FFD" w14:textId="77777777" w:rsidR="00862FFE" w:rsidRDefault="00862FFE"/>
    <w:p w14:paraId="7356DE0E" w14:textId="77777777" w:rsidR="00862FFE" w:rsidRDefault="00862FFE" w:rsidP="00AE2A04"/>
    <w:p w14:paraId="6691B46C" w14:textId="77777777" w:rsidR="00862FFE" w:rsidRDefault="00862FFE" w:rsidP="00AE2A04"/>
    <w:p w14:paraId="7EC37E74" w14:textId="77777777" w:rsidR="00862FFE" w:rsidRDefault="00862FFE">
      <w:r>
        <w:br w:type="page"/>
      </w:r>
    </w:p>
    <w:tbl>
      <w:tblPr>
        <w:tblpPr w:leftFromText="180" w:rightFromText="180" w:vertAnchor="page" w:horzAnchor="page" w:tblpX="1630" w:tblpY="4145"/>
        <w:tblW w:w="8897" w:type="dxa"/>
        <w:tblLook w:val="04A0" w:firstRow="1" w:lastRow="0" w:firstColumn="1" w:lastColumn="0" w:noHBand="0" w:noVBand="1"/>
      </w:tblPr>
      <w:tblGrid>
        <w:gridCol w:w="2966"/>
        <w:gridCol w:w="659"/>
        <w:gridCol w:w="659"/>
        <w:gridCol w:w="659"/>
        <w:gridCol w:w="659"/>
        <w:gridCol w:w="659"/>
        <w:gridCol w:w="659"/>
        <w:gridCol w:w="659"/>
        <w:gridCol w:w="659"/>
        <w:gridCol w:w="659"/>
      </w:tblGrid>
      <w:tr w:rsidR="00862FFE" w:rsidRPr="00862FFE" w14:paraId="75BA1AA7" w14:textId="77777777" w:rsidTr="00862FFE">
        <w:trPr>
          <w:trHeight w:val="384"/>
        </w:trPr>
        <w:tc>
          <w:tcPr>
            <w:tcW w:w="2966" w:type="dxa"/>
            <w:tcBorders>
              <w:top w:val="single" w:sz="4" w:space="0" w:color="auto"/>
              <w:left w:val="single" w:sz="4" w:space="0" w:color="auto"/>
              <w:bottom w:val="double" w:sz="6" w:space="0" w:color="3F3F3F"/>
              <w:right w:val="double" w:sz="6" w:space="0" w:color="3F3F3F"/>
            </w:tcBorders>
            <w:shd w:val="clear" w:color="000000" w:fill="A5A5A5"/>
            <w:noWrap/>
            <w:vAlign w:val="bottom"/>
            <w:hideMark/>
          </w:tcPr>
          <w:p w14:paraId="2CD72592" w14:textId="77777777" w:rsidR="00862FFE" w:rsidRPr="00862FFE" w:rsidRDefault="00862FFE" w:rsidP="00862FFE">
            <w:pPr>
              <w:rPr>
                <w:rFonts w:ascii="Calibri" w:eastAsia="Times New Roman" w:hAnsi="Calibri" w:cs="Times New Roman"/>
                <w:b/>
                <w:bCs/>
                <w:color w:val="FFFFFF"/>
              </w:rPr>
            </w:pPr>
            <w:r w:rsidRPr="00862FFE">
              <w:rPr>
                <w:rFonts w:ascii="Calibri" w:eastAsia="Times New Roman" w:hAnsi="Calibri" w:cs="Times New Roman"/>
                <w:b/>
                <w:bCs/>
                <w:color w:val="FFFFFF"/>
              </w:rPr>
              <w:t> </w:t>
            </w:r>
          </w:p>
        </w:tc>
        <w:tc>
          <w:tcPr>
            <w:tcW w:w="659"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4C92E93" w14:textId="77777777" w:rsidR="00862FFE" w:rsidRPr="00862FFE" w:rsidRDefault="00862FFE" w:rsidP="00862FFE">
            <w:pPr>
              <w:jc w:val="center"/>
              <w:rPr>
                <w:rFonts w:ascii="Calibri" w:eastAsia="Times New Roman" w:hAnsi="Calibri" w:cs="Times New Roman"/>
                <w:color w:val="FFFFFF"/>
              </w:rPr>
            </w:pPr>
            <w:r w:rsidRPr="00862FFE">
              <w:rPr>
                <w:rFonts w:ascii="Calibri" w:eastAsia="Times New Roman" w:hAnsi="Calibri" w:cs="Times New Roman"/>
                <w:color w:val="FFFFFF"/>
              </w:rPr>
              <w:t>A</w:t>
            </w:r>
          </w:p>
        </w:tc>
        <w:tc>
          <w:tcPr>
            <w:tcW w:w="659" w:type="dxa"/>
            <w:tcBorders>
              <w:top w:val="single" w:sz="4" w:space="0" w:color="auto"/>
              <w:left w:val="nil"/>
              <w:bottom w:val="single" w:sz="4" w:space="0" w:color="auto"/>
              <w:right w:val="single" w:sz="4" w:space="0" w:color="auto"/>
            </w:tcBorders>
            <w:shd w:val="clear" w:color="000000" w:fill="9BC2E6"/>
            <w:noWrap/>
            <w:vAlign w:val="bottom"/>
            <w:hideMark/>
          </w:tcPr>
          <w:p w14:paraId="450CA3C1" w14:textId="77777777" w:rsidR="00862FFE" w:rsidRPr="00862FFE" w:rsidRDefault="00862FFE" w:rsidP="00862FFE">
            <w:pPr>
              <w:jc w:val="center"/>
              <w:rPr>
                <w:rFonts w:ascii="Calibri" w:eastAsia="Times New Roman" w:hAnsi="Calibri" w:cs="Times New Roman"/>
                <w:color w:val="FFFFFF"/>
              </w:rPr>
            </w:pPr>
            <w:r w:rsidRPr="00862FFE">
              <w:rPr>
                <w:rFonts w:ascii="Calibri" w:eastAsia="Times New Roman" w:hAnsi="Calibri" w:cs="Times New Roman"/>
                <w:color w:val="FFFFFF"/>
              </w:rPr>
              <w:t>B</w:t>
            </w:r>
          </w:p>
        </w:tc>
        <w:tc>
          <w:tcPr>
            <w:tcW w:w="659" w:type="dxa"/>
            <w:tcBorders>
              <w:top w:val="single" w:sz="4" w:space="0" w:color="auto"/>
              <w:left w:val="nil"/>
              <w:bottom w:val="single" w:sz="4" w:space="0" w:color="auto"/>
              <w:right w:val="single" w:sz="4" w:space="0" w:color="auto"/>
            </w:tcBorders>
            <w:shd w:val="clear" w:color="000000" w:fill="9BC2E6"/>
            <w:noWrap/>
            <w:vAlign w:val="bottom"/>
            <w:hideMark/>
          </w:tcPr>
          <w:p w14:paraId="10F3019A" w14:textId="77777777" w:rsidR="00862FFE" w:rsidRPr="00862FFE" w:rsidRDefault="00862FFE" w:rsidP="00862FFE">
            <w:pPr>
              <w:jc w:val="center"/>
              <w:rPr>
                <w:rFonts w:ascii="Calibri" w:eastAsia="Times New Roman" w:hAnsi="Calibri" w:cs="Times New Roman"/>
                <w:color w:val="FFFFFF"/>
              </w:rPr>
            </w:pPr>
            <w:r w:rsidRPr="00862FFE">
              <w:rPr>
                <w:rFonts w:ascii="Calibri" w:eastAsia="Times New Roman" w:hAnsi="Calibri" w:cs="Times New Roman"/>
                <w:color w:val="FFFFFF"/>
              </w:rPr>
              <w:t>C</w:t>
            </w:r>
          </w:p>
        </w:tc>
        <w:tc>
          <w:tcPr>
            <w:tcW w:w="659" w:type="dxa"/>
            <w:tcBorders>
              <w:top w:val="single" w:sz="4" w:space="0" w:color="auto"/>
              <w:left w:val="nil"/>
              <w:bottom w:val="single" w:sz="4" w:space="0" w:color="auto"/>
              <w:right w:val="single" w:sz="4" w:space="0" w:color="auto"/>
            </w:tcBorders>
            <w:shd w:val="clear" w:color="000000" w:fill="9BC2E6"/>
            <w:noWrap/>
            <w:vAlign w:val="bottom"/>
            <w:hideMark/>
          </w:tcPr>
          <w:p w14:paraId="5591264B" w14:textId="77777777" w:rsidR="00862FFE" w:rsidRPr="00862FFE" w:rsidRDefault="00862FFE" w:rsidP="00862FFE">
            <w:pPr>
              <w:jc w:val="center"/>
              <w:rPr>
                <w:rFonts w:ascii="Calibri" w:eastAsia="Times New Roman" w:hAnsi="Calibri" w:cs="Times New Roman"/>
                <w:color w:val="FFFFFF"/>
              </w:rPr>
            </w:pPr>
            <w:r w:rsidRPr="00862FFE">
              <w:rPr>
                <w:rFonts w:ascii="Calibri" w:eastAsia="Times New Roman" w:hAnsi="Calibri" w:cs="Times New Roman"/>
                <w:color w:val="FFFFFF"/>
              </w:rPr>
              <w:t>D</w:t>
            </w:r>
          </w:p>
        </w:tc>
        <w:tc>
          <w:tcPr>
            <w:tcW w:w="659" w:type="dxa"/>
            <w:tcBorders>
              <w:top w:val="single" w:sz="4" w:space="0" w:color="auto"/>
              <w:left w:val="nil"/>
              <w:bottom w:val="single" w:sz="4" w:space="0" w:color="auto"/>
              <w:right w:val="single" w:sz="4" w:space="0" w:color="auto"/>
            </w:tcBorders>
            <w:shd w:val="clear" w:color="000000" w:fill="9BC2E6"/>
            <w:noWrap/>
            <w:vAlign w:val="bottom"/>
            <w:hideMark/>
          </w:tcPr>
          <w:p w14:paraId="3C76F1AC" w14:textId="77777777" w:rsidR="00862FFE" w:rsidRPr="00862FFE" w:rsidRDefault="00862FFE" w:rsidP="00862FFE">
            <w:pPr>
              <w:jc w:val="center"/>
              <w:rPr>
                <w:rFonts w:ascii="Calibri" w:eastAsia="Times New Roman" w:hAnsi="Calibri" w:cs="Times New Roman"/>
                <w:color w:val="FFFFFF"/>
              </w:rPr>
            </w:pPr>
            <w:r w:rsidRPr="00862FFE">
              <w:rPr>
                <w:rFonts w:ascii="Calibri" w:eastAsia="Times New Roman" w:hAnsi="Calibri" w:cs="Times New Roman"/>
                <w:color w:val="FFFFFF"/>
              </w:rPr>
              <w:t>E</w:t>
            </w:r>
          </w:p>
        </w:tc>
        <w:tc>
          <w:tcPr>
            <w:tcW w:w="659" w:type="dxa"/>
            <w:tcBorders>
              <w:top w:val="single" w:sz="4" w:space="0" w:color="auto"/>
              <w:left w:val="nil"/>
              <w:bottom w:val="single" w:sz="4" w:space="0" w:color="auto"/>
              <w:right w:val="single" w:sz="4" w:space="0" w:color="auto"/>
            </w:tcBorders>
            <w:shd w:val="clear" w:color="000000" w:fill="9BC2E6"/>
            <w:noWrap/>
            <w:vAlign w:val="bottom"/>
            <w:hideMark/>
          </w:tcPr>
          <w:p w14:paraId="3A2238F0" w14:textId="77777777" w:rsidR="00862FFE" w:rsidRPr="00862FFE" w:rsidRDefault="00862FFE" w:rsidP="00862FFE">
            <w:pPr>
              <w:jc w:val="center"/>
              <w:rPr>
                <w:rFonts w:ascii="Calibri" w:eastAsia="Times New Roman" w:hAnsi="Calibri" w:cs="Times New Roman"/>
                <w:color w:val="FFFFFF"/>
              </w:rPr>
            </w:pPr>
            <w:r w:rsidRPr="00862FFE">
              <w:rPr>
                <w:rFonts w:ascii="Calibri" w:eastAsia="Times New Roman" w:hAnsi="Calibri" w:cs="Times New Roman"/>
                <w:color w:val="FFFFFF"/>
              </w:rPr>
              <w:t>F</w:t>
            </w:r>
          </w:p>
        </w:tc>
        <w:tc>
          <w:tcPr>
            <w:tcW w:w="659" w:type="dxa"/>
            <w:tcBorders>
              <w:top w:val="single" w:sz="4" w:space="0" w:color="auto"/>
              <w:left w:val="nil"/>
              <w:bottom w:val="single" w:sz="4" w:space="0" w:color="auto"/>
              <w:right w:val="single" w:sz="4" w:space="0" w:color="auto"/>
            </w:tcBorders>
            <w:shd w:val="clear" w:color="000000" w:fill="9BC2E6"/>
            <w:noWrap/>
            <w:vAlign w:val="bottom"/>
            <w:hideMark/>
          </w:tcPr>
          <w:p w14:paraId="4DEF26C7" w14:textId="77777777" w:rsidR="00862FFE" w:rsidRPr="00862FFE" w:rsidRDefault="00862FFE" w:rsidP="00862FFE">
            <w:pPr>
              <w:jc w:val="center"/>
              <w:rPr>
                <w:rFonts w:ascii="Calibri" w:eastAsia="Times New Roman" w:hAnsi="Calibri" w:cs="Times New Roman"/>
                <w:color w:val="FFFFFF"/>
              </w:rPr>
            </w:pPr>
            <w:r w:rsidRPr="00862FFE">
              <w:rPr>
                <w:rFonts w:ascii="Calibri" w:eastAsia="Times New Roman" w:hAnsi="Calibri" w:cs="Times New Roman"/>
                <w:color w:val="FFFFFF"/>
              </w:rPr>
              <w:t>G</w:t>
            </w:r>
          </w:p>
        </w:tc>
        <w:tc>
          <w:tcPr>
            <w:tcW w:w="659" w:type="dxa"/>
            <w:tcBorders>
              <w:top w:val="single" w:sz="4" w:space="0" w:color="auto"/>
              <w:left w:val="nil"/>
              <w:bottom w:val="single" w:sz="4" w:space="0" w:color="auto"/>
              <w:right w:val="single" w:sz="4" w:space="0" w:color="auto"/>
            </w:tcBorders>
            <w:shd w:val="clear" w:color="000000" w:fill="9BC2E6"/>
            <w:noWrap/>
            <w:vAlign w:val="bottom"/>
            <w:hideMark/>
          </w:tcPr>
          <w:p w14:paraId="6AAF8718" w14:textId="77777777" w:rsidR="00862FFE" w:rsidRPr="00862FFE" w:rsidRDefault="00862FFE" w:rsidP="00862FFE">
            <w:pPr>
              <w:jc w:val="center"/>
              <w:rPr>
                <w:rFonts w:ascii="Calibri" w:eastAsia="Times New Roman" w:hAnsi="Calibri" w:cs="Times New Roman"/>
                <w:color w:val="FFFFFF"/>
              </w:rPr>
            </w:pPr>
            <w:r w:rsidRPr="00862FFE">
              <w:rPr>
                <w:rFonts w:ascii="Calibri" w:eastAsia="Times New Roman" w:hAnsi="Calibri" w:cs="Times New Roman"/>
                <w:color w:val="FFFFFF"/>
              </w:rPr>
              <w:t>H</w:t>
            </w:r>
          </w:p>
        </w:tc>
        <w:tc>
          <w:tcPr>
            <w:tcW w:w="659" w:type="dxa"/>
            <w:tcBorders>
              <w:top w:val="single" w:sz="4" w:space="0" w:color="auto"/>
              <w:left w:val="nil"/>
              <w:bottom w:val="single" w:sz="4" w:space="0" w:color="auto"/>
              <w:right w:val="single" w:sz="4" w:space="0" w:color="auto"/>
            </w:tcBorders>
            <w:shd w:val="clear" w:color="000000" w:fill="9BC2E6"/>
            <w:noWrap/>
            <w:vAlign w:val="bottom"/>
            <w:hideMark/>
          </w:tcPr>
          <w:p w14:paraId="6ADE85A6" w14:textId="77777777" w:rsidR="00862FFE" w:rsidRPr="00862FFE" w:rsidRDefault="00862FFE" w:rsidP="00862FFE">
            <w:pPr>
              <w:jc w:val="center"/>
              <w:rPr>
                <w:rFonts w:ascii="Calibri" w:eastAsia="Times New Roman" w:hAnsi="Calibri" w:cs="Times New Roman"/>
                <w:color w:val="FFFFFF"/>
              </w:rPr>
            </w:pPr>
            <w:r w:rsidRPr="00862FFE">
              <w:rPr>
                <w:rFonts w:ascii="Calibri" w:eastAsia="Times New Roman" w:hAnsi="Calibri" w:cs="Times New Roman"/>
                <w:color w:val="FFFFFF"/>
              </w:rPr>
              <w:t>I</w:t>
            </w:r>
          </w:p>
        </w:tc>
      </w:tr>
      <w:tr w:rsidR="00862FFE" w:rsidRPr="00862FFE" w14:paraId="546CF2B4" w14:textId="77777777" w:rsidTr="00862FFE">
        <w:trPr>
          <w:trHeight w:val="384"/>
        </w:trPr>
        <w:tc>
          <w:tcPr>
            <w:tcW w:w="2966" w:type="dxa"/>
            <w:tcBorders>
              <w:top w:val="nil"/>
              <w:left w:val="single" w:sz="4" w:space="0" w:color="auto"/>
              <w:bottom w:val="single" w:sz="4" w:space="0" w:color="7F7F7F"/>
              <w:right w:val="single" w:sz="4" w:space="0" w:color="7F7F7F"/>
            </w:tcBorders>
            <w:shd w:val="clear" w:color="000000" w:fill="FFCC99"/>
            <w:noWrap/>
            <w:vAlign w:val="bottom"/>
            <w:hideMark/>
          </w:tcPr>
          <w:p w14:paraId="7F9D617D" w14:textId="77777777" w:rsidR="00862FFE" w:rsidRPr="00862FFE" w:rsidRDefault="00862FFE" w:rsidP="00862FFE">
            <w:pPr>
              <w:rPr>
                <w:rFonts w:ascii="Calibri" w:eastAsia="Times New Roman" w:hAnsi="Calibri" w:cs="Times New Roman"/>
                <w:color w:val="3F3F76"/>
              </w:rPr>
            </w:pPr>
            <w:r w:rsidRPr="00862FFE">
              <w:rPr>
                <w:rFonts w:ascii="Calibri" w:eastAsia="Times New Roman" w:hAnsi="Calibri" w:cs="Times New Roman"/>
                <w:color w:val="3F3F76"/>
              </w:rPr>
              <w:t>A</w:t>
            </w:r>
          </w:p>
        </w:tc>
        <w:tc>
          <w:tcPr>
            <w:tcW w:w="659" w:type="dxa"/>
            <w:tcBorders>
              <w:top w:val="nil"/>
              <w:left w:val="nil"/>
              <w:bottom w:val="nil"/>
              <w:right w:val="nil"/>
            </w:tcBorders>
            <w:shd w:val="clear" w:color="000000" w:fill="F8696B"/>
            <w:noWrap/>
            <w:vAlign w:val="bottom"/>
            <w:hideMark/>
          </w:tcPr>
          <w:p w14:paraId="53B1FD1B"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1.00</w:t>
            </w:r>
          </w:p>
        </w:tc>
        <w:tc>
          <w:tcPr>
            <w:tcW w:w="659" w:type="dxa"/>
            <w:tcBorders>
              <w:top w:val="nil"/>
              <w:left w:val="nil"/>
              <w:bottom w:val="nil"/>
              <w:right w:val="nil"/>
            </w:tcBorders>
            <w:shd w:val="clear" w:color="auto" w:fill="auto"/>
            <w:noWrap/>
            <w:vAlign w:val="bottom"/>
            <w:hideMark/>
          </w:tcPr>
          <w:p w14:paraId="6E47E905" w14:textId="77777777" w:rsidR="00862FFE" w:rsidRPr="00862FFE" w:rsidRDefault="00862FFE" w:rsidP="00862FFE">
            <w:pPr>
              <w:jc w:val="right"/>
              <w:rPr>
                <w:rFonts w:ascii="Calibri" w:eastAsia="Times New Roman" w:hAnsi="Calibri" w:cs="Times New Roman"/>
                <w:color w:val="000000"/>
              </w:rPr>
            </w:pPr>
          </w:p>
        </w:tc>
        <w:tc>
          <w:tcPr>
            <w:tcW w:w="659" w:type="dxa"/>
            <w:tcBorders>
              <w:top w:val="nil"/>
              <w:left w:val="nil"/>
              <w:bottom w:val="nil"/>
              <w:right w:val="nil"/>
            </w:tcBorders>
            <w:shd w:val="clear" w:color="auto" w:fill="auto"/>
            <w:noWrap/>
            <w:vAlign w:val="bottom"/>
            <w:hideMark/>
          </w:tcPr>
          <w:p w14:paraId="57C35A74"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7C71F4DF"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3ACBFBF5"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3E8DC40A"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5FA68BE6"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1351CF59"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single" w:sz="4" w:space="0" w:color="auto"/>
            </w:tcBorders>
            <w:shd w:val="clear" w:color="auto" w:fill="auto"/>
            <w:noWrap/>
            <w:vAlign w:val="bottom"/>
            <w:hideMark/>
          </w:tcPr>
          <w:p w14:paraId="448C462D"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r>
      <w:tr w:rsidR="00862FFE" w:rsidRPr="00862FFE" w14:paraId="209751B1" w14:textId="77777777" w:rsidTr="00862FFE">
        <w:trPr>
          <w:trHeight w:val="361"/>
        </w:trPr>
        <w:tc>
          <w:tcPr>
            <w:tcW w:w="2966" w:type="dxa"/>
            <w:tcBorders>
              <w:top w:val="nil"/>
              <w:left w:val="single" w:sz="4" w:space="0" w:color="auto"/>
              <w:bottom w:val="single" w:sz="4" w:space="0" w:color="7F7F7F"/>
              <w:right w:val="single" w:sz="4" w:space="0" w:color="7F7F7F"/>
            </w:tcBorders>
            <w:shd w:val="clear" w:color="000000" w:fill="FFCC99"/>
            <w:noWrap/>
            <w:vAlign w:val="bottom"/>
            <w:hideMark/>
          </w:tcPr>
          <w:p w14:paraId="72A7D2BB" w14:textId="77777777" w:rsidR="00862FFE" w:rsidRPr="00862FFE" w:rsidRDefault="00862FFE" w:rsidP="00862FFE">
            <w:pPr>
              <w:rPr>
                <w:rFonts w:ascii="Calibri" w:eastAsia="Times New Roman" w:hAnsi="Calibri" w:cs="Times New Roman"/>
                <w:color w:val="3F3F76"/>
              </w:rPr>
            </w:pPr>
            <w:r w:rsidRPr="00862FFE">
              <w:rPr>
                <w:rFonts w:ascii="Calibri" w:eastAsia="Times New Roman" w:hAnsi="Calibri" w:cs="Times New Roman"/>
                <w:color w:val="3F3F76"/>
              </w:rPr>
              <w:t>B</w:t>
            </w:r>
          </w:p>
        </w:tc>
        <w:tc>
          <w:tcPr>
            <w:tcW w:w="659" w:type="dxa"/>
            <w:tcBorders>
              <w:top w:val="nil"/>
              <w:left w:val="nil"/>
              <w:bottom w:val="nil"/>
              <w:right w:val="nil"/>
            </w:tcBorders>
            <w:shd w:val="clear" w:color="000000" w:fill="FA8F91"/>
            <w:noWrap/>
            <w:vAlign w:val="bottom"/>
            <w:hideMark/>
          </w:tcPr>
          <w:p w14:paraId="2B4C4CFE"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0.80</w:t>
            </w:r>
          </w:p>
        </w:tc>
        <w:tc>
          <w:tcPr>
            <w:tcW w:w="659" w:type="dxa"/>
            <w:tcBorders>
              <w:top w:val="nil"/>
              <w:left w:val="nil"/>
              <w:bottom w:val="nil"/>
              <w:right w:val="nil"/>
            </w:tcBorders>
            <w:shd w:val="clear" w:color="000000" w:fill="F8696B"/>
            <w:noWrap/>
            <w:vAlign w:val="bottom"/>
            <w:hideMark/>
          </w:tcPr>
          <w:p w14:paraId="293265E5"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1.00</w:t>
            </w:r>
          </w:p>
        </w:tc>
        <w:tc>
          <w:tcPr>
            <w:tcW w:w="659" w:type="dxa"/>
            <w:tcBorders>
              <w:top w:val="nil"/>
              <w:left w:val="nil"/>
              <w:bottom w:val="nil"/>
              <w:right w:val="nil"/>
            </w:tcBorders>
            <w:shd w:val="clear" w:color="auto" w:fill="auto"/>
            <w:noWrap/>
            <w:vAlign w:val="bottom"/>
            <w:hideMark/>
          </w:tcPr>
          <w:p w14:paraId="0D7BCFD2" w14:textId="77777777" w:rsidR="00862FFE" w:rsidRPr="00862FFE" w:rsidRDefault="00862FFE" w:rsidP="00862FFE">
            <w:pPr>
              <w:jc w:val="right"/>
              <w:rPr>
                <w:rFonts w:ascii="Calibri" w:eastAsia="Times New Roman" w:hAnsi="Calibri" w:cs="Times New Roman"/>
                <w:color w:val="000000"/>
              </w:rPr>
            </w:pPr>
          </w:p>
        </w:tc>
        <w:tc>
          <w:tcPr>
            <w:tcW w:w="659" w:type="dxa"/>
            <w:tcBorders>
              <w:top w:val="nil"/>
              <w:left w:val="nil"/>
              <w:bottom w:val="nil"/>
              <w:right w:val="nil"/>
            </w:tcBorders>
            <w:shd w:val="clear" w:color="auto" w:fill="auto"/>
            <w:noWrap/>
            <w:vAlign w:val="bottom"/>
            <w:hideMark/>
          </w:tcPr>
          <w:p w14:paraId="61E065A8"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78A8CAF9"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7E7FB6B4"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04910829"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4AF2CE9B"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single" w:sz="4" w:space="0" w:color="auto"/>
            </w:tcBorders>
            <w:shd w:val="clear" w:color="auto" w:fill="auto"/>
            <w:noWrap/>
            <w:vAlign w:val="bottom"/>
            <w:hideMark/>
          </w:tcPr>
          <w:p w14:paraId="5FECF59C"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r>
      <w:tr w:rsidR="00862FFE" w:rsidRPr="00862FFE" w14:paraId="6E4EFC31" w14:textId="77777777" w:rsidTr="00862FFE">
        <w:trPr>
          <w:trHeight w:val="361"/>
        </w:trPr>
        <w:tc>
          <w:tcPr>
            <w:tcW w:w="2966" w:type="dxa"/>
            <w:tcBorders>
              <w:top w:val="nil"/>
              <w:left w:val="single" w:sz="4" w:space="0" w:color="auto"/>
              <w:bottom w:val="single" w:sz="4" w:space="0" w:color="7F7F7F"/>
              <w:right w:val="single" w:sz="4" w:space="0" w:color="7F7F7F"/>
            </w:tcBorders>
            <w:shd w:val="clear" w:color="000000" w:fill="FFCC99"/>
            <w:noWrap/>
            <w:vAlign w:val="bottom"/>
            <w:hideMark/>
          </w:tcPr>
          <w:p w14:paraId="6825BBFB" w14:textId="77777777" w:rsidR="00862FFE" w:rsidRPr="00862FFE" w:rsidRDefault="00862FFE" w:rsidP="00862FFE">
            <w:pPr>
              <w:rPr>
                <w:rFonts w:ascii="Calibri" w:eastAsia="Times New Roman" w:hAnsi="Calibri" w:cs="Times New Roman"/>
                <w:color w:val="3F3F76"/>
              </w:rPr>
            </w:pPr>
            <w:r w:rsidRPr="00862FFE">
              <w:rPr>
                <w:rFonts w:ascii="Calibri" w:eastAsia="Times New Roman" w:hAnsi="Calibri" w:cs="Times New Roman"/>
                <w:color w:val="3F3F76"/>
              </w:rPr>
              <w:t>C</w:t>
            </w:r>
          </w:p>
        </w:tc>
        <w:tc>
          <w:tcPr>
            <w:tcW w:w="659" w:type="dxa"/>
            <w:tcBorders>
              <w:top w:val="nil"/>
              <w:left w:val="nil"/>
              <w:bottom w:val="nil"/>
              <w:right w:val="nil"/>
            </w:tcBorders>
            <w:shd w:val="clear" w:color="000000" w:fill="FA9395"/>
            <w:noWrap/>
            <w:vAlign w:val="bottom"/>
            <w:hideMark/>
          </w:tcPr>
          <w:p w14:paraId="0AA96D5F"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0.78</w:t>
            </w:r>
          </w:p>
        </w:tc>
        <w:tc>
          <w:tcPr>
            <w:tcW w:w="659" w:type="dxa"/>
            <w:tcBorders>
              <w:top w:val="nil"/>
              <w:left w:val="nil"/>
              <w:bottom w:val="nil"/>
              <w:right w:val="nil"/>
            </w:tcBorders>
            <w:shd w:val="clear" w:color="000000" w:fill="FBC0C3"/>
            <w:noWrap/>
            <w:vAlign w:val="bottom"/>
            <w:hideMark/>
          </w:tcPr>
          <w:p w14:paraId="20D5792E"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0.53</w:t>
            </w:r>
          </w:p>
        </w:tc>
        <w:tc>
          <w:tcPr>
            <w:tcW w:w="659" w:type="dxa"/>
            <w:tcBorders>
              <w:top w:val="nil"/>
              <w:left w:val="nil"/>
              <w:bottom w:val="nil"/>
              <w:right w:val="nil"/>
            </w:tcBorders>
            <w:shd w:val="clear" w:color="000000" w:fill="F8696B"/>
            <w:noWrap/>
            <w:vAlign w:val="bottom"/>
            <w:hideMark/>
          </w:tcPr>
          <w:p w14:paraId="38969EDF"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1.00</w:t>
            </w:r>
          </w:p>
        </w:tc>
        <w:tc>
          <w:tcPr>
            <w:tcW w:w="659" w:type="dxa"/>
            <w:tcBorders>
              <w:top w:val="nil"/>
              <w:left w:val="nil"/>
              <w:bottom w:val="nil"/>
              <w:right w:val="nil"/>
            </w:tcBorders>
            <w:shd w:val="clear" w:color="auto" w:fill="auto"/>
            <w:noWrap/>
            <w:vAlign w:val="bottom"/>
            <w:hideMark/>
          </w:tcPr>
          <w:p w14:paraId="05599D98" w14:textId="77777777" w:rsidR="00862FFE" w:rsidRPr="00862FFE" w:rsidRDefault="00862FFE" w:rsidP="00862FFE">
            <w:pPr>
              <w:jc w:val="right"/>
              <w:rPr>
                <w:rFonts w:ascii="Calibri" w:eastAsia="Times New Roman" w:hAnsi="Calibri" w:cs="Times New Roman"/>
                <w:color w:val="000000"/>
              </w:rPr>
            </w:pPr>
          </w:p>
        </w:tc>
        <w:tc>
          <w:tcPr>
            <w:tcW w:w="659" w:type="dxa"/>
            <w:tcBorders>
              <w:top w:val="nil"/>
              <w:left w:val="nil"/>
              <w:bottom w:val="nil"/>
              <w:right w:val="nil"/>
            </w:tcBorders>
            <w:shd w:val="clear" w:color="auto" w:fill="auto"/>
            <w:noWrap/>
            <w:vAlign w:val="bottom"/>
            <w:hideMark/>
          </w:tcPr>
          <w:p w14:paraId="59FF75C2"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38556D64"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40526DF8"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3551985D"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single" w:sz="4" w:space="0" w:color="auto"/>
            </w:tcBorders>
            <w:shd w:val="clear" w:color="auto" w:fill="auto"/>
            <w:noWrap/>
            <w:vAlign w:val="bottom"/>
            <w:hideMark/>
          </w:tcPr>
          <w:p w14:paraId="164EF663"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r>
      <w:tr w:rsidR="00862FFE" w:rsidRPr="00862FFE" w14:paraId="6FC4A30A" w14:textId="77777777" w:rsidTr="00862FFE">
        <w:trPr>
          <w:trHeight w:val="361"/>
        </w:trPr>
        <w:tc>
          <w:tcPr>
            <w:tcW w:w="2966" w:type="dxa"/>
            <w:tcBorders>
              <w:top w:val="nil"/>
              <w:left w:val="single" w:sz="4" w:space="0" w:color="auto"/>
              <w:bottom w:val="single" w:sz="4" w:space="0" w:color="7F7F7F"/>
              <w:right w:val="single" w:sz="4" w:space="0" w:color="7F7F7F"/>
            </w:tcBorders>
            <w:shd w:val="clear" w:color="000000" w:fill="FFCC99"/>
            <w:noWrap/>
            <w:vAlign w:val="bottom"/>
            <w:hideMark/>
          </w:tcPr>
          <w:p w14:paraId="672DE7E6" w14:textId="77777777" w:rsidR="00862FFE" w:rsidRPr="00862FFE" w:rsidRDefault="00862FFE" w:rsidP="00862FFE">
            <w:pPr>
              <w:rPr>
                <w:rFonts w:ascii="Calibri" w:eastAsia="Times New Roman" w:hAnsi="Calibri" w:cs="Times New Roman"/>
                <w:color w:val="3F3F76"/>
              </w:rPr>
            </w:pPr>
            <w:r w:rsidRPr="00862FFE">
              <w:rPr>
                <w:rFonts w:ascii="Calibri" w:eastAsia="Times New Roman" w:hAnsi="Calibri" w:cs="Times New Roman"/>
                <w:color w:val="3F3F76"/>
              </w:rPr>
              <w:t>D</w:t>
            </w:r>
          </w:p>
        </w:tc>
        <w:tc>
          <w:tcPr>
            <w:tcW w:w="659" w:type="dxa"/>
            <w:tcBorders>
              <w:top w:val="nil"/>
              <w:left w:val="nil"/>
              <w:bottom w:val="nil"/>
              <w:right w:val="nil"/>
            </w:tcBorders>
            <w:shd w:val="clear" w:color="000000" w:fill="C2D3EA"/>
            <w:noWrap/>
            <w:vAlign w:val="bottom"/>
            <w:hideMark/>
          </w:tcPr>
          <w:p w14:paraId="67264562"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-0.19</w:t>
            </w:r>
          </w:p>
        </w:tc>
        <w:tc>
          <w:tcPr>
            <w:tcW w:w="659" w:type="dxa"/>
            <w:tcBorders>
              <w:top w:val="nil"/>
              <w:left w:val="nil"/>
              <w:bottom w:val="nil"/>
              <w:right w:val="nil"/>
            </w:tcBorders>
            <w:shd w:val="clear" w:color="000000" w:fill="DEE7F4"/>
            <w:noWrap/>
            <w:vAlign w:val="bottom"/>
            <w:hideMark/>
          </w:tcPr>
          <w:p w14:paraId="4240B0D8"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0.00</w:t>
            </w:r>
          </w:p>
        </w:tc>
        <w:tc>
          <w:tcPr>
            <w:tcW w:w="659" w:type="dxa"/>
            <w:tcBorders>
              <w:top w:val="nil"/>
              <w:left w:val="nil"/>
              <w:bottom w:val="nil"/>
              <w:right w:val="nil"/>
            </w:tcBorders>
            <w:shd w:val="clear" w:color="000000" w:fill="ADC4E3"/>
            <w:noWrap/>
            <w:vAlign w:val="bottom"/>
            <w:hideMark/>
          </w:tcPr>
          <w:p w14:paraId="46CD2C0E"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-0.34</w:t>
            </w:r>
          </w:p>
        </w:tc>
        <w:tc>
          <w:tcPr>
            <w:tcW w:w="659" w:type="dxa"/>
            <w:tcBorders>
              <w:top w:val="nil"/>
              <w:left w:val="nil"/>
              <w:bottom w:val="nil"/>
              <w:right w:val="nil"/>
            </w:tcBorders>
            <w:shd w:val="clear" w:color="000000" w:fill="F8696B"/>
            <w:noWrap/>
            <w:vAlign w:val="bottom"/>
            <w:hideMark/>
          </w:tcPr>
          <w:p w14:paraId="481FE9E8"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1.00</w:t>
            </w:r>
          </w:p>
        </w:tc>
        <w:tc>
          <w:tcPr>
            <w:tcW w:w="659" w:type="dxa"/>
            <w:tcBorders>
              <w:top w:val="nil"/>
              <w:left w:val="nil"/>
              <w:bottom w:val="nil"/>
              <w:right w:val="nil"/>
            </w:tcBorders>
            <w:shd w:val="clear" w:color="auto" w:fill="auto"/>
            <w:noWrap/>
            <w:vAlign w:val="bottom"/>
            <w:hideMark/>
          </w:tcPr>
          <w:p w14:paraId="0B5D3470" w14:textId="77777777" w:rsidR="00862FFE" w:rsidRPr="00862FFE" w:rsidRDefault="00862FFE" w:rsidP="00862FFE">
            <w:pPr>
              <w:jc w:val="right"/>
              <w:rPr>
                <w:rFonts w:ascii="Calibri" w:eastAsia="Times New Roman" w:hAnsi="Calibri" w:cs="Times New Roman"/>
                <w:color w:val="000000"/>
              </w:rPr>
            </w:pPr>
          </w:p>
        </w:tc>
        <w:tc>
          <w:tcPr>
            <w:tcW w:w="659" w:type="dxa"/>
            <w:tcBorders>
              <w:top w:val="nil"/>
              <w:left w:val="nil"/>
              <w:bottom w:val="nil"/>
              <w:right w:val="nil"/>
            </w:tcBorders>
            <w:shd w:val="clear" w:color="auto" w:fill="auto"/>
            <w:noWrap/>
            <w:vAlign w:val="bottom"/>
            <w:hideMark/>
          </w:tcPr>
          <w:p w14:paraId="11B16749"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5DD410A4"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2B8F5B77"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single" w:sz="4" w:space="0" w:color="auto"/>
            </w:tcBorders>
            <w:shd w:val="clear" w:color="auto" w:fill="auto"/>
            <w:noWrap/>
            <w:vAlign w:val="bottom"/>
            <w:hideMark/>
          </w:tcPr>
          <w:p w14:paraId="35B4AFAF"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r>
      <w:tr w:rsidR="00862FFE" w:rsidRPr="00862FFE" w14:paraId="25BDC9C3" w14:textId="77777777" w:rsidTr="00862FFE">
        <w:trPr>
          <w:trHeight w:val="361"/>
        </w:trPr>
        <w:tc>
          <w:tcPr>
            <w:tcW w:w="2966" w:type="dxa"/>
            <w:tcBorders>
              <w:top w:val="nil"/>
              <w:left w:val="single" w:sz="4" w:space="0" w:color="auto"/>
              <w:bottom w:val="single" w:sz="4" w:space="0" w:color="7F7F7F"/>
              <w:right w:val="single" w:sz="4" w:space="0" w:color="7F7F7F"/>
            </w:tcBorders>
            <w:shd w:val="clear" w:color="000000" w:fill="FFCC99"/>
            <w:noWrap/>
            <w:vAlign w:val="bottom"/>
            <w:hideMark/>
          </w:tcPr>
          <w:p w14:paraId="65AFA7FF" w14:textId="77777777" w:rsidR="00862FFE" w:rsidRPr="00862FFE" w:rsidRDefault="00862FFE" w:rsidP="00862FFE">
            <w:pPr>
              <w:rPr>
                <w:rFonts w:ascii="Calibri" w:eastAsia="Times New Roman" w:hAnsi="Calibri" w:cs="Times New Roman"/>
                <w:color w:val="3F3F76"/>
              </w:rPr>
            </w:pPr>
            <w:r w:rsidRPr="00862FFE">
              <w:rPr>
                <w:rFonts w:ascii="Calibri" w:eastAsia="Times New Roman" w:hAnsi="Calibri" w:cs="Times New Roman"/>
                <w:color w:val="3F3F76"/>
              </w:rPr>
              <w:t>E</w:t>
            </w:r>
          </w:p>
        </w:tc>
        <w:tc>
          <w:tcPr>
            <w:tcW w:w="659" w:type="dxa"/>
            <w:tcBorders>
              <w:top w:val="nil"/>
              <w:left w:val="nil"/>
              <w:bottom w:val="nil"/>
              <w:right w:val="nil"/>
            </w:tcBorders>
            <w:shd w:val="clear" w:color="000000" w:fill="FA8F92"/>
            <w:noWrap/>
            <w:vAlign w:val="bottom"/>
            <w:hideMark/>
          </w:tcPr>
          <w:p w14:paraId="1ECCDB19"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0.79</w:t>
            </w:r>
          </w:p>
        </w:tc>
        <w:tc>
          <w:tcPr>
            <w:tcW w:w="659" w:type="dxa"/>
            <w:tcBorders>
              <w:top w:val="nil"/>
              <w:left w:val="nil"/>
              <w:bottom w:val="nil"/>
              <w:right w:val="nil"/>
            </w:tcBorders>
            <w:shd w:val="clear" w:color="000000" w:fill="F96A6C"/>
            <w:noWrap/>
            <w:vAlign w:val="bottom"/>
            <w:hideMark/>
          </w:tcPr>
          <w:p w14:paraId="33FE126B"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1.00</w:t>
            </w:r>
          </w:p>
        </w:tc>
        <w:tc>
          <w:tcPr>
            <w:tcW w:w="659" w:type="dxa"/>
            <w:tcBorders>
              <w:top w:val="nil"/>
              <w:left w:val="nil"/>
              <w:bottom w:val="nil"/>
              <w:right w:val="nil"/>
            </w:tcBorders>
            <w:shd w:val="clear" w:color="000000" w:fill="FBC0C2"/>
            <w:noWrap/>
            <w:vAlign w:val="bottom"/>
            <w:hideMark/>
          </w:tcPr>
          <w:p w14:paraId="35155F86"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0.53</w:t>
            </w:r>
          </w:p>
        </w:tc>
        <w:tc>
          <w:tcPr>
            <w:tcW w:w="659" w:type="dxa"/>
            <w:tcBorders>
              <w:top w:val="nil"/>
              <w:left w:val="nil"/>
              <w:bottom w:val="nil"/>
              <w:right w:val="nil"/>
            </w:tcBorders>
            <w:shd w:val="clear" w:color="000000" w:fill="DDE6F4"/>
            <w:noWrap/>
            <w:vAlign w:val="bottom"/>
            <w:hideMark/>
          </w:tcPr>
          <w:p w14:paraId="0FFE6A8E"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0.00</w:t>
            </w:r>
          </w:p>
        </w:tc>
        <w:tc>
          <w:tcPr>
            <w:tcW w:w="659" w:type="dxa"/>
            <w:tcBorders>
              <w:top w:val="nil"/>
              <w:left w:val="nil"/>
              <w:bottom w:val="nil"/>
              <w:right w:val="nil"/>
            </w:tcBorders>
            <w:shd w:val="clear" w:color="000000" w:fill="F8696B"/>
            <w:noWrap/>
            <w:vAlign w:val="bottom"/>
            <w:hideMark/>
          </w:tcPr>
          <w:p w14:paraId="2E4A7904"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1.00</w:t>
            </w:r>
          </w:p>
        </w:tc>
        <w:tc>
          <w:tcPr>
            <w:tcW w:w="659" w:type="dxa"/>
            <w:tcBorders>
              <w:top w:val="nil"/>
              <w:left w:val="nil"/>
              <w:bottom w:val="nil"/>
              <w:right w:val="nil"/>
            </w:tcBorders>
            <w:shd w:val="clear" w:color="auto" w:fill="auto"/>
            <w:noWrap/>
            <w:vAlign w:val="bottom"/>
            <w:hideMark/>
          </w:tcPr>
          <w:p w14:paraId="7A116777" w14:textId="77777777" w:rsidR="00862FFE" w:rsidRPr="00862FFE" w:rsidRDefault="00862FFE" w:rsidP="00862FFE">
            <w:pPr>
              <w:jc w:val="right"/>
              <w:rPr>
                <w:rFonts w:ascii="Calibri" w:eastAsia="Times New Roman" w:hAnsi="Calibri" w:cs="Times New Roman"/>
                <w:color w:val="000000"/>
              </w:rPr>
            </w:pPr>
          </w:p>
        </w:tc>
        <w:tc>
          <w:tcPr>
            <w:tcW w:w="659" w:type="dxa"/>
            <w:tcBorders>
              <w:top w:val="nil"/>
              <w:left w:val="nil"/>
              <w:bottom w:val="nil"/>
              <w:right w:val="nil"/>
            </w:tcBorders>
            <w:shd w:val="clear" w:color="auto" w:fill="auto"/>
            <w:noWrap/>
            <w:vAlign w:val="bottom"/>
            <w:hideMark/>
          </w:tcPr>
          <w:p w14:paraId="08BB3858"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116D420B"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single" w:sz="4" w:space="0" w:color="auto"/>
            </w:tcBorders>
            <w:shd w:val="clear" w:color="auto" w:fill="auto"/>
            <w:noWrap/>
            <w:vAlign w:val="bottom"/>
            <w:hideMark/>
          </w:tcPr>
          <w:p w14:paraId="278B4AB5"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r>
      <w:tr w:rsidR="00862FFE" w:rsidRPr="00862FFE" w14:paraId="75B291AF" w14:textId="77777777" w:rsidTr="00862FFE">
        <w:trPr>
          <w:trHeight w:val="361"/>
        </w:trPr>
        <w:tc>
          <w:tcPr>
            <w:tcW w:w="2966" w:type="dxa"/>
            <w:tcBorders>
              <w:top w:val="nil"/>
              <w:left w:val="single" w:sz="4" w:space="0" w:color="auto"/>
              <w:bottom w:val="single" w:sz="4" w:space="0" w:color="7F7F7F"/>
              <w:right w:val="single" w:sz="4" w:space="0" w:color="7F7F7F"/>
            </w:tcBorders>
            <w:shd w:val="clear" w:color="000000" w:fill="FFCC99"/>
            <w:noWrap/>
            <w:vAlign w:val="bottom"/>
            <w:hideMark/>
          </w:tcPr>
          <w:p w14:paraId="7CF206AB" w14:textId="77777777" w:rsidR="00862FFE" w:rsidRPr="00862FFE" w:rsidRDefault="00862FFE" w:rsidP="00862FFE">
            <w:pPr>
              <w:rPr>
                <w:rFonts w:ascii="Calibri" w:eastAsia="Times New Roman" w:hAnsi="Calibri" w:cs="Times New Roman"/>
                <w:color w:val="3F3F76"/>
              </w:rPr>
            </w:pPr>
            <w:r w:rsidRPr="00862FFE">
              <w:rPr>
                <w:rFonts w:ascii="Calibri" w:eastAsia="Times New Roman" w:hAnsi="Calibri" w:cs="Times New Roman"/>
                <w:color w:val="3F3F76"/>
              </w:rPr>
              <w:t>F</w:t>
            </w:r>
          </w:p>
        </w:tc>
        <w:tc>
          <w:tcPr>
            <w:tcW w:w="659" w:type="dxa"/>
            <w:tcBorders>
              <w:top w:val="nil"/>
              <w:left w:val="nil"/>
              <w:bottom w:val="nil"/>
              <w:right w:val="nil"/>
            </w:tcBorders>
            <w:shd w:val="clear" w:color="000000" w:fill="FA9396"/>
            <w:noWrap/>
            <w:vAlign w:val="bottom"/>
            <w:hideMark/>
          </w:tcPr>
          <w:p w14:paraId="6BF6BD3D"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0.77</w:t>
            </w:r>
          </w:p>
        </w:tc>
        <w:tc>
          <w:tcPr>
            <w:tcW w:w="659" w:type="dxa"/>
            <w:tcBorders>
              <w:top w:val="nil"/>
              <w:left w:val="nil"/>
              <w:bottom w:val="nil"/>
              <w:right w:val="nil"/>
            </w:tcBorders>
            <w:shd w:val="clear" w:color="000000" w:fill="F96D6F"/>
            <w:noWrap/>
            <w:vAlign w:val="bottom"/>
            <w:hideMark/>
          </w:tcPr>
          <w:p w14:paraId="73C6B562"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0.98</w:t>
            </w:r>
          </w:p>
        </w:tc>
        <w:tc>
          <w:tcPr>
            <w:tcW w:w="659" w:type="dxa"/>
            <w:tcBorders>
              <w:top w:val="nil"/>
              <w:left w:val="nil"/>
              <w:bottom w:val="nil"/>
              <w:right w:val="nil"/>
            </w:tcBorders>
            <w:shd w:val="clear" w:color="000000" w:fill="FBCDD0"/>
            <w:noWrap/>
            <w:vAlign w:val="bottom"/>
            <w:hideMark/>
          </w:tcPr>
          <w:p w14:paraId="292963EB"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0.46</w:t>
            </w:r>
          </w:p>
        </w:tc>
        <w:tc>
          <w:tcPr>
            <w:tcW w:w="659" w:type="dxa"/>
            <w:tcBorders>
              <w:top w:val="nil"/>
              <w:left w:val="nil"/>
              <w:bottom w:val="nil"/>
              <w:right w:val="nil"/>
            </w:tcBorders>
            <w:shd w:val="clear" w:color="000000" w:fill="E9EEF8"/>
            <w:noWrap/>
            <w:vAlign w:val="bottom"/>
            <w:hideMark/>
          </w:tcPr>
          <w:p w14:paraId="33EAF6D4"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0.07</w:t>
            </w:r>
          </w:p>
        </w:tc>
        <w:tc>
          <w:tcPr>
            <w:tcW w:w="659" w:type="dxa"/>
            <w:tcBorders>
              <w:top w:val="nil"/>
              <w:left w:val="nil"/>
              <w:bottom w:val="nil"/>
              <w:right w:val="nil"/>
            </w:tcBorders>
            <w:shd w:val="clear" w:color="000000" w:fill="F96D6F"/>
            <w:noWrap/>
            <w:vAlign w:val="bottom"/>
            <w:hideMark/>
          </w:tcPr>
          <w:p w14:paraId="580BEF4B"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0.98</w:t>
            </w:r>
          </w:p>
        </w:tc>
        <w:tc>
          <w:tcPr>
            <w:tcW w:w="659" w:type="dxa"/>
            <w:tcBorders>
              <w:top w:val="nil"/>
              <w:left w:val="nil"/>
              <w:bottom w:val="nil"/>
              <w:right w:val="nil"/>
            </w:tcBorders>
            <w:shd w:val="clear" w:color="000000" w:fill="F8696B"/>
            <w:noWrap/>
            <w:vAlign w:val="bottom"/>
            <w:hideMark/>
          </w:tcPr>
          <w:p w14:paraId="5CE7E6A3"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1.00</w:t>
            </w:r>
          </w:p>
        </w:tc>
        <w:tc>
          <w:tcPr>
            <w:tcW w:w="659" w:type="dxa"/>
            <w:tcBorders>
              <w:top w:val="nil"/>
              <w:left w:val="nil"/>
              <w:bottom w:val="nil"/>
              <w:right w:val="nil"/>
            </w:tcBorders>
            <w:shd w:val="clear" w:color="auto" w:fill="auto"/>
            <w:noWrap/>
            <w:vAlign w:val="bottom"/>
            <w:hideMark/>
          </w:tcPr>
          <w:p w14:paraId="4787E59D" w14:textId="77777777" w:rsidR="00862FFE" w:rsidRPr="00862FFE" w:rsidRDefault="00862FFE" w:rsidP="00862FFE">
            <w:pPr>
              <w:jc w:val="right"/>
              <w:rPr>
                <w:rFonts w:ascii="Calibri" w:eastAsia="Times New Roman" w:hAnsi="Calibri" w:cs="Times New Roman"/>
                <w:color w:val="000000"/>
              </w:rPr>
            </w:pPr>
          </w:p>
        </w:tc>
        <w:tc>
          <w:tcPr>
            <w:tcW w:w="659" w:type="dxa"/>
            <w:tcBorders>
              <w:top w:val="nil"/>
              <w:left w:val="nil"/>
              <w:bottom w:val="nil"/>
              <w:right w:val="nil"/>
            </w:tcBorders>
            <w:shd w:val="clear" w:color="auto" w:fill="auto"/>
            <w:noWrap/>
            <w:vAlign w:val="bottom"/>
            <w:hideMark/>
          </w:tcPr>
          <w:p w14:paraId="43808F2D"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single" w:sz="4" w:space="0" w:color="auto"/>
            </w:tcBorders>
            <w:shd w:val="clear" w:color="auto" w:fill="auto"/>
            <w:noWrap/>
            <w:vAlign w:val="bottom"/>
            <w:hideMark/>
          </w:tcPr>
          <w:p w14:paraId="360194B4"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r>
      <w:tr w:rsidR="00862FFE" w:rsidRPr="00862FFE" w14:paraId="5950C84A" w14:textId="77777777" w:rsidTr="00862FFE">
        <w:trPr>
          <w:trHeight w:val="361"/>
        </w:trPr>
        <w:tc>
          <w:tcPr>
            <w:tcW w:w="2966" w:type="dxa"/>
            <w:tcBorders>
              <w:top w:val="nil"/>
              <w:left w:val="single" w:sz="4" w:space="0" w:color="auto"/>
              <w:bottom w:val="single" w:sz="4" w:space="0" w:color="7F7F7F"/>
              <w:right w:val="single" w:sz="4" w:space="0" w:color="7F7F7F"/>
            </w:tcBorders>
            <w:shd w:val="clear" w:color="000000" w:fill="FFCC99"/>
            <w:noWrap/>
            <w:vAlign w:val="bottom"/>
            <w:hideMark/>
          </w:tcPr>
          <w:p w14:paraId="5E8BCDAD" w14:textId="77777777" w:rsidR="00862FFE" w:rsidRPr="00862FFE" w:rsidRDefault="00862FFE" w:rsidP="00862FFE">
            <w:pPr>
              <w:rPr>
                <w:rFonts w:ascii="Calibri" w:eastAsia="Times New Roman" w:hAnsi="Calibri" w:cs="Times New Roman"/>
                <w:color w:val="3F3F76"/>
              </w:rPr>
            </w:pPr>
            <w:r w:rsidRPr="00862FFE">
              <w:rPr>
                <w:rFonts w:ascii="Calibri" w:eastAsia="Times New Roman" w:hAnsi="Calibri" w:cs="Times New Roman"/>
                <w:color w:val="3F3F76"/>
              </w:rPr>
              <w:t>G</w:t>
            </w:r>
          </w:p>
        </w:tc>
        <w:tc>
          <w:tcPr>
            <w:tcW w:w="659" w:type="dxa"/>
            <w:tcBorders>
              <w:top w:val="nil"/>
              <w:left w:val="nil"/>
              <w:bottom w:val="nil"/>
              <w:right w:val="nil"/>
            </w:tcBorders>
            <w:shd w:val="clear" w:color="000000" w:fill="7CA2D2"/>
            <w:noWrap/>
            <w:vAlign w:val="bottom"/>
            <w:hideMark/>
          </w:tcPr>
          <w:p w14:paraId="345E3D4A"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-0.67</w:t>
            </w:r>
          </w:p>
        </w:tc>
        <w:tc>
          <w:tcPr>
            <w:tcW w:w="659" w:type="dxa"/>
            <w:tcBorders>
              <w:top w:val="nil"/>
              <w:left w:val="nil"/>
              <w:bottom w:val="nil"/>
              <w:right w:val="nil"/>
            </w:tcBorders>
            <w:shd w:val="clear" w:color="000000" w:fill="628FC8"/>
            <w:noWrap/>
            <w:vAlign w:val="bottom"/>
            <w:hideMark/>
          </w:tcPr>
          <w:p w14:paraId="1E6218C0"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-0.85</w:t>
            </w:r>
          </w:p>
        </w:tc>
        <w:tc>
          <w:tcPr>
            <w:tcW w:w="659" w:type="dxa"/>
            <w:tcBorders>
              <w:top w:val="nil"/>
              <w:left w:val="nil"/>
              <w:bottom w:val="nil"/>
              <w:right w:val="nil"/>
            </w:tcBorders>
            <w:shd w:val="clear" w:color="000000" w:fill="B0C6E4"/>
            <w:noWrap/>
            <w:vAlign w:val="bottom"/>
            <w:hideMark/>
          </w:tcPr>
          <w:p w14:paraId="345C4190"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-0.32</w:t>
            </w:r>
          </w:p>
        </w:tc>
        <w:tc>
          <w:tcPr>
            <w:tcW w:w="659" w:type="dxa"/>
            <w:tcBorders>
              <w:top w:val="nil"/>
              <w:left w:val="nil"/>
              <w:bottom w:val="nil"/>
              <w:right w:val="nil"/>
            </w:tcBorders>
            <w:shd w:val="clear" w:color="000000" w:fill="BDD0E9"/>
            <w:noWrap/>
            <w:vAlign w:val="bottom"/>
            <w:hideMark/>
          </w:tcPr>
          <w:p w14:paraId="524BF38C"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-0.22</w:t>
            </w:r>
          </w:p>
        </w:tc>
        <w:tc>
          <w:tcPr>
            <w:tcW w:w="659" w:type="dxa"/>
            <w:tcBorders>
              <w:top w:val="nil"/>
              <w:left w:val="nil"/>
              <w:bottom w:val="nil"/>
              <w:right w:val="nil"/>
            </w:tcBorders>
            <w:shd w:val="clear" w:color="000000" w:fill="6290C9"/>
            <w:noWrap/>
            <w:vAlign w:val="bottom"/>
            <w:hideMark/>
          </w:tcPr>
          <w:p w14:paraId="46CB3194"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-0.85</w:t>
            </w:r>
          </w:p>
        </w:tc>
        <w:tc>
          <w:tcPr>
            <w:tcW w:w="659" w:type="dxa"/>
            <w:tcBorders>
              <w:top w:val="nil"/>
              <w:left w:val="nil"/>
              <w:bottom w:val="nil"/>
              <w:right w:val="nil"/>
            </w:tcBorders>
            <w:shd w:val="clear" w:color="000000" w:fill="5B8BC6"/>
            <w:noWrap/>
            <w:vAlign w:val="bottom"/>
            <w:hideMark/>
          </w:tcPr>
          <w:p w14:paraId="7C39CDEF"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-0.90</w:t>
            </w:r>
          </w:p>
        </w:tc>
        <w:tc>
          <w:tcPr>
            <w:tcW w:w="659" w:type="dxa"/>
            <w:tcBorders>
              <w:top w:val="nil"/>
              <w:left w:val="nil"/>
              <w:bottom w:val="nil"/>
              <w:right w:val="nil"/>
            </w:tcBorders>
            <w:shd w:val="clear" w:color="000000" w:fill="F8696B"/>
            <w:noWrap/>
            <w:vAlign w:val="bottom"/>
            <w:hideMark/>
          </w:tcPr>
          <w:p w14:paraId="509E3B7D"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1.00</w:t>
            </w:r>
          </w:p>
        </w:tc>
        <w:tc>
          <w:tcPr>
            <w:tcW w:w="659" w:type="dxa"/>
            <w:tcBorders>
              <w:top w:val="nil"/>
              <w:left w:val="nil"/>
              <w:bottom w:val="nil"/>
              <w:right w:val="nil"/>
            </w:tcBorders>
            <w:shd w:val="clear" w:color="auto" w:fill="auto"/>
            <w:noWrap/>
            <w:vAlign w:val="bottom"/>
            <w:hideMark/>
          </w:tcPr>
          <w:p w14:paraId="615D1961" w14:textId="77777777" w:rsidR="00862FFE" w:rsidRPr="00862FFE" w:rsidRDefault="00862FFE" w:rsidP="00862FFE">
            <w:pPr>
              <w:jc w:val="right"/>
              <w:rPr>
                <w:rFonts w:ascii="Calibri" w:eastAsia="Times New Roman" w:hAnsi="Calibri" w:cs="Times New Roman"/>
                <w:color w:val="000000"/>
              </w:rPr>
            </w:pPr>
          </w:p>
        </w:tc>
        <w:tc>
          <w:tcPr>
            <w:tcW w:w="659" w:type="dxa"/>
            <w:tcBorders>
              <w:top w:val="nil"/>
              <w:left w:val="nil"/>
              <w:bottom w:val="nil"/>
              <w:right w:val="single" w:sz="4" w:space="0" w:color="auto"/>
            </w:tcBorders>
            <w:shd w:val="clear" w:color="auto" w:fill="auto"/>
            <w:noWrap/>
            <w:vAlign w:val="bottom"/>
            <w:hideMark/>
          </w:tcPr>
          <w:p w14:paraId="4BA37874"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r>
      <w:tr w:rsidR="00862FFE" w:rsidRPr="00862FFE" w14:paraId="2A26DA23" w14:textId="77777777" w:rsidTr="00862FFE">
        <w:trPr>
          <w:trHeight w:val="361"/>
        </w:trPr>
        <w:tc>
          <w:tcPr>
            <w:tcW w:w="2966" w:type="dxa"/>
            <w:tcBorders>
              <w:top w:val="nil"/>
              <w:left w:val="single" w:sz="4" w:space="0" w:color="auto"/>
              <w:bottom w:val="single" w:sz="4" w:space="0" w:color="7F7F7F"/>
              <w:right w:val="single" w:sz="4" w:space="0" w:color="7F7F7F"/>
            </w:tcBorders>
            <w:shd w:val="clear" w:color="000000" w:fill="FFCC99"/>
            <w:noWrap/>
            <w:vAlign w:val="bottom"/>
            <w:hideMark/>
          </w:tcPr>
          <w:p w14:paraId="0B20AA09" w14:textId="77777777" w:rsidR="00862FFE" w:rsidRPr="00862FFE" w:rsidRDefault="00862FFE" w:rsidP="00862FFE">
            <w:pPr>
              <w:rPr>
                <w:rFonts w:ascii="Calibri" w:eastAsia="Times New Roman" w:hAnsi="Calibri" w:cs="Times New Roman"/>
                <w:color w:val="3F3F76"/>
              </w:rPr>
            </w:pPr>
            <w:r w:rsidRPr="00862FFE">
              <w:rPr>
                <w:rFonts w:ascii="Calibri" w:eastAsia="Times New Roman" w:hAnsi="Calibri" w:cs="Times New Roman"/>
                <w:color w:val="3F3F76"/>
              </w:rPr>
              <w:t>H</w:t>
            </w:r>
          </w:p>
        </w:tc>
        <w:tc>
          <w:tcPr>
            <w:tcW w:w="659" w:type="dxa"/>
            <w:tcBorders>
              <w:top w:val="nil"/>
              <w:left w:val="nil"/>
              <w:bottom w:val="nil"/>
              <w:right w:val="nil"/>
            </w:tcBorders>
            <w:shd w:val="clear" w:color="000000" w:fill="FA9597"/>
            <w:noWrap/>
            <w:vAlign w:val="bottom"/>
            <w:hideMark/>
          </w:tcPr>
          <w:p w14:paraId="7F27C500"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0.76</w:t>
            </w:r>
          </w:p>
        </w:tc>
        <w:tc>
          <w:tcPr>
            <w:tcW w:w="659" w:type="dxa"/>
            <w:tcBorders>
              <w:top w:val="nil"/>
              <w:left w:val="nil"/>
              <w:bottom w:val="nil"/>
              <w:right w:val="nil"/>
            </w:tcBorders>
            <w:shd w:val="clear" w:color="000000" w:fill="F96F71"/>
            <w:noWrap/>
            <w:vAlign w:val="bottom"/>
            <w:hideMark/>
          </w:tcPr>
          <w:p w14:paraId="33BD97DF"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0.97</w:t>
            </w:r>
          </w:p>
        </w:tc>
        <w:tc>
          <w:tcPr>
            <w:tcW w:w="659" w:type="dxa"/>
            <w:tcBorders>
              <w:top w:val="nil"/>
              <w:left w:val="nil"/>
              <w:bottom w:val="nil"/>
              <w:right w:val="nil"/>
            </w:tcBorders>
            <w:shd w:val="clear" w:color="000000" w:fill="FBD2D4"/>
            <w:noWrap/>
            <w:vAlign w:val="bottom"/>
            <w:hideMark/>
          </w:tcPr>
          <w:p w14:paraId="0B781E0E"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0.44</w:t>
            </w:r>
          </w:p>
        </w:tc>
        <w:tc>
          <w:tcPr>
            <w:tcW w:w="659" w:type="dxa"/>
            <w:tcBorders>
              <w:top w:val="nil"/>
              <w:left w:val="nil"/>
              <w:bottom w:val="nil"/>
              <w:right w:val="nil"/>
            </w:tcBorders>
            <w:shd w:val="clear" w:color="000000" w:fill="ECF1F9"/>
            <w:noWrap/>
            <w:vAlign w:val="bottom"/>
            <w:hideMark/>
          </w:tcPr>
          <w:p w14:paraId="1A25C2F9"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0.10</w:t>
            </w:r>
          </w:p>
        </w:tc>
        <w:tc>
          <w:tcPr>
            <w:tcW w:w="659" w:type="dxa"/>
            <w:tcBorders>
              <w:top w:val="nil"/>
              <w:left w:val="nil"/>
              <w:bottom w:val="nil"/>
              <w:right w:val="nil"/>
            </w:tcBorders>
            <w:shd w:val="clear" w:color="000000" w:fill="F96F71"/>
            <w:noWrap/>
            <w:vAlign w:val="bottom"/>
            <w:hideMark/>
          </w:tcPr>
          <w:p w14:paraId="35B593AA"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0.97</w:t>
            </w:r>
          </w:p>
        </w:tc>
        <w:tc>
          <w:tcPr>
            <w:tcW w:w="659" w:type="dxa"/>
            <w:tcBorders>
              <w:top w:val="nil"/>
              <w:left w:val="nil"/>
              <w:bottom w:val="nil"/>
              <w:right w:val="nil"/>
            </w:tcBorders>
            <w:shd w:val="clear" w:color="000000" w:fill="F96A6C"/>
            <w:noWrap/>
            <w:vAlign w:val="bottom"/>
            <w:hideMark/>
          </w:tcPr>
          <w:p w14:paraId="11EEA5FF"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1.00</w:t>
            </w:r>
          </w:p>
        </w:tc>
        <w:tc>
          <w:tcPr>
            <w:tcW w:w="659" w:type="dxa"/>
            <w:tcBorders>
              <w:top w:val="nil"/>
              <w:left w:val="nil"/>
              <w:bottom w:val="nil"/>
              <w:right w:val="nil"/>
            </w:tcBorders>
            <w:shd w:val="clear" w:color="000000" w:fill="5A8AC6"/>
            <w:noWrap/>
            <w:vAlign w:val="bottom"/>
            <w:hideMark/>
          </w:tcPr>
          <w:p w14:paraId="0B62D4D2"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-0.91</w:t>
            </w:r>
          </w:p>
        </w:tc>
        <w:tc>
          <w:tcPr>
            <w:tcW w:w="659" w:type="dxa"/>
            <w:tcBorders>
              <w:top w:val="nil"/>
              <w:left w:val="nil"/>
              <w:bottom w:val="nil"/>
              <w:right w:val="nil"/>
            </w:tcBorders>
            <w:shd w:val="clear" w:color="000000" w:fill="F8696B"/>
            <w:noWrap/>
            <w:vAlign w:val="bottom"/>
            <w:hideMark/>
          </w:tcPr>
          <w:p w14:paraId="698B4411"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1.00</w:t>
            </w:r>
          </w:p>
        </w:tc>
        <w:tc>
          <w:tcPr>
            <w:tcW w:w="659" w:type="dxa"/>
            <w:tcBorders>
              <w:top w:val="nil"/>
              <w:left w:val="nil"/>
              <w:bottom w:val="nil"/>
              <w:right w:val="single" w:sz="4" w:space="0" w:color="auto"/>
            </w:tcBorders>
            <w:shd w:val="clear" w:color="auto" w:fill="auto"/>
            <w:noWrap/>
            <w:vAlign w:val="bottom"/>
            <w:hideMark/>
          </w:tcPr>
          <w:p w14:paraId="1EBF40D4"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r>
      <w:tr w:rsidR="00862FFE" w:rsidRPr="00862FFE" w14:paraId="6774D72A" w14:textId="77777777" w:rsidTr="00862FFE">
        <w:trPr>
          <w:trHeight w:val="361"/>
        </w:trPr>
        <w:tc>
          <w:tcPr>
            <w:tcW w:w="2966" w:type="dxa"/>
            <w:tcBorders>
              <w:top w:val="nil"/>
              <w:left w:val="single" w:sz="4" w:space="0" w:color="auto"/>
              <w:bottom w:val="single" w:sz="4" w:space="0" w:color="7F7F7F"/>
              <w:right w:val="single" w:sz="4" w:space="0" w:color="7F7F7F"/>
            </w:tcBorders>
            <w:shd w:val="clear" w:color="000000" w:fill="FFCC99"/>
            <w:noWrap/>
            <w:vAlign w:val="bottom"/>
            <w:hideMark/>
          </w:tcPr>
          <w:p w14:paraId="2F8B3161" w14:textId="77777777" w:rsidR="00862FFE" w:rsidRPr="00862FFE" w:rsidRDefault="00862FFE" w:rsidP="00862FFE">
            <w:pPr>
              <w:rPr>
                <w:rFonts w:ascii="Calibri" w:eastAsia="Times New Roman" w:hAnsi="Calibri" w:cs="Times New Roman"/>
                <w:color w:val="3F3F76"/>
              </w:rPr>
            </w:pPr>
            <w:r w:rsidRPr="00862FFE">
              <w:rPr>
                <w:rFonts w:ascii="Calibri" w:eastAsia="Times New Roman" w:hAnsi="Calibri" w:cs="Times New Roman"/>
                <w:color w:val="3F3F76"/>
              </w:rPr>
              <w:t>I</w:t>
            </w:r>
          </w:p>
        </w:tc>
        <w:tc>
          <w:tcPr>
            <w:tcW w:w="659" w:type="dxa"/>
            <w:tcBorders>
              <w:top w:val="nil"/>
              <w:left w:val="nil"/>
              <w:bottom w:val="nil"/>
              <w:right w:val="nil"/>
            </w:tcBorders>
            <w:shd w:val="clear" w:color="000000" w:fill="D6E1F1"/>
            <w:noWrap/>
            <w:vAlign w:val="bottom"/>
            <w:hideMark/>
          </w:tcPr>
          <w:p w14:paraId="09F226B7"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-0.06</w:t>
            </w:r>
          </w:p>
        </w:tc>
        <w:tc>
          <w:tcPr>
            <w:tcW w:w="659" w:type="dxa"/>
            <w:tcBorders>
              <w:top w:val="nil"/>
              <w:left w:val="nil"/>
              <w:bottom w:val="nil"/>
              <w:right w:val="nil"/>
            </w:tcBorders>
            <w:shd w:val="clear" w:color="000000" w:fill="EDF1F9"/>
            <w:noWrap/>
            <w:vAlign w:val="bottom"/>
            <w:hideMark/>
          </w:tcPr>
          <w:p w14:paraId="29C3F11B"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0.11</w:t>
            </w:r>
          </w:p>
        </w:tc>
        <w:tc>
          <w:tcPr>
            <w:tcW w:w="659" w:type="dxa"/>
            <w:tcBorders>
              <w:top w:val="nil"/>
              <w:left w:val="nil"/>
              <w:bottom w:val="nil"/>
              <w:right w:val="nil"/>
            </w:tcBorders>
            <w:shd w:val="clear" w:color="000000" w:fill="FCEEF1"/>
            <w:noWrap/>
            <w:vAlign w:val="bottom"/>
            <w:hideMark/>
          </w:tcPr>
          <w:p w14:paraId="5D055C3E"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0.28</w:t>
            </w:r>
          </w:p>
        </w:tc>
        <w:tc>
          <w:tcPr>
            <w:tcW w:w="659" w:type="dxa"/>
            <w:tcBorders>
              <w:top w:val="nil"/>
              <w:left w:val="nil"/>
              <w:bottom w:val="nil"/>
              <w:right w:val="nil"/>
            </w:tcBorders>
            <w:shd w:val="clear" w:color="000000" w:fill="A9C2E2"/>
            <w:noWrap/>
            <w:vAlign w:val="bottom"/>
            <w:hideMark/>
          </w:tcPr>
          <w:p w14:paraId="31B0A2A5"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-0.36</w:t>
            </w:r>
          </w:p>
        </w:tc>
        <w:tc>
          <w:tcPr>
            <w:tcW w:w="659" w:type="dxa"/>
            <w:tcBorders>
              <w:top w:val="nil"/>
              <w:left w:val="nil"/>
              <w:bottom w:val="nil"/>
              <w:right w:val="nil"/>
            </w:tcBorders>
            <w:shd w:val="clear" w:color="000000" w:fill="EEF2FA"/>
            <w:noWrap/>
            <w:vAlign w:val="bottom"/>
            <w:hideMark/>
          </w:tcPr>
          <w:p w14:paraId="605C71E6"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0.11</w:t>
            </w:r>
          </w:p>
        </w:tc>
        <w:tc>
          <w:tcPr>
            <w:tcW w:w="659" w:type="dxa"/>
            <w:tcBorders>
              <w:top w:val="nil"/>
              <w:left w:val="nil"/>
              <w:bottom w:val="nil"/>
              <w:right w:val="nil"/>
            </w:tcBorders>
            <w:shd w:val="clear" w:color="000000" w:fill="E5ECF7"/>
            <w:noWrap/>
            <w:vAlign w:val="bottom"/>
            <w:hideMark/>
          </w:tcPr>
          <w:p w14:paraId="558A7C37"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0.05</w:t>
            </w:r>
          </w:p>
        </w:tc>
        <w:tc>
          <w:tcPr>
            <w:tcW w:w="659" w:type="dxa"/>
            <w:tcBorders>
              <w:top w:val="nil"/>
              <w:left w:val="nil"/>
              <w:bottom w:val="nil"/>
              <w:right w:val="nil"/>
            </w:tcBorders>
            <w:shd w:val="clear" w:color="000000" w:fill="D7E2F2"/>
            <w:noWrap/>
            <w:vAlign w:val="bottom"/>
            <w:hideMark/>
          </w:tcPr>
          <w:p w14:paraId="3CCC26E4"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-0.05</w:t>
            </w:r>
          </w:p>
        </w:tc>
        <w:tc>
          <w:tcPr>
            <w:tcW w:w="659" w:type="dxa"/>
            <w:tcBorders>
              <w:top w:val="nil"/>
              <w:left w:val="nil"/>
              <w:bottom w:val="nil"/>
              <w:right w:val="nil"/>
            </w:tcBorders>
            <w:shd w:val="clear" w:color="000000" w:fill="E1E9F5"/>
            <w:noWrap/>
            <w:vAlign w:val="bottom"/>
            <w:hideMark/>
          </w:tcPr>
          <w:p w14:paraId="7EFCDBA8"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0.02</w:t>
            </w:r>
          </w:p>
        </w:tc>
        <w:tc>
          <w:tcPr>
            <w:tcW w:w="659" w:type="dxa"/>
            <w:tcBorders>
              <w:top w:val="nil"/>
              <w:left w:val="nil"/>
              <w:bottom w:val="nil"/>
              <w:right w:val="single" w:sz="4" w:space="0" w:color="auto"/>
            </w:tcBorders>
            <w:shd w:val="clear" w:color="000000" w:fill="F8696B"/>
            <w:noWrap/>
            <w:vAlign w:val="bottom"/>
            <w:hideMark/>
          </w:tcPr>
          <w:p w14:paraId="4583AC46"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1.00</w:t>
            </w:r>
          </w:p>
        </w:tc>
      </w:tr>
      <w:tr w:rsidR="00862FFE" w:rsidRPr="00862FFE" w14:paraId="2A37D60B" w14:textId="77777777" w:rsidTr="00862FFE">
        <w:trPr>
          <w:trHeight w:val="384"/>
        </w:trPr>
        <w:tc>
          <w:tcPr>
            <w:tcW w:w="2966" w:type="dxa"/>
            <w:tcBorders>
              <w:top w:val="nil"/>
              <w:left w:val="single" w:sz="4" w:space="0" w:color="auto"/>
              <w:bottom w:val="single" w:sz="4" w:space="0" w:color="7F7F7F"/>
              <w:right w:val="single" w:sz="4" w:space="0" w:color="7F7F7F"/>
            </w:tcBorders>
            <w:shd w:val="clear" w:color="000000" w:fill="FFCC99"/>
            <w:noWrap/>
            <w:vAlign w:val="bottom"/>
            <w:hideMark/>
          </w:tcPr>
          <w:p w14:paraId="086F4904" w14:textId="77777777" w:rsidR="00862FFE" w:rsidRPr="00862FFE" w:rsidRDefault="00862FFE" w:rsidP="00862FFE">
            <w:pPr>
              <w:rPr>
                <w:rFonts w:ascii="Calibri" w:eastAsia="Times New Roman" w:hAnsi="Calibri" w:cs="Times New Roman"/>
                <w:color w:val="3F3F76"/>
              </w:rPr>
            </w:pPr>
            <w:r w:rsidRPr="00862FFE">
              <w:rPr>
                <w:rFonts w:ascii="Calibri" w:eastAsia="Times New Roman" w:hAnsi="Calibri" w:cs="Times New Roman"/>
                <w:color w:val="3F3F76"/>
              </w:rPr>
              <w:t>J</w:t>
            </w:r>
          </w:p>
        </w:tc>
        <w:tc>
          <w:tcPr>
            <w:tcW w:w="659" w:type="dxa"/>
            <w:tcBorders>
              <w:top w:val="nil"/>
              <w:left w:val="nil"/>
              <w:bottom w:val="single" w:sz="8" w:space="0" w:color="auto"/>
              <w:right w:val="nil"/>
            </w:tcBorders>
            <w:shd w:val="clear" w:color="000000" w:fill="C5D5EB"/>
            <w:noWrap/>
            <w:vAlign w:val="bottom"/>
            <w:hideMark/>
          </w:tcPr>
          <w:p w14:paraId="3050E15E"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-0.17</w:t>
            </w:r>
          </w:p>
        </w:tc>
        <w:tc>
          <w:tcPr>
            <w:tcW w:w="659" w:type="dxa"/>
            <w:tcBorders>
              <w:top w:val="nil"/>
              <w:left w:val="nil"/>
              <w:bottom w:val="single" w:sz="8" w:space="0" w:color="auto"/>
              <w:right w:val="nil"/>
            </w:tcBorders>
            <w:shd w:val="clear" w:color="000000" w:fill="BBCEE8"/>
            <w:noWrap/>
            <w:vAlign w:val="bottom"/>
            <w:hideMark/>
          </w:tcPr>
          <w:p w14:paraId="29E28E7E"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-0.24</w:t>
            </w:r>
          </w:p>
        </w:tc>
        <w:tc>
          <w:tcPr>
            <w:tcW w:w="659" w:type="dxa"/>
            <w:tcBorders>
              <w:top w:val="nil"/>
              <w:left w:val="nil"/>
              <w:bottom w:val="single" w:sz="8" w:space="0" w:color="auto"/>
              <w:right w:val="nil"/>
            </w:tcBorders>
            <w:shd w:val="clear" w:color="000000" w:fill="F6F8FD"/>
            <w:noWrap/>
            <w:vAlign w:val="bottom"/>
            <w:hideMark/>
          </w:tcPr>
          <w:p w14:paraId="73814C37"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0.17</w:t>
            </w:r>
          </w:p>
        </w:tc>
        <w:tc>
          <w:tcPr>
            <w:tcW w:w="659" w:type="dxa"/>
            <w:tcBorders>
              <w:top w:val="nil"/>
              <w:left w:val="nil"/>
              <w:bottom w:val="single" w:sz="8" w:space="0" w:color="auto"/>
              <w:right w:val="nil"/>
            </w:tcBorders>
            <w:shd w:val="clear" w:color="000000" w:fill="A4BEE0"/>
            <w:noWrap/>
            <w:vAlign w:val="bottom"/>
            <w:hideMark/>
          </w:tcPr>
          <w:p w14:paraId="4255CF05"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-0.40</w:t>
            </w:r>
          </w:p>
        </w:tc>
        <w:tc>
          <w:tcPr>
            <w:tcW w:w="659" w:type="dxa"/>
            <w:tcBorders>
              <w:top w:val="nil"/>
              <w:left w:val="nil"/>
              <w:bottom w:val="single" w:sz="8" w:space="0" w:color="auto"/>
              <w:right w:val="nil"/>
            </w:tcBorders>
            <w:shd w:val="clear" w:color="000000" w:fill="BCCFE8"/>
            <w:noWrap/>
            <w:vAlign w:val="bottom"/>
            <w:hideMark/>
          </w:tcPr>
          <w:p w14:paraId="70F3C22A"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-0.23</w:t>
            </w:r>
          </w:p>
        </w:tc>
        <w:tc>
          <w:tcPr>
            <w:tcW w:w="659" w:type="dxa"/>
            <w:tcBorders>
              <w:top w:val="nil"/>
              <w:left w:val="nil"/>
              <w:bottom w:val="single" w:sz="8" w:space="0" w:color="auto"/>
              <w:right w:val="nil"/>
            </w:tcBorders>
            <w:shd w:val="clear" w:color="000000" w:fill="A5BFE0"/>
            <w:noWrap/>
            <w:vAlign w:val="bottom"/>
            <w:hideMark/>
          </w:tcPr>
          <w:p w14:paraId="526CACCF"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-0.39</w:t>
            </w:r>
          </w:p>
        </w:tc>
        <w:tc>
          <w:tcPr>
            <w:tcW w:w="659" w:type="dxa"/>
            <w:tcBorders>
              <w:top w:val="nil"/>
              <w:left w:val="nil"/>
              <w:bottom w:val="single" w:sz="8" w:space="0" w:color="auto"/>
              <w:right w:val="nil"/>
            </w:tcBorders>
            <w:shd w:val="clear" w:color="000000" w:fill="FBBFC2"/>
            <w:noWrap/>
            <w:vAlign w:val="bottom"/>
            <w:hideMark/>
          </w:tcPr>
          <w:p w14:paraId="2E2E5C3D"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0.54</w:t>
            </w:r>
          </w:p>
        </w:tc>
        <w:tc>
          <w:tcPr>
            <w:tcW w:w="659" w:type="dxa"/>
            <w:tcBorders>
              <w:top w:val="nil"/>
              <w:left w:val="nil"/>
              <w:bottom w:val="single" w:sz="8" w:space="0" w:color="auto"/>
              <w:right w:val="nil"/>
            </w:tcBorders>
            <w:shd w:val="clear" w:color="000000" w:fill="9DB9DD"/>
            <w:noWrap/>
            <w:vAlign w:val="bottom"/>
            <w:hideMark/>
          </w:tcPr>
          <w:p w14:paraId="43955E3C"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-0.45</w:t>
            </w:r>
          </w:p>
        </w:tc>
        <w:tc>
          <w:tcPr>
            <w:tcW w:w="659" w:type="dxa"/>
            <w:tcBorders>
              <w:top w:val="nil"/>
              <w:left w:val="nil"/>
              <w:bottom w:val="single" w:sz="8" w:space="0" w:color="auto"/>
              <w:right w:val="single" w:sz="4" w:space="0" w:color="auto"/>
            </w:tcBorders>
            <w:shd w:val="clear" w:color="000000" w:fill="FCF6F9"/>
            <w:noWrap/>
            <w:vAlign w:val="bottom"/>
            <w:hideMark/>
          </w:tcPr>
          <w:p w14:paraId="544D07FA" w14:textId="77777777" w:rsidR="00862FFE" w:rsidRPr="00862FFE" w:rsidRDefault="00862FFE" w:rsidP="00862FFE">
            <w:pPr>
              <w:jc w:val="right"/>
              <w:rPr>
                <w:rFonts w:ascii="Calibri" w:eastAsia="Times New Roman" w:hAnsi="Calibri" w:cs="Times New Roman"/>
                <w:color w:val="000000"/>
              </w:rPr>
            </w:pPr>
            <w:r w:rsidRPr="00862FFE">
              <w:rPr>
                <w:rFonts w:ascii="Calibri" w:eastAsia="Times New Roman" w:hAnsi="Calibri" w:cs="Times New Roman"/>
                <w:color w:val="000000"/>
              </w:rPr>
              <w:t>0.24</w:t>
            </w:r>
          </w:p>
        </w:tc>
      </w:tr>
      <w:tr w:rsidR="00862FFE" w:rsidRPr="00862FFE" w14:paraId="07877D81" w14:textId="77777777" w:rsidTr="00862FFE">
        <w:trPr>
          <w:trHeight w:val="410"/>
        </w:trPr>
        <w:tc>
          <w:tcPr>
            <w:tcW w:w="2966" w:type="dxa"/>
            <w:tcBorders>
              <w:top w:val="double" w:sz="6" w:space="0" w:color="3F3F3F"/>
              <w:left w:val="single" w:sz="4" w:space="0" w:color="auto"/>
              <w:bottom w:val="double" w:sz="6" w:space="0" w:color="3F3F3F"/>
              <w:right w:val="double" w:sz="6" w:space="0" w:color="3F3F3F"/>
            </w:tcBorders>
            <w:shd w:val="clear" w:color="000000" w:fill="A5A5A5"/>
            <w:noWrap/>
            <w:vAlign w:val="bottom"/>
            <w:hideMark/>
          </w:tcPr>
          <w:p w14:paraId="3B1B1DC4" w14:textId="77777777" w:rsidR="00862FFE" w:rsidRPr="00862FFE" w:rsidRDefault="00862FFE" w:rsidP="00862FFE">
            <w:pPr>
              <w:rPr>
                <w:rFonts w:ascii="Calibri" w:eastAsia="Times New Roman" w:hAnsi="Calibri" w:cs="Times New Roman"/>
                <w:b/>
                <w:bCs/>
                <w:color w:val="FFFFFF"/>
              </w:rPr>
            </w:pPr>
            <w:r w:rsidRPr="00862FFE">
              <w:rPr>
                <w:rFonts w:ascii="Calibri" w:eastAsia="Times New Roman" w:hAnsi="Calibri" w:cs="Times New Roman"/>
                <w:b/>
                <w:bCs/>
                <w:color w:val="FFFFFF"/>
              </w:rPr>
              <w:t>Annual Mean Temp (F)</w:t>
            </w:r>
          </w:p>
        </w:tc>
        <w:tc>
          <w:tcPr>
            <w:tcW w:w="659" w:type="dxa"/>
            <w:tcBorders>
              <w:top w:val="double" w:sz="6" w:space="0" w:color="3F3F3F"/>
              <w:left w:val="nil"/>
              <w:bottom w:val="double" w:sz="6" w:space="0" w:color="3F3F3F"/>
              <w:right w:val="double" w:sz="6" w:space="0" w:color="3F3F3F"/>
            </w:tcBorders>
            <w:shd w:val="clear" w:color="000000" w:fill="A5A5A5"/>
            <w:noWrap/>
            <w:vAlign w:val="bottom"/>
            <w:hideMark/>
          </w:tcPr>
          <w:p w14:paraId="1A51C3C5" w14:textId="77777777" w:rsidR="00862FFE" w:rsidRPr="00862FFE" w:rsidRDefault="00862FFE" w:rsidP="00862FFE">
            <w:pPr>
              <w:rPr>
                <w:rFonts w:ascii="Calibri" w:eastAsia="Times New Roman" w:hAnsi="Calibri" w:cs="Times New Roman"/>
                <w:b/>
                <w:bCs/>
                <w:color w:val="FFFFFF"/>
              </w:rPr>
            </w:pPr>
            <w:r w:rsidRPr="00862FFE">
              <w:rPr>
                <w:rFonts w:ascii="Calibri" w:eastAsia="Times New Roman" w:hAnsi="Calibri" w:cs="Times New Roman"/>
                <w:b/>
                <w:bCs/>
                <w:color w:val="FFFFFF"/>
              </w:rPr>
              <w:t>A</w:t>
            </w:r>
          </w:p>
        </w:tc>
        <w:tc>
          <w:tcPr>
            <w:tcW w:w="659" w:type="dxa"/>
            <w:tcBorders>
              <w:top w:val="nil"/>
              <w:left w:val="nil"/>
              <w:bottom w:val="nil"/>
              <w:right w:val="nil"/>
            </w:tcBorders>
            <w:shd w:val="clear" w:color="auto" w:fill="auto"/>
            <w:noWrap/>
            <w:vAlign w:val="bottom"/>
            <w:hideMark/>
          </w:tcPr>
          <w:p w14:paraId="4DD00EB1" w14:textId="77777777" w:rsidR="00862FFE" w:rsidRPr="00862FFE" w:rsidRDefault="00862FFE" w:rsidP="00862FFE">
            <w:pPr>
              <w:rPr>
                <w:rFonts w:ascii="Calibri" w:eastAsia="Times New Roman" w:hAnsi="Calibri" w:cs="Times New Roman"/>
                <w:b/>
                <w:bCs/>
                <w:color w:val="FFFFFF"/>
              </w:rPr>
            </w:pPr>
          </w:p>
        </w:tc>
        <w:tc>
          <w:tcPr>
            <w:tcW w:w="659" w:type="dxa"/>
            <w:tcBorders>
              <w:top w:val="nil"/>
              <w:left w:val="nil"/>
              <w:bottom w:val="nil"/>
              <w:right w:val="nil"/>
            </w:tcBorders>
            <w:shd w:val="clear" w:color="auto" w:fill="auto"/>
            <w:noWrap/>
            <w:vAlign w:val="bottom"/>
            <w:hideMark/>
          </w:tcPr>
          <w:p w14:paraId="41D089FF"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784AD27A"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6979802A"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7536B02F"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4E11EE9D"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20FBDA79"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single" w:sz="4" w:space="0" w:color="auto"/>
            </w:tcBorders>
            <w:shd w:val="clear" w:color="auto" w:fill="auto"/>
            <w:noWrap/>
            <w:vAlign w:val="bottom"/>
            <w:hideMark/>
          </w:tcPr>
          <w:p w14:paraId="78F91AD6"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r>
      <w:tr w:rsidR="00862FFE" w:rsidRPr="00862FFE" w14:paraId="16B4EFF9" w14:textId="77777777" w:rsidTr="00862FFE">
        <w:trPr>
          <w:trHeight w:val="410"/>
        </w:trPr>
        <w:tc>
          <w:tcPr>
            <w:tcW w:w="2966" w:type="dxa"/>
            <w:tcBorders>
              <w:top w:val="nil"/>
              <w:left w:val="single" w:sz="4" w:space="0" w:color="auto"/>
              <w:bottom w:val="double" w:sz="6" w:space="0" w:color="3F3F3F"/>
              <w:right w:val="double" w:sz="6" w:space="0" w:color="3F3F3F"/>
            </w:tcBorders>
            <w:shd w:val="clear" w:color="000000" w:fill="A5A5A5"/>
            <w:noWrap/>
            <w:vAlign w:val="bottom"/>
            <w:hideMark/>
          </w:tcPr>
          <w:p w14:paraId="73E677C8" w14:textId="77777777" w:rsidR="00862FFE" w:rsidRPr="00862FFE" w:rsidRDefault="00862FFE" w:rsidP="00862FFE">
            <w:pPr>
              <w:rPr>
                <w:rFonts w:ascii="Calibri" w:eastAsia="Times New Roman" w:hAnsi="Calibri" w:cs="Times New Roman"/>
                <w:b/>
                <w:bCs/>
                <w:color w:val="FFFFFF"/>
              </w:rPr>
            </w:pPr>
            <w:r w:rsidRPr="00862FFE">
              <w:rPr>
                <w:rFonts w:ascii="Calibri" w:eastAsia="Times New Roman" w:hAnsi="Calibri" w:cs="Times New Roman"/>
                <w:b/>
                <w:bCs/>
                <w:color w:val="FFFFFF"/>
              </w:rPr>
              <w:t>Year</w:t>
            </w:r>
          </w:p>
        </w:tc>
        <w:tc>
          <w:tcPr>
            <w:tcW w:w="659" w:type="dxa"/>
            <w:tcBorders>
              <w:top w:val="nil"/>
              <w:left w:val="nil"/>
              <w:bottom w:val="double" w:sz="6" w:space="0" w:color="3F3F3F"/>
              <w:right w:val="double" w:sz="6" w:space="0" w:color="3F3F3F"/>
            </w:tcBorders>
            <w:shd w:val="clear" w:color="000000" w:fill="A5A5A5"/>
            <w:noWrap/>
            <w:vAlign w:val="bottom"/>
            <w:hideMark/>
          </w:tcPr>
          <w:p w14:paraId="6B8E1D27" w14:textId="77777777" w:rsidR="00862FFE" w:rsidRPr="00862FFE" w:rsidRDefault="00862FFE" w:rsidP="00862FFE">
            <w:pPr>
              <w:rPr>
                <w:rFonts w:ascii="Calibri" w:eastAsia="Times New Roman" w:hAnsi="Calibri" w:cs="Times New Roman"/>
                <w:b/>
                <w:bCs/>
                <w:color w:val="FFFFFF"/>
              </w:rPr>
            </w:pPr>
            <w:r w:rsidRPr="00862FFE">
              <w:rPr>
                <w:rFonts w:ascii="Calibri" w:eastAsia="Times New Roman" w:hAnsi="Calibri" w:cs="Times New Roman"/>
                <w:b/>
                <w:bCs/>
                <w:color w:val="FFFFFF"/>
              </w:rPr>
              <w:t>B</w:t>
            </w:r>
          </w:p>
        </w:tc>
        <w:tc>
          <w:tcPr>
            <w:tcW w:w="659" w:type="dxa"/>
            <w:tcBorders>
              <w:top w:val="nil"/>
              <w:left w:val="nil"/>
              <w:bottom w:val="nil"/>
              <w:right w:val="nil"/>
            </w:tcBorders>
            <w:shd w:val="clear" w:color="auto" w:fill="auto"/>
            <w:noWrap/>
            <w:vAlign w:val="bottom"/>
            <w:hideMark/>
          </w:tcPr>
          <w:p w14:paraId="460157C8" w14:textId="77777777" w:rsidR="00862FFE" w:rsidRPr="00862FFE" w:rsidRDefault="00862FFE" w:rsidP="00862FFE">
            <w:pPr>
              <w:rPr>
                <w:rFonts w:ascii="Calibri" w:eastAsia="Times New Roman" w:hAnsi="Calibri" w:cs="Times New Roman"/>
                <w:b/>
                <w:bCs/>
                <w:color w:val="FFFFFF"/>
              </w:rPr>
            </w:pPr>
          </w:p>
        </w:tc>
        <w:tc>
          <w:tcPr>
            <w:tcW w:w="659" w:type="dxa"/>
            <w:tcBorders>
              <w:top w:val="nil"/>
              <w:left w:val="nil"/>
              <w:bottom w:val="nil"/>
              <w:right w:val="nil"/>
            </w:tcBorders>
            <w:shd w:val="clear" w:color="auto" w:fill="auto"/>
            <w:noWrap/>
            <w:vAlign w:val="bottom"/>
            <w:hideMark/>
          </w:tcPr>
          <w:p w14:paraId="3C915BD0"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2F7C1155"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45B1AA64"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4BE2A73A"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5136414C"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2973E9A9"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single" w:sz="4" w:space="0" w:color="auto"/>
            </w:tcBorders>
            <w:shd w:val="clear" w:color="auto" w:fill="auto"/>
            <w:noWrap/>
            <w:vAlign w:val="bottom"/>
            <w:hideMark/>
          </w:tcPr>
          <w:p w14:paraId="5ED7C532"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r>
      <w:tr w:rsidR="00862FFE" w:rsidRPr="00862FFE" w14:paraId="7D1E0817" w14:textId="77777777" w:rsidTr="00862FFE">
        <w:trPr>
          <w:trHeight w:val="410"/>
        </w:trPr>
        <w:tc>
          <w:tcPr>
            <w:tcW w:w="2966" w:type="dxa"/>
            <w:tcBorders>
              <w:top w:val="nil"/>
              <w:left w:val="single" w:sz="4" w:space="0" w:color="auto"/>
              <w:bottom w:val="double" w:sz="6" w:space="0" w:color="3F3F3F"/>
              <w:right w:val="double" w:sz="6" w:space="0" w:color="3F3F3F"/>
            </w:tcBorders>
            <w:shd w:val="clear" w:color="000000" w:fill="A5A5A5"/>
            <w:noWrap/>
            <w:vAlign w:val="bottom"/>
            <w:hideMark/>
          </w:tcPr>
          <w:p w14:paraId="3666F102" w14:textId="77777777" w:rsidR="00862FFE" w:rsidRPr="00862FFE" w:rsidRDefault="00862FFE" w:rsidP="00862FFE">
            <w:pPr>
              <w:rPr>
                <w:rFonts w:ascii="Calibri" w:eastAsia="Times New Roman" w:hAnsi="Calibri" w:cs="Times New Roman"/>
                <w:b/>
                <w:bCs/>
                <w:color w:val="FFFFFF"/>
              </w:rPr>
            </w:pPr>
            <w:r w:rsidRPr="00862FFE">
              <w:rPr>
                <w:rFonts w:ascii="Calibri" w:eastAsia="Times New Roman" w:hAnsi="Calibri" w:cs="Times New Roman"/>
                <w:b/>
                <w:bCs/>
                <w:color w:val="FFFFFF"/>
              </w:rPr>
              <w:t>CO2 Emissions (ppm)</w:t>
            </w:r>
          </w:p>
        </w:tc>
        <w:tc>
          <w:tcPr>
            <w:tcW w:w="659" w:type="dxa"/>
            <w:tcBorders>
              <w:top w:val="nil"/>
              <w:left w:val="nil"/>
              <w:bottom w:val="double" w:sz="6" w:space="0" w:color="3F3F3F"/>
              <w:right w:val="double" w:sz="6" w:space="0" w:color="3F3F3F"/>
            </w:tcBorders>
            <w:shd w:val="clear" w:color="000000" w:fill="A5A5A5"/>
            <w:noWrap/>
            <w:vAlign w:val="bottom"/>
            <w:hideMark/>
          </w:tcPr>
          <w:p w14:paraId="2638B37E" w14:textId="77777777" w:rsidR="00862FFE" w:rsidRPr="00862FFE" w:rsidRDefault="00862FFE" w:rsidP="00862FFE">
            <w:pPr>
              <w:rPr>
                <w:rFonts w:ascii="Calibri" w:eastAsia="Times New Roman" w:hAnsi="Calibri" w:cs="Times New Roman"/>
                <w:b/>
                <w:bCs/>
                <w:color w:val="FFFFFF"/>
              </w:rPr>
            </w:pPr>
            <w:r w:rsidRPr="00862FFE">
              <w:rPr>
                <w:rFonts w:ascii="Calibri" w:eastAsia="Times New Roman" w:hAnsi="Calibri" w:cs="Times New Roman"/>
                <w:b/>
                <w:bCs/>
                <w:color w:val="FFFFFF"/>
              </w:rPr>
              <w:t>C</w:t>
            </w:r>
          </w:p>
        </w:tc>
        <w:tc>
          <w:tcPr>
            <w:tcW w:w="659" w:type="dxa"/>
            <w:tcBorders>
              <w:top w:val="nil"/>
              <w:left w:val="nil"/>
              <w:bottom w:val="nil"/>
              <w:right w:val="nil"/>
            </w:tcBorders>
            <w:shd w:val="clear" w:color="auto" w:fill="auto"/>
            <w:noWrap/>
            <w:vAlign w:val="bottom"/>
            <w:hideMark/>
          </w:tcPr>
          <w:p w14:paraId="684AB37A" w14:textId="77777777" w:rsidR="00862FFE" w:rsidRPr="00862FFE" w:rsidRDefault="00862FFE" w:rsidP="00862FFE">
            <w:pPr>
              <w:rPr>
                <w:rFonts w:ascii="Calibri" w:eastAsia="Times New Roman" w:hAnsi="Calibri" w:cs="Times New Roman"/>
                <w:b/>
                <w:bCs/>
                <w:color w:val="FFFFFF"/>
              </w:rPr>
            </w:pPr>
          </w:p>
        </w:tc>
        <w:tc>
          <w:tcPr>
            <w:tcW w:w="659" w:type="dxa"/>
            <w:tcBorders>
              <w:top w:val="nil"/>
              <w:left w:val="nil"/>
              <w:bottom w:val="nil"/>
              <w:right w:val="nil"/>
            </w:tcBorders>
            <w:shd w:val="clear" w:color="auto" w:fill="auto"/>
            <w:noWrap/>
            <w:vAlign w:val="bottom"/>
            <w:hideMark/>
          </w:tcPr>
          <w:p w14:paraId="14D42CD5"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2AC8B53B"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70DD67B4"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78E06B55"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5482A153"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3273DA53"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single" w:sz="4" w:space="0" w:color="auto"/>
            </w:tcBorders>
            <w:shd w:val="clear" w:color="auto" w:fill="auto"/>
            <w:noWrap/>
            <w:vAlign w:val="bottom"/>
            <w:hideMark/>
          </w:tcPr>
          <w:p w14:paraId="218B6E95"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r>
      <w:tr w:rsidR="00862FFE" w:rsidRPr="00862FFE" w14:paraId="17725D20" w14:textId="77777777" w:rsidTr="00862FFE">
        <w:trPr>
          <w:trHeight w:val="410"/>
        </w:trPr>
        <w:tc>
          <w:tcPr>
            <w:tcW w:w="2966" w:type="dxa"/>
            <w:tcBorders>
              <w:top w:val="nil"/>
              <w:left w:val="single" w:sz="4" w:space="0" w:color="auto"/>
              <w:bottom w:val="double" w:sz="6" w:space="0" w:color="3F3F3F"/>
              <w:right w:val="double" w:sz="6" w:space="0" w:color="3F3F3F"/>
            </w:tcBorders>
            <w:shd w:val="clear" w:color="000000" w:fill="A5A5A5"/>
            <w:noWrap/>
            <w:vAlign w:val="bottom"/>
            <w:hideMark/>
          </w:tcPr>
          <w:p w14:paraId="042962E1" w14:textId="77777777" w:rsidR="00862FFE" w:rsidRPr="00862FFE" w:rsidRDefault="00862FFE" w:rsidP="00862FFE">
            <w:pPr>
              <w:rPr>
                <w:rFonts w:ascii="Calibri" w:eastAsia="Times New Roman" w:hAnsi="Calibri" w:cs="Times New Roman"/>
                <w:b/>
                <w:bCs/>
                <w:color w:val="FFFFFF"/>
              </w:rPr>
            </w:pPr>
            <w:r w:rsidRPr="00862FFE">
              <w:rPr>
                <w:rFonts w:ascii="Calibri" w:eastAsia="Times New Roman" w:hAnsi="Calibri" w:cs="Times New Roman"/>
                <w:b/>
                <w:bCs/>
                <w:color w:val="FFFFFF"/>
              </w:rPr>
              <w:t>Recession?</w:t>
            </w:r>
          </w:p>
        </w:tc>
        <w:tc>
          <w:tcPr>
            <w:tcW w:w="659" w:type="dxa"/>
            <w:tcBorders>
              <w:top w:val="nil"/>
              <w:left w:val="nil"/>
              <w:bottom w:val="double" w:sz="6" w:space="0" w:color="3F3F3F"/>
              <w:right w:val="double" w:sz="6" w:space="0" w:color="3F3F3F"/>
            </w:tcBorders>
            <w:shd w:val="clear" w:color="000000" w:fill="A5A5A5"/>
            <w:noWrap/>
            <w:vAlign w:val="bottom"/>
            <w:hideMark/>
          </w:tcPr>
          <w:p w14:paraId="42C3036A" w14:textId="77777777" w:rsidR="00862FFE" w:rsidRPr="00862FFE" w:rsidRDefault="00862FFE" w:rsidP="00862FFE">
            <w:pPr>
              <w:rPr>
                <w:rFonts w:ascii="Calibri" w:eastAsia="Times New Roman" w:hAnsi="Calibri" w:cs="Times New Roman"/>
                <w:b/>
                <w:bCs/>
                <w:color w:val="FFFFFF"/>
              </w:rPr>
            </w:pPr>
            <w:r w:rsidRPr="00862FFE">
              <w:rPr>
                <w:rFonts w:ascii="Calibri" w:eastAsia="Times New Roman" w:hAnsi="Calibri" w:cs="Times New Roman"/>
                <w:b/>
                <w:bCs/>
                <w:color w:val="FFFFFF"/>
              </w:rPr>
              <w:t>D</w:t>
            </w:r>
          </w:p>
        </w:tc>
        <w:tc>
          <w:tcPr>
            <w:tcW w:w="659" w:type="dxa"/>
            <w:tcBorders>
              <w:top w:val="nil"/>
              <w:left w:val="nil"/>
              <w:bottom w:val="nil"/>
              <w:right w:val="nil"/>
            </w:tcBorders>
            <w:shd w:val="clear" w:color="auto" w:fill="auto"/>
            <w:noWrap/>
            <w:vAlign w:val="bottom"/>
            <w:hideMark/>
          </w:tcPr>
          <w:p w14:paraId="4E66E3C1" w14:textId="77777777" w:rsidR="00862FFE" w:rsidRPr="00862FFE" w:rsidRDefault="00862FFE" w:rsidP="00862FFE">
            <w:pPr>
              <w:rPr>
                <w:rFonts w:ascii="Calibri" w:eastAsia="Times New Roman" w:hAnsi="Calibri" w:cs="Times New Roman"/>
                <w:b/>
                <w:bCs/>
                <w:color w:val="FFFFFF"/>
              </w:rPr>
            </w:pPr>
          </w:p>
        </w:tc>
        <w:tc>
          <w:tcPr>
            <w:tcW w:w="659" w:type="dxa"/>
            <w:tcBorders>
              <w:top w:val="nil"/>
              <w:left w:val="nil"/>
              <w:bottom w:val="nil"/>
              <w:right w:val="nil"/>
            </w:tcBorders>
            <w:shd w:val="clear" w:color="auto" w:fill="auto"/>
            <w:noWrap/>
            <w:vAlign w:val="bottom"/>
            <w:hideMark/>
          </w:tcPr>
          <w:p w14:paraId="5C3C52AE"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113CC8D0"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63F080BE"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1C87E72C"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24BC36E9"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63935DC3"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single" w:sz="4" w:space="0" w:color="auto"/>
            </w:tcBorders>
            <w:shd w:val="clear" w:color="auto" w:fill="auto"/>
            <w:noWrap/>
            <w:vAlign w:val="bottom"/>
            <w:hideMark/>
          </w:tcPr>
          <w:p w14:paraId="2780E8DE"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r>
      <w:tr w:rsidR="00862FFE" w:rsidRPr="00862FFE" w14:paraId="72F125C1" w14:textId="77777777" w:rsidTr="00862FFE">
        <w:trPr>
          <w:trHeight w:val="410"/>
        </w:trPr>
        <w:tc>
          <w:tcPr>
            <w:tcW w:w="2966" w:type="dxa"/>
            <w:tcBorders>
              <w:top w:val="nil"/>
              <w:left w:val="single" w:sz="4" w:space="0" w:color="auto"/>
              <w:bottom w:val="double" w:sz="6" w:space="0" w:color="3F3F3F"/>
              <w:right w:val="double" w:sz="6" w:space="0" w:color="3F3F3F"/>
            </w:tcBorders>
            <w:shd w:val="clear" w:color="000000" w:fill="A5A5A5"/>
            <w:noWrap/>
            <w:vAlign w:val="bottom"/>
            <w:hideMark/>
          </w:tcPr>
          <w:p w14:paraId="196B4B40" w14:textId="77777777" w:rsidR="00862FFE" w:rsidRPr="00862FFE" w:rsidRDefault="00862FFE" w:rsidP="00862FFE">
            <w:pPr>
              <w:rPr>
                <w:rFonts w:ascii="Calibri" w:eastAsia="Times New Roman" w:hAnsi="Calibri" w:cs="Times New Roman"/>
                <w:b/>
                <w:bCs/>
                <w:color w:val="FFFFFF"/>
              </w:rPr>
            </w:pPr>
            <w:r w:rsidRPr="00862FFE">
              <w:rPr>
                <w:rFonts w:ascii="Calibri" w:eastAsia="Times New Roman" w:hAnsi="Calibri" w:cs="Times New Roman"/>
                <w:b/>
                <w:bCs/>
                <w:color w:val="FFFFFF"/>
              </w:rPr>
              <w:t>World Population</w:t>
            </w:r>
          </w:p>
        </w:tc>
        <w:tc>
          <w:tcPr>
            <w:tcW w:w="659" w:type="dxa"/>
            <w:tcBorders>
              <w:top w:val="nil"/>
              <w:left w:val="nil"/>
              <w:bottom w:val="double" w:sz="6" w:space="0" w:color="3F3F3F"/>
              <w:right w:val="double" w:sz="6" w:space="0" w:color="3F3F3F"/>
            </w:tcBorders>
            <w:shd w:val="clear" w:color="000000" w:fill="A5A5A5"/>
            <w:noWrap/>
            <w:vAlign w:val="bottom"/>
            <w:hideMark/>
          </w:tcPr>
          <w:p w14:paraId="443299AF" w14:textId="77777777" w:rsidR="00862FFE" w:rsidRPr="00862FFE" w:rsidRDefault="00862FFE" w:rsidP="00862FFE">
            <w:pPr>
              <w:rPr>
                <w:rFonts w:ascii="Calibri" w:eastAsia="Times New Roman" w:hAnsi="Calibri" w:cs="Times New Roman"/>
                <w:b/>
                <w:bCs/>
                <w:color w:val="FFFFFF"/>
              </w:rPr>
            </w:pPr>
            <w:r w:rsidRPr="00862FFE">
              <w:rPr>
                <w:rFonts w:ascii="Calibri" w:eastAsia="Times New Roman" w:hAnsi="Calibri" w:cs="Times New Roman"/>
                <w:b/>
                <w:bCs/>
                <w:color w:val="FFFFFF"/>
              </w:rPr>
              <w:t>E</w:t>
            </w:r>
          </w:p>
        </w:tc>
        <w:tc>
          <w:tcPr>
            <w:tcW w:w="659" w:type="dxa"/>
            <w:tcBorders>
              <w:top w:val="nil"/>
              <w:left w:val="nil"/>
              <w:bottom w:val="nil"/>
              <w:right w:val="nil"/>
            </w:tcBorders>
            <w:shd w:val="clear" w:color="auto" w:fill="auto"/>
            <w:noWrap/>
            <w:vAlign w:val="bottom"/>
            <w:hideMark/>
          </w:tcPr>
          <w:p w14:paraId="643EBAB2" w14:textId="77777777" w:rsidR="00862FFE" w:rsidRPr="00862FFE" w:rsidRDefault="00862FFE" w:rsidP="00862FFE">
            <w:pPr>
              <w:rPr>
                <w:rFonts w:ascii="Calibri" w:eastAsia="Times New Roman" w:hAnsi="Calibri" w:cs="Times New Roman"/>
                <w:b/>
                <w:bCs/>
                <w:color w:val="FFFFFF"/>
              </w:rPr>
            </w:pPr>
          </w:p>
        </w:tc>
        <w:tc>
          <w:tcPr>
            <w:tcW w:w="659" w:type="dxa"/>
            <w:tcBorders>
              <w:top w:val="nil"/>
              <w:left w:val="nil"/>
              <w:bottom w:val="nil"/>
              <w:right w:val="nil"/>
            </w:tcBorders>
            <w:shd w:val="clear" w:color="auto" w:fill="auto"/>
            <w:noWrap/>
            <w:vAlign w:val="bottom"/>
            <w:hideMark/>
          </w:tcPr>
          <w:p w14:paraId="558D1CA0"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218FF76D"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2B13C726"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30CBB946"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128F7C50"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25A0C049"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single" w:sz="4" w:space="0" w:color="auto"/>
            </w:tcBorders>
            <w:shd w:val="clear" w:color="auto" w:fill="auto"/>
            <w:noWrap/>
            <w:vAlign w:val="bottom"/>
            <w:hideMark/>
          </w:tcPr>
          <w:p w14:paraId="22FD8557"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r>
      <w:tr w:rsidR="00862FFE" w:rsidRPr="00862FFE" w14:paraId="014D1499" w14:textId="77777777" w:rsidTr="00862FFE">
        <w:trPr>
          <w:trHeight w:val="410"/>
        </w:trPr>
        <w:tc>
          <w:tcPr>
            <w:tcW w:w="2966" w:type="dxa"/>
            <w:tcBorders>
              <w:top w:val="nil"/>
              <w:left w:val="single" w:sz="4" w:space="0" w:color="auto"/>
              <w:bottom w:val="double" w:sz="6" w:space="0" w:color="3F3F3F"/>
              <w:right w:val="double" w:sz="6" w:space="0" w:color="3F3F3F"/>
            </w:tcBorders>
            <w:shd w:val="clear" w:color="000000" w:fill="A5A5A5"/>
            <w:noWrap/>
            <w:vAlign w:val="bottom"/>
            <w:hideMark/>
          </w:tcPr>
          <w:p w14:paraId="28426470" w14:textId="77777777" w:rsidR="00862FFE" w:rsidRPr="00862FFE" w:rsidRDefault="00862FFE" w:rsidP="00862FFE">
            <w:pPr>
              <w:rPr>
                <w:rFonts w:ascii="Calibri" w:eastAsia="Times New Roman" w:hAnsi="Calibri" w:cs="Times New Roman"/>
                <w:b/>
                <w:bCs/>
                <w:color w:val="FFFFFF"/>
              </w:rPr>
            </w:pPr>
            <w:r w:rsidRPr="00862FFE">
              <w:rPr>
                <w:rFonts w:ascii="Calibri" w:eastAsia="Times New Roman" w:hAnsi="Calibri" w:cs="Times New Roman"/>
                <w:b/>
                <w:bCs/>
                <w:color w:val="FFFFFF"/>
              </w:rPr>
              <w:t>GWP</w:t>
            </w:r>
          </w:p>
        </w:tc>
        <w:tc>
          <w:tcPr>
            <w:tcW w:w="659" w:type="dxa"/>
            <w:tcBorders>
              <w:top w:val="nil"/>
              <w:left w:val="nil"/>
              <w:bottom w:val="double" w:sz="6" w:space="0" w:color="3F3F3F"/>
              <w:right w:val="double" w:sz="6" w:space="0" w:color="3F3F3F"/>
            </w:tcBorders>
            <w:shd w:val="clear" w:color="000000" w:fill="A5A5A5"/>
            <w:noWrap/>
            <w:vAlign w:val="bottom"/>
            <w:hideMark/>
          </w:tcPr>
          <w:p w14:paraId="1613D1F7" w14:textId="77777777" w:rsidR="00862FFE" w:rsidRPr="00862FFE" w:rsidRDefault="00862FFE" w:rsidP="00862FFE">
            <w:pPr>
              <w:rPr>
                <w:rFonts w:ascii="Calibri" w:eastAsia="Times New Roman" w:hAnsi="Calibri" w:cs="Times New Roman"/>
                <w:b/>
                <w:bCs/>
                <w:color w:val="FFFFFF"/>
              </w:rPr>
            </w:pPr>
            <w:r w:rsidRPr="00862FFE">
              <w:rPr>
                <w:rFonts w:ascii="Calibri" w:eastAsia="Times New Roman" w:hAnsi="Calibri" w:cs="Times New Roman"/>
                <w:b/>
                <w:bCs/>
                <w:color w:val="FFFFFF"/>
              </w:rPr>
              <w:t>F</w:t>
            </w:r>
          </w:p>
        </w:tc>
        <w:tc>
          <w:tcPr>
            <w:tcW w:w="659" w:type="dxa"/>
            <w:tcBorders>
              <w:top w:val="nil"/>
              <w:left w:val="nil"/>
              <w:bottom w:val="nil"/>
              <w:right w:val="nil"/>
            </w:tcBorders>
            <w:shd w:val="clear" w:color="auto" w:fill="auto"/>
            <w:noWrap/>
            <w:vAlign w:val="bottom"/>
            <w:hideMark/>
          </w:tcPr>
          <w:p w14:paraId="116AA9D4" w14:textId="77777777" w:rsidR="00862FFE" w:rsidRPr="00862FFE" w:rsidRDefault="00862FFE" w:rsidP="00862FFE">
            <w:pPr>
              <w:rPr>
                <w:rFonts w:ascii="Calibri" w:eastAsia="Times New Roman" w:hAnsi="Calibri" w:cs="Times New Roman"/>
                <w:b/>
                <w:bCs/>
                <w:color w:val="FFFFFF"/>
              </w:rPr>
            </w:pPr>
          </w:p>
        </w:tc>
        <w:tc>
          <w:tcPr>
            <w:tcW w:w="659" w:type="dxa"/>
            <w:tcBorders>
              <w:top w:val="nil"/>
              <w:left w:val="nil"/>
              <w:bottom w:val="nil"/>
              <w:right w:val="nil"/>
            </w:tcBorders>
            <w:shd w:val="clear" w:color="auto" w:fill="auto"/>
            <w:noWrap/>
            <w:vAlign w:val="bottom"/>
            <w:hideMark/>
          </w:tcPr>
          <w:p w14:paraId="4401ED3A"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18F6A14A"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489657D8"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4AB4C9A4"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14A8800F"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1F456D02"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single" w:sz="4" w:space="0" w:color="auto"/>
            </w:tcBorders>
            <w:shd w:val="clear" w:color="auto" w:fill="auto"/>
            <w:noWrap/>
            <w:vAlign w:val="bottom"/>
            <w:hideMark/>
          </w:tcPr>
          <w:p w14:paraId="4573A9FC"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r>
      <w:tr w:rsidR="00862FFE" w:rsidRPr="00862FFE" w14:paraId="7D6E6B34" w14:textId="77777777" w:rsidTr="00862FFE">
        <w:trPr>
          <w:trHeight w:val="410"/>
        </w:trPr>
        <w:tc>
          <w:tcPr>
            <w:tcW w:w="2966" w:type="dxa"/>
            <w:tcBorders>
              <w:top w:val="nil"/>
              <w:left w:val="single" w:sz="4" w:space="0" w:color="auto"/>
              <w:bottom w:val="double" w:sz="6" w:space="0" w:color="3F3F3F"/>
              <w:right w:val="double" w:sz="6" w:space="0" w:color="3F3F3F"/>
            </w:tcBorders>
            <w:shd w:val="clear" w:color="000000" w:fill="A5A5A5"/>
            <w:noWrap/>
            <w:vAlign w:val="bottom"/>
            <w:hideMark/>
          </w:tcPr>
          <w:p w14:paraId="051BE237" w14:textId="77777777" w:rsidR="00862FFE" w:rsidRPr="00862FFE" w:rsidRDefault="00862FFE" w:rsidP="00862FFE">
            <w:pPr>
              <w:rPr>
                <w:rFonts w:ascii="Calibri" w:eastAsia="Times New Roman" w:hAnsi="Calibri" w:cs="Times New Roman"/>
                <w:b/>
                <w:bCs/>
                <w:color w:val="FFFFFF"/>
              </w:rPr>
            </w:pPr>
            <w:r w:rsidRPr="00862FFE">
              <w:rPr>
                <w:rFonts w:ascii="Calibri" w:eastAsia="Times New Roman" w:hAnsi="Calibri" w:cs="Times New Roman"/>
                <w:b/>
                <w:bCs/>
                <w:color w:val="FFFFFF"/>
              </w:rPr>
              <w:t>Income Share Held by Top 10%</w:t>
            </w:r>
          </w:p>
        </w:tc>
        <w:tc>
          <w:tcPr>
            <w:tcW w:w="659" w:type="dxa"/>
            <w:tcBorders>
              <w:top w:val="nil"/>
              <w:left w:val="nil"/>
              <w:bottom w:val="double" w:sz="6" w:space="0" w:color="3F3F3F"/>
              <w:right w:val="double" w:sz="6" w:space="0" w:color="3F3F3F"/>
            </w:tcBorders>
            <w:shd w:val="clear" w:color="000000" w:fill="A5A5A5"/>
            <w:noWrap/>
            <w:vAlign w:val="bottom"/>
            <w:hideMark/>
          </w:tcPr>
          <w:p w14:paraId="19C2070A" w14:textId="77777777" w:rsidR="00862FFE" w:rsidRPr="00862FFE" w:rsidRDefault="00862FFE" w:rsidP="00862FFE">
            <w:pPr>
              <w:rPr>
                <w:rFonts w:ascii="Calibri" w:eastAsia="Times New Roman" w:hAnsi="Calibri" w:cs="Times New Roman"/>
                <w:b/>
                <w:bCs/>
                <w:color w:val="FFFFFF"/>
              </w:rPr>
            </w:pPr>
            <w:r w:rsidRPr="00862FFE">
              <w:rPr>
                <w:rFonts w:ascii="Calibri" w:eastAsia="Times New Roman" w:hAnsi="Calibri" w:cs="Times New Roman"/>
                <w:b/>
                <w:bCs/>
                <w:color w:val="FFFFFF"/>
              </w:rPr>
              <w:t>G</w:t>
            </w:r>
          </w:p>
        </w:tc>
        <w:tc>
          <w:tcPr>
            <w:tcW w:w="659" w:type="dxa"/>
            <w:tcBorders>
              <w:top w:val="nil"/>
              <w:left w:val="nil"/>
              <w:bottom w:val="nil"/>
              <w:right w:val="nil"/>
            </w:tcBorders>
            <w:shd w:val="clear" w:color="auto" w:fill="auto"/>
            <w:noWrap/>
            <w:vAlign w:val="bottom"/>
            <w:hideMark/>
          </w:tcPr>
          <w:p w14:paraId="4394CC4E" w14:textId="77777777" w:rsidR="00862FFE" w:rsidRPr="00862FFE" w:rsidRDefault="00862FFE" w:rsidP="00862FFE">
            <w:pPr>
              <w:rPr>
                <w:rFonts w:ascii="Calibri" w:eastAsia="Times New Roman" w:hAnsi="Calibri" w:cs="Times New Roman"/>
                <w:b/>
                <w:bCs/>
                <w:color w:val="FFFFFF"/>
              </w:rPr>
            </w:pPr>
          </w:p>
        </w:tc>
        <w:tc>
          <w:tcPr>
            <w:tcW w:w="659" w:type="dxa"/>
            <w:tcBorders>
              <w:top w:val="nil"/>
              <w:left w:val="nil"/>
              <w:bottom w:val="nil"/>
              <w:right w:val="nil"/>
            </w:tcBorders>
            <w:shd w:val="clear" w:color="auto" w:fill="auto"/>
            <w:noWrap/>
            <w:vAlign w:val="bottom"/>
            <w:hideMark/>
          </w:tcPr>
          <w:p w14:paraId="3E6E935A"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3317A688"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2D5C8A25"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522C8602"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111DC908"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3EB5E444"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single" w:sz="4" w:space="0" w:color="auto"/>
            </w:tcBorders>
            <w:shd w:val="clear" w:color="auto" w:fill="auto"/>
            <w:noWrap/>
            <w:vAlign w:val="bottom"/>
            <w:hideMark/>
          </w:tcPr>
          <w:p w14:paraId="6302CC8F"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r>
      <w:tr w:rsidR="00862FFE" w:rsidRPr="00862FFE" w14:paraId="5799B36F" w14:textId="77777777" w:rsidTr="00862FFE">
        <w:trPr>
          <w:trHeight w:val="410"/>
        </w:trPr>
        <w:tc>
          <w:tcPr>
            <w:tcW w:w="2966" w:type="dxa"/>
            <w:tcBorders>
              <w:top w:val="nil"/>
              <w:left w:val="single" w:sz="4" w:space="0" w:color="auto"/>
              <w:bottom w:val="double" w:sz="6" w:space="0" w:color="3F3F3F"/>
              <w:right w:val="double" w:sz="6" w:space="0" w:color="3F3F3F"/>
            </w:tcBorders>
            <w:shd w:val="clear" w:color="000000" w:fill="A5A5A5"/>
            <w:noWrap/>
            <w:vAlign w:val="bottom"/>
            <w:hideMark/>
          </w:tcPr>
          <w:p w14:paraId="1013A141" w14:textId="77777777" w:rsidR="00862FFE" w:rsidRPr="00862FFE" w:rsidRDefault="00862FFE" w:rsidP="00862FFE">
            <w:pPr>
              <w:rPr>
                <w:rFonts w:ascii="Calibri" w:eastAsia="Times New Roman" w:hAnsi="Calibri" w:cs="Times New Roman"/>
                <w:b/>
                <w:bCs/>
                <w:color w:val="FFFFFF"/>
              </w:rPr>
            </w:pPr>
            <w:r w:rsidRPr="00862FFE">
              <w:rPr>
                <w:rFonts w:ascii="Calibri" w:eastAsia="Times New Roman" w:hAnsi="Calibri" w:cs="Times New Roman"/>
                <w:b/>
                <w:bCs/>
                <w:color w:val="FFFFFF"/>
              </w:rPr>
              <w:t>Electricity Usage (</w:t>
            </w:r>
            <w:proofErr w:type="spellStart"/>
            <w:r w:rsidRPr="00862FFE">
              <w:rPr>
                <w:rFonts w:ascii="Calibri" w:eastAsia="Times New Roman" w:hAnsi="Calibri" w:cs="Times New Roman"/>
                <w:b/>
                <w:bCs/>
                <w:color w:val="FFFFFF"/>
              </w:rPr>
              <w:t>KwH</w:t>
            </w:r>
            <w:proofErr w:type="spellEnd"/>
            <w:r w:rsidRPr="00862FFE">
              <w:rPr>
                <w:rFonts w:ascii="Calibri" w:eastAsia="Times New Roman" w:hAnsi="Calibri" w:cs="Times New Roman"/>
                <w:b/>
                <w:bCs/>
                <w:color w:val="FFFFFF"/>
              </w:rPr>
              <w:t>)</w:t>
            </w:r>
          </w:p>
        </w:tc>
        <w:tc>
          <w:tcPr>
            <w:tcW w:w="659" w:type="dxa"/>
            <w:tcBorders>
              <w:top w:val="nil"/>
              <w:left w:val="nil"/>
              <w:bottom w:val="double" w:sz="6" w:space="0" w:color="3F3F3F"/>
              <w:right w:val="double" w:sz="6" w:space="0" w:color="3F3F3F"/>
            </w:tcBorders>
            <w:shd w:val="clear" w:color="000000" w:fill="A5A5A5"/>
            <w:noWrap/>
            <w:vAlign w:val="bottom"/>
            <w:hideMark/>
          </w:tcPr>
          <w:p w14:paraId="5C1DFBB9" w14:textId="77777777" w:rsidR="00862FFE" w:rsidRPr="00862FFE" w:rsidRDefault="00862FFE" w:rsidP="00862FFE">
            <w:pPr>
              <w:rPr>
                <w:rFonts w:ascii="Calibri" w:eastAsia="Times New Roman" w:hAnsi="Calibri" w:cs="Times New Roman"/>
                <w:b/>
                <w:bCs/>
                <w:color w:val="FFFFFF"/>
              </w:rPr>
            </w:pPr>
            <w:r w:rsidRPr="00862FFE">
              <w:rPr>
                <w:rFonts w:ascii="Calibri" w:eastAsia="Times New Roman" w:hAnsi="Calibri" w:cs="Times New Roman"/>
                <w:b/>
                <w:bCs/>
                <w:color w:val="FFFFFF"/>
              </w:rPr>
              <w:t>H</w:t>
            </w:r>
          </w:p>
        </w:tc>
        <w:tc>
          <w:tcPr>
            <w:tcW w:w="659" w:type="dxa"/>
            <w:tcBorders>
              <w:top w:val="nil"/>
              <w:left w:val="nil"/>
              <w:bottom w:val="nil"/>
              <w:right w:val="nil"/>
            </w:tcBorders>
            <w:shd w:val="clear" w:color="auto" w:fill="auto"/>
            <w:noWrap/>
            <w:vAlign w:val="bottom"/>
            <w:hideMark/>
          </w:tcPr>
          <w:p w14:paraId="054EE27E" w14:textId="77777777" w:rsidR="00862FFE" w:rsidRPr="00862FFE" w:rsidRDefault="00862FFE" w:rsidP="00862FFE">
            <w:pPr>
              <w:rPr>
                <w:rFonts w:ascii="Calibri" w:eastAsia="Times New Roman" w:hAnsi="Calibri" w:cs="Times New Roman"/>
                <w:b/>
                <w:bCs/>
                <w:color w:val="FFFFFF"/>
              </w:rPr>
            </w:pPr>
          </w:p>
        </w:tc>
        <w:tc>
          <w:tcPr>
            <w:tcW w:w="659" w:type="dxa"/>
            <w:tcBorders>
              <w:top w:val="nil"/>
              <w:left w:val="nil"/>
              <w:bottom w:val="nil"/>
              <w:right w:val="nil"/>
            </w:tcBorders>
            <w:shd w:val="clear" w:color="auto" w:fill="auto"/>
            <w:noWrap/>
            <w:vAlign w:val="bottom"/>
            <w:hideMark/>
          </w:tcPr>
          <w:p w14:paraId="3E53C009"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2DFADEF4"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0C480DA3"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433FD545"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02E5949B"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3C82BE4C"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single" w:sz="4" w:space="0" w:color="auto"/>
            </w:tcBorders>
            <w:shd w:val="clear" w:color="auto" w:fill="auto"/>
            <w:noWrap/>
            <w:vAlign w:val="bottom"/>
            <w:hideMark/>
          </w:tcPr>
          <w:p w14:paraId="7ECB4818"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r>
      <w:tr w:rsidR="00862FFE" w:rsidRPr="00862FFE" w14:paraId="7D77A55B" w14:textId="77777777" w:rsidTr="00862FFE">
        <w:trPr>
          <w:trHeight w:val="410"/>
        </w:trPr>
        <w:tc>
          <w:tcPr>
            <w:tcW w:w="2966" w:type="dxa"/>
            <w:tcBorders>
              <w:top w:val="nil"/>
              <w:left w:val="single" w:sz="4" w:space="0" w:color="auto"/>
              <w:bottom w:val="double" w:sz="6" w:space="0" w:color="3F3F3F"/>
              <w:right w:val="double" w:sz="6" w:space="0" w:color="3F3F3F"/>
            </w:tcBorders>
            <w:shd w:val="clear" w:color="000000" w:fill="A5A5A5"/>
            <w:noWrap/>
            <w:vAlign w:val="bottom"/>
            <w:hideMark/>
          </w:tcPr>
          <w:p w14:paraId="3E8586C3" w14:textId="77777777" w:rsidR="00862FFE" w:rsidRPr="00862FFE" w:rsidRDefault="00862FFE" w:rsidP="00862FFE">
            <w:pPr>
              <w:rPr>
                <w:rFonts w:ascii="Calibri" w:eastAsia="Times New Roman" w:hAnsi="Calibri" w:cs="Times New Roman"/>
                <w:b/>
                <w:bCs/>
                <w:color w:val="FFFFFF"/>
              </w:rPr>
            </w:pPr>
            <w:r w:rsidRPr="00862FFE">
              <w:rPr>
                <w:rFonts w:ascii="Calibri" w:eastAsia="Times New Roman" w:hAnsi="Calibri" w:cs="Times New Roman"/>
                <w:b/>
                <w:bCs/>
                <w:color w:val="FFFFFF"/>
              </w:rPr>
              <w:t>Forest Area (km)</w:t>
            </w:r>
          </w:p>
        </w:tc>
        <w:tc>
          <w:tcPr>
            <w:tcW w:w="659" w:type="dxa"/>
            <w:tcBorders>
              <w:top w:val="nil"/>
              <w:left w:val="nil"/>
              <w:bottom w:val="double" w:sz="6" w:space="0" w:color="3F3F3F"/>
              <w:right w:val="double" w:sz="6" w:space="0" w:color="3F3F3F"/>
            </w:tcBorders>
            <w:shd w:val="clear" w:color="000000" w:fill="A5A5A5"/>
            <w:noWrap/>
            <w:vAlign w:val="bottom"/>
            <w:hideMark/>
          </w:tcPr>
          <w:p w14:paraId="238FADB9" w14:textId="77777777" w:rsidR="00862FFE" w:rsidRPr="00862FFE" w:rsidRDefault="00862FFE" w:rsidP="00862FFE">
            <w:pPr>
              <w:rPr>
                <w:rFonts w:ascii="Calibri" w:eastAsia="Times New Roman" w:hAnsi="Calibri" w:cs="Times New Roman"/>
                <w:b/>
                <w:bCs/>
                <w:color w:val="FFFFFF"/>
              </w:rPr>
            </w:pPr>
            <w:r w:rsidRPr="00862FFE">
              <w:rPr>
                <w:rFonts w:ascii="Calibri" w:eastAsia="Times New Roman" w:hAnsi="Calibri" w:cs="Times New Roman"/>
                <w:b/>
                <w:bCs/>
                <w:color w:val="FFFFFF"/>
              </w:rPr>
              <w:t>I</w:t>
            </w:r>
          </w:p>
        </w:tc>
        <w:tc>
          <w:tcPr>
            <w:tcW w:w="659" w:type="dxa"/>
            <w:tcBorders>
              <w:top w:val="nil"/>
              <w:left w:val="nil"/>
              <w:bottom w:val="nil"/>
              <w:right w:val="nil"/>
            </w:tcBorders>
            <w:shd w:val="clear" w:color="auto" w:fill="auto"/>
            <w:noWrap/>
            <w:vAlign w:val="bottom"/>
            <w:hideMark/>
          </w:tcPr>
          <w:p w14:paraId="5A08659A" w14:textId="77777777" w:rsidR="00862FFE" w:rsidRPr="00862FFE" w:rsidRDefault="00862FFE" w:rsidP="00862FFE">
            <w:pPr>
              <w:rPr>
                <w:rFonts w:ascii="Calibri" w:eastAsia="Times New Roman" w:hAnsi="Calibri" w:cs="Times New Roman"/>
                <w:b/>
                <w:bCs/>
                <w:color w:val="FFFFFF"/>
              </w:rPr>
            </w:pPr>
          </w:p>
        </w:tc>
        <w:tc>
          <w:tcPr>
            <w:tcW w:w="659" w:type="dxa"/>
            <w:tcBorders>
              <w:top w:val="nil"/>
              <w:left w:val="nil"/>
              <w:bottom w:val="nil"/>
              <w:right w:val="nil"/>
            </w:tcBorders>
            <w:shd w:val="clear" w:color="auto" w:fill="auto"/>
            <w:noWrap/>
            <w:vAlign w:val="bottom"/>
            <w:hideMark/>
          </w:tcPr>
          <w:p w14:paraId="0F2EA528"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0B82ABB4"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2F01C666"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7224FEC2"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104E522A"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nil"/>
            </w:tcBorders>
            <w:shd w:val="clear" w:color="auto" w:fill="auto"/>
            <w:noWrap/>
            <w:vAlign w:val="bottom"/>
            <w:hideMark/>
          </w:tcPr>
          <w:p w14:paraId="27B2C823" w14:textId="77777777" w:rsidR="00862FFE" w:rsidRPr="00862FFE" w:rsidRDefault="00862FFE" w:rsidP="00862FFE">
            <w:pPr>
              <w:rPr>
                <w:rFonts w:ascii="Times New Roman" w:eastAsia="Times New Roman" w:hAnsi="Times New Roman" w:cs="Times New Roman"/>
                <w:sz w:val="20"/>
                <w:szCs w:val="20"/>
              </w:rPr>
            </w:pPr>
          </w:p>
        </w:tc>
        <w:tc>
          <w:tcPr>
            <w:tcW w:w="659" w:type="dxa"/>
            <w:tcBorders>
              <w:top w:val="nil"/>
              <w:left w:val="nil"/>
              <w:bottom w:val="nil"/>
              <w:right w:val="single" w:sz="4" w:space="0" w:color="auto"/>
            </w:tcBorders>
            <w:shd w:val="clear" w:color="auto" w:fill="auto"/>
            <w:noWrap/>
            <w:vAlign w:val="bottom"/>
            <w:hideMark/>
          </w:tcPr>
          <w:p w14:paraId="10B4A702"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r>
      <w:tr w:rsidR="00862FFE" w:rsidRPr="00862FFE" w14:paraId="17CDACCA" w14:textId="77777777" w:rsidTr="00862FFE">
        <w:trPr>
          <w:trHeight w:val="384"/>
        </w:trPr>
        <w:tc>
          <w:tcPr>
            <w:tcW w:w="2966" w:type="dxa"/>
            <w:tcBorders>
              <w:top w:val="nil"/>
              <w:left w:val="single" w:sz="4" w:space="0" w:color="auto"/>
              <w:bottom w:val="single" w:sz="4" w:space="0" w:color="auto"/>
              <w:right w:val="double" w:sz="6" w:space="0" w:color="3F3F3F"/>
            </w:tcBorders>
            <w:shd w:val="clear" w:color="000000" w:fill="A5A5A5"/>
            <w:noWrap/>
            <w:vAlign w:val="bottom"/>
            <w:hideMark/>
          </w:tcPr>
          <w:p w14:paraId="720F85A6" w14:textId="77777777" w:rsidR="00862FFE" w:rsidRPr="00862FFE" w:rsidRDefault="00862FFE" w:rsidP="00862FFE">
            <w:pPr>
              <w:rPr>
                <w:rFonts w:ascii="Calibri" w:eastAsia="Times New Roman" w:hAnsi="Calibri" w:cs="Times New Roman"/>
                <w:b/>
                <w:bCs/>
                <w:color w:val="FFFFFF"/>
              </w:rPr>
            </w:pPr>
            <w:r w:rsidRPr="00862FFE">
              <w:rPr>
                <w:rFonts w:ascii="Calibri" w:eastAsia="Times New Roman" w:hAnsi="Calibri" w:cs="Times New Roman"/>
                <w:b/>
                <w:bCs/>
                <w:color w:val="FFFFFF"/>
              </w:rPr>
              <w:t>Alternative Energy (% of total)</w:t>
            </w:r>
          </w:p>
        </w:tc>
        <w:tc>
          <w:tcPr>
            <w:tcW w:w="659" w:type="dxa"/>
            <w:tcBorders>
              <w:top w:val="nil"/>
              <w:left w:val="nil"/>
              <w:bottom w:val="single" w:sz="4" w:space="0" w:color="auto"/>
              <w:right w:val="double" w:sz="6" w:space="0" w:color="3F3F3F"/>
            </w:tcBorders>
            <w:shd w:val="clear" w:color="000000" w:fill="A5A5A5"/>
            <w:noWrap/>
            <w:vAlign w:val="bottom"/>
            <w:hideMark/>
          </w:tcPr>
          <w:p w14:paraId="5887193B" w14:textId="77777777" w:rsidR="00862FFE" w:rsidRPr="00862FFE" w:rsidRDefault="00862FFE" w:rsidP="00862FFE">
            <w:pPr>
              <w:rPr>
                <w:rFonts w:ascii="Calibri" w:eastAsia="Times New Roman" w:hAnsi="Calibri" w:cs="Times New Roman"/>
                <w:b/>
                <w:bCs/>
                <w:color w:val="FFFFFF"/>
              </w:rPr>
            </w:pPr>
            <w:r w:rsidRPr="00862FFE">
              <w:rPr>
                <w:rFonts w:ascii="Calibri" w:eastAsia="Times New Roman" w:hAnsi="Calibri" w:cs="Times New Roman"/>
                <w:b/>
                <w:bCs/>
                <w:color w:val="FFFFFF"/>
              </w:rPr>
              <w:t>J</w:t>
            </w:r>
          </w:p>
        </w:tc>
        <w:tc>
          <w:tcPr>
            <w:tcW w:w="659" w:type="dxa"/>
            <w:tcBorders>
              <w:top w:val="nil"/>
              <w:left w:val="nil"/>
              <w:bottom w:val="single" w:sz="4" w:space="0" w:color="auto"/>
              <w:right w:val="nil"/>
            </w:tcBorders>
            <w:shd w:val="clear" w:color="auto" w:fill="auto"/>
            <w:noWrap/>
            <w:vAlign w:val="bottom"/>
            <w:hideMark/>
          </w:tcPr>
          <w:p w14:paraId="51DFC3E0"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c>
          <w:tcPr>
            <w:tcW w:w="659" w:type="dxa"/>
            <w:tcBorders>
              <w:top w:val="nil"/>
              <w:left w:val="nil"/>
              <w:bottom w:val="single" w:sz="4" w:space="0" w:color="auto"/>
              <w:right w:val="nil"/>
            </w:tcBorders>
            <w:shd w:val="clear" w:color="auto" w:fill="auto"/>
            <w:noWrap/>
            <w:vAlign w:val="bottom"/>
            <w:hideMark/>
          </w:tcPr>
          <w:p w14:paraId="106A413E"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c>
          <w:tcPr>
            <w:tcW w:w="659" w:type="dxa"/>
            <w:tcBorders>
              <w:top w:val="nil"/>
              <w:left w:val="nil"/>
              <w:bottom w:val="single" w:sz="4" w:space="0" w:color="auto"/>
              <w:right w:val="nil"/>
            </w:tcBorders>
            <w:shd w:val="clear" w:color="auto" w:fill="auto"/>
            <w:noWrap/>
            <w:vAlign w:val="bottom"/>
            <w:hideMark/>
          </w:tcPr>
          <w:p w14:paraId="5755AB55"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c>
          <w:tcPr>
            <w:tcW w:w="659" w:type="dxa"/>
            <w:tcBorders>
              <w:top w:val="nil"/>
              <w:left w:val="nil"/>
              <w:bottom w:val="single" w:sz="4" w:space="0" w:color="auto"/>
              <w:right w:val="nil"/>
            </w:tcBorders>
            <w:shd w:val="clear" w:color="auto" w:fill="auto"/>
            <w:noWrap/>
            <w:vAlign w:val="bottom"/>
            <w:hideMark/>
          </w:tcPr>
          <w:p w14:paraId="0C9AC47B"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c>
          <w:tcPr>
            <w:tcW w:w="659" w:type="dxa"/>
            <w:tcBorders>
              <w:top w:val="nil"/>
              <w:left w:val="nil"/>
              <w:bottom w:val="single" w:sz="4" w:space="0" w:color="auto"/>
              <w:right w:val="nil"/>
            </w:tcBorders>
            <w:shd w:val="clear" w:color="auto" w:fill="auto"/>
            <w:noWrap/>
            <w:vAlign w:val="bottom"/>
            <w:hideMark/>
          </w:tcPr>
          <w:p w14:paraId="28706C0A"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c>
          <w:tcPr>
            <w:tcW w:w="659" w:type="dxa"/>
            <w:tcBorders>
              <w:top w:val="nil"/>
              <w:left w:val="nil"/>
              <w:bottom w:val="single" w:sz="4" w:space="0" w:color="auto"/>
              <w:right w:val="nil"/>
            </w:tcBorders>
            <w:shd w:val="clear" w:color="auto" w:fill="auto"/>
            <w:noWrap/>
            <w:vAlign w:val="bottom"/>
            <w:hideMark/>
          </w:tcPr>
          <w:p w14:paraId="7BED8ECD"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c>
          <w:tcPr>
            <w:tcW w:w="659" w:type="dxa"/>
            <w:tcBorders>
              <w:top w:val="nil"/>
              <w:left w:val="nil"/>
              <w:bottom w:val="single" w:sz="4" w:space="0" w:color="auto"/>
              <w:right w:val="nil"/>
            </w:tcBorders>
            <w:shd w:val="clear" w:color="auto" w:fill="auto"/>
            <w:noWrap/>
            <w:vAlign w:val="bottom"/>
            <w:hideMark/>
          </w:tcPr>
          <w:p w14:paraId="638C4023"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c>
          <w:tcPr>
            <w:tcW w:w="659" w:type="dxa"/>
            <w:tcBorders>
              <w:top w:val="nil"/>
              <w:left w:val="nil"/>
              <w:bottom w:val="single" w:sz="4" w:space="0" w:color="auto"/>
              <w:right w:val="single" w:sz="4" w:space="0" w:color="auto"/>
            </w:tcBorders>
            <w:shd w:val="clear" w:color="auto" w:fill="auto"/>
            <w:noWrap/>
            <w:vAlign w:val="bottom"/>
            <w:hideMark/>
          </w:tcPr>
          <w:p w14:paraId="16856DB0" w14:textId="77777777" w:rsidR="00862FFE" w:rsidRPr="00862FFE" w:rsidRDefault="00862FFE" w:rsidP="00862FFE">
            <w:pPr>
              <w:rPr>
                <w:rFonts w:ascii="Calibri" w:eastAsia="Times New Roman" w:hAnsi="Calibri" w:cs="Times New Roman"/>
                <w:color w:val="000000"/>
              </w:rPr>
            </w:pPr>
            <w:r w:rsidRPr="00862FFE">
              <w:rPr>
                <w:rFonts w:ascii="Calibri" w:eastAsia="Times New Roman" w:hAnsi="Calibri" w:cs="Times New Roman"/>
                <w:color w:val="000000"/>
              </w:rPr>
              <w:t> </w:t>
            </w:r>
          </w:p>
        </w:tc>
      </w:tr>
    </w:tbl>
    <w:p w14:paraId="486A8F88" w14:textId="77777777" w:rsidR="00862FFE" w:rsidRDefault="00862FFE" w:rsidP="00AE2A04">
      <w:r>
        <w:rPr>
          <w:noProof/>
        </w:rPr>
        <mc:AlternateContent>
          <mc:Choice Requires="wps">
            <w:drawing>
              <wp:anchor distT="0" distB="0" distL="114300" distR="114300" simplePos="0" relativeHeight="251659264" behindDoc="0" locked="0" layoutInCell="1" allowOverlap="1" wp14:anchorId="6BCE73F4" wp14:editId="6A433693">
                <wp:simplePos x="0" y="0"/>
                <wp:positionH relativeFrom="column">
                  <wp:posOffset>-60325</wp:posOffset>
                </wp:positionH>
                <wp:positionV relativeFrom="paragraph">
                  <wp:posOffset>0</wp:posOffset>
                </wp:positionV>
                <wp:extent cx="6057900" cy="802640"/>
                <wp:effectExtent l="0" t="0" r="0" b="10160"/>
                <wp:wrapSquare wrapText="bothSides"/>
                <wp:docPr id="4" name="Text Box 4"/>
                <wp:cNvGraphicFramePr/>
                <a:graphic xmlns:a="http://schemas.openxmlformats.org/drawingml/2006/main">
                  <a:graphicData uri="http://schemas.microsoft.com/office/word/2010/wordprocessingShape">
                    <wps:wsp>
                      <wps:cNvSpPr txBox="1"/>
                      <wps:spPr>
                        <a:xfrm>
                          <a:off x="0" y="0"/>
                          <a:ext cx="6057900"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4F26E5" w14:textId="77777777" w:rsidR="00862FFE" w:rsidRPr="00862FFE" w:rsidRDefault="00862FFE" w:rsidP="00862FFE">
                            <w:pPr>
                              <w:pBdr>
                                <w:top w:val="single" w:sz="4" w:space="1" w:color="auto"/>
                                <w:left w:val="single" w:sz="4" w:space="4" w:color="auto"/>
                                <w:bottom w:val="single" w:sz="4" w:space="1" w:color="auto"/>
                                <w:right w:val="single" w:sz="4" w:space="4" w:color="auto"/>
                              </w:pBdr>
                              <w:rPr>
                                <w:sz w:val="36"/>
                                <w:szCs w:val="36"/>
                              </w:rPr>
                            </w:pPr>
                            <w:r w:rsidRPr="00862FFE">
                              <w:rPr>
                                <w:sz w:val="36"/>
                                <w:szCs w:val="36"/>
                              </w:rPr>
                              <w:t>Correlations of C02 Emissions and Global Mean Temperature with Major World Metrics. Chart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CE73F4" id="_x0000_t202" coordsize="21600,21600" o:spt="202" path="m0,0l0,21600,21600,21600,21600,0xe">
                <v:stroke joinstyle="miter"/>
                <v:path gradientshapeok="t" o:connecttype="rect"/>
              </v:shapetype>
              <v:shape id="Text_x0020_Box_x0020_4" o:spid="_x0000_s1026" type="#_x0000_t202" style="position:absolute;margin-left:-4.75pt;margin-top:0;width:477pt;height:63.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" filled="f" stroked="f">
                <v:textbox>
                  <w:txbxContent>
                    <w:p w14:paraId="104F26E5" w14:textId="77777777" w:rsidR="00862FFE" w:rsidRPr="00862FFE" w:rsidRDefault="00862FFE" w:rsidP="00862FFE">
                      <w:pPr>
                        <w:pBdr>
                          <w:top w:val="single" w:sz="4" w:space="1" w:color="auto"/>
                          <w:left w:val="single" w:sz="4" w:space="4" w:color="auto"/>
                          <w:bottom w:val="single" w:sz="4" w:space="1" w:color="auto"/>
                          <w:right w:val="single" w:sz="4" w:space="4" w:color="auto"/>
                        </w:pBdr>
                        <w:rPr>
                          <w:sz w:val="36"/>
                          <w:szCs w:val="36"/>
                        </w:rPr>
                      </w:pPr>
                      <w:r w:rsidRPr="00862FFE">
                        <w:rPr>
                          <w:sz w:val="36"/>
                          <w:szCs w:val="36"/>
                        </w:rPr>
                        <w:t>Correlations of C02 Emissions and Global Mean Temperature with Major World Metrics. Chart 3</w:t>
                      </w:r>
                    </w:p>
                  </w:txbxContent>
                </v:textbox>
                <w10:wrap type="square"/>
              </v:shape>
            </w:pict>
          </mc:Fallback>
        </mc:AlternateContent>
      </w:r>
    </w:p>
    <w:p w14:paraId="3B113F8E" w14:textId="77777777" w:rsidR="00862FFE" w:rsidRDefault="00862FFE">
      <w:r>
        <w:br w:type="page"/>
      </w:r>
    </w:p>
    <w:p w14:paraId="1FBFFAB0" w14:textId="77777777" w:rsidR="00862FFE" w:rsidRDefault="00862FFE" w:rsidP="00AE2A04"/>
    <w:p w14:paraId="2300EC15" w14:textId="77777777" w:rsidR="00AE2A04" w:rsidRDefault="00AE2A04" w:rsidP="00AE2A04"/>
    <w:p w14:paraId="756DB9AB" w14:textId="77777777" w:rsidR="00AE2A04" w:rsidRDefault="00AE2A04" w:rsidP="00AE2A04">
      <w:r>
        <w:t>New Data Interpretation</w:t>
      </w:r>
    </w:p>
    <w:p w14:paraId="0D78BF5F" w14:textId="77777777" w:rsidR="00AE2A04" w:rsidRDefault="00AE2A04" w:rsidP="00AE2A04">
      <w:r>
        <w:t xml:space="preserve">The updated data shows the continuation of such a trend with a general linear increase in CO2 emissions with seasonal fluctuations. This trend is very </w:t>
      </w:r>
      <w:proofErr w:type="spellStart"/>
      <w:r>
        <w:t>consistant</w:t>
      </w:r>
      <w:proofErr w:type="spellEnd"/>
      <w:r>
        <w:t xml:space="preserve"> with the trend apparent for the time period reported by </w:t>
      </w:r>
      <w:proofErr w:type="spellStart"/>
      <w:r>
        <w:t>Lomborg</w:t>
      </w:r>
      <w:proofErr w:type="spellEnd"/>
      <w:r>
        <w:t xml:space="preserve">. While there are multiple factors that contribute to CO2 emissions, the two main ones explored by the IPCC in regards to the emissions data, world population and global wealth, have had trends that have stayed </w:t>
      </w:r>
      <w:proofErr w:type="spellStart"/>
      <w:r>
        <w:t>reletively</w:t>
      </w:r>
      <w:proofErr w:type="spellEnd"/>
      <w:r>
        <w:t xml:space="preserve"> similar over the period reported by </w:t>
      </w:r>
      <w:proofErr w:type="spellStart"/>
      <w:r>
        <w:t>Lomborg</w:t>
      </w:r>
      <w:proofErr w:type="spellEnd"/>
      <w:r>
        <w:t xml:space="preserve"> and the updated period. We provide brief projections to 2030 using additional data that has become available only recently and compare these with projected scenarios from the IPCC for emissions. </w:t>
      </w:r>
    </w:p>
    <w:p w14:paraId="6C5268DD" w14:textId="77777777" w:rsidR="00AE2A04" w:rsidRDefault="00AE2A04" w:rsidP="00AE2A04"/>
    <w:p w14:paraId="308DDFD2" w14:textId="77777777" w:rsidR="00AE2A04" w:rsidRDefault="00AE2A04" w:rsidP="00AE2A04">
      <w:r>
        <w:t>Conclusion</w:t>
      </w:r>
    </w:p>
    <w:p w14:paraId="4DD046BE" w14:textId="77777777" w:rsidR="00AE2A04" w:rsidRDefault="00AE2A04" w:rsidP="00AE2A04">
      <w:proofErr w:type="spellStart"/>
      <w:r>
        <w:t>Lomborg</w:t>
      </w:r>
      <w:proofErr w:type="spellEnd"/>
      <w:r>
        <w:t xml:space="preserve"> was correct in his statements regarding that many of the IPCC models "run away too fast" with increases in emissions and have "unrealistic assumptions" with regards to a stagnation of technological advancement. The trend seen in the updated data is largely </w:t>
      </w:r>
      <w:proofErr w:type="spellStart"/>
      <w:r>
        <w:t>consistant</w:t>
      </w:r>
      <w:proofErr w:type="spellEnd"/>
      <w:r>
        <w:t xml:space="preserve"> with the previous several decades with no strong swings in either direction. </w:t>
      </w:r>
      <w:proofErr w:type="spellStart"/>
      <w:r>
        <w:t>Lomborg</w:t>
      </w:r>
      <w:proofErr w:type="spellEnd"/>
      <w:r>
        <w:t xml:space="preserve"> also examines IPCC </w:t>
      </w:r>
      <w:proofErr w:type="spellStart"/>
      <w:r>
        <w:t>scenerios</w:t>
      </w:r>
      <w:proofErr w:type="spellEnd"/>
      <w:r>
        <w:t xml:space="preserve"> and reports that with the most "realistic development for solar power, the </w:t>
      </w:r>
      <w:proofErr w:type="spellStart"/>
      <w:r>
        <w:t>tempreture</w:t>
      </w:r>
      <w:proofErr w:type="spellEnd"/>
      <w:r>
        <w:t xml:space="preserve"> will only 0.7C for the next 50 years". Using the latest </w:t>
      </w:r>
      <w:proofErr w:type="spellStart"/>
      <w:r>
        <w:t>tempreture</w:t>
      </w:r>
      <w:proofErr w:type="spellEnd"/>
      <w:r>
        <w:t xml:space="preserve"> data with a simple time series model predicts that </w:t>
      </w:r>
      <w:proofErr w:type="spellStart"/>
      <w:r>
        <w:t>Lomborg</w:t>
      </w:r>
      <w:proofErr w:type="spellEnd"/>
      <w:r>
        <w:t xml:space="preserve"> is suspected to be largely </w:t>
      </w:r>
      <w:r w:rsidR="00862FFE">
        <w:t xml:space="preserve">correct in this area as well. We provide a simple time series forecast using Holt-Winters smoothing (red) and a linear model using an intercept and time as a predictor for CO2 Emissions (green). Both of these models predict a steady rise in CO2 Emissions. For more complex models the factors in chart (3) should be evaluated and placed into context. Policy curbing CO2 emissions may be explained by the shrinking variance seen in yearly emissions, suggesting major developed producers of CO2 (US, European Union) are experiencing a lower amount of runaway pollution, while the general linear trend may be explained by countries with rapidly growing economies (India, China) whom have not yet reached the tipping point in terms of wealth for beginning to lower emissions [4]. Based on such observations, a good step forward in developed countries would be establishing guidelines for predicted CO2 emission for companies and requiring companies to publicly report excess CO2 produced along with documentation on the reasons. Thus, consumers with a strong preference for environmental quality will stop purchasing from such companies and provide an incentive to equalize green standards of their competitors. Along with established standards in place by governing environmental bodies (such as the EPA) we should see a further reduction in the variance of emissions by developed countries. For developing </w:t>
      </w:r>
      <w:proofErr w:type="gramStart"/>
      <w:r w:rsidR="00862FFE">
        <w:t>countries</w:t>
      </w:r>
      <w:proofErr w:type="gramEnd"/>
      <w:r w:rsidR="00862FFE">
        <w:t xml:space="preserve"> we may provide guidelines of “reasonable reduction” in CO2 emissions by introducing pollution permits at a lower cost, thus providing an incentive for companies to not over-emit while still allowing necessary pollution (by developing country standards) to be affordable. </w:t>
      </w:r>
    </w:p>
    <w:p w14:paraId="4A36BD7E" w14:textId="77777777" w:rsidR="001F3FFA" w:rsidRDefault="001F3FFA" w:rsidP="00AE2A04"/>
    <w:p w14:paraId="311055C7" w14:textId="77777777" w:rsidR="0014005B" w:rsidRDefault="0014005B" w:rsidP="00AE2A04"/>
    <w:p w14:paraId="5AB78650" w14:textId="77777777" w:rsidR="0014005B" w:rsidRDefault="0014005B" w:rsidP="00AE2A04"/>
    <w:p w14:paraId="4DA88ECB" w14:textId="77777777" w:rsidR="001F3FFA" w:rsidRDefault="001F3FFA" w:rsidP="00AE2A04"/>
    <w:p w14:paraId="567AD285" w14:textId="77777777" w:rsidR="001F3FFA" w:rsidRDefault="00862FFE" w:rsidP="00AE2A04">
      <w:r>
        <w:rPr>
          <w:rFonts w:ascii="Helvetica" w:hAnsi="Helvetica" w:cs="Helvetica"/>
          <w:noProof/>
        </w:rPr>
        <w:drawing>
          <wp:inline distT="0" distB="0" distL="0" distR="0" wp14:anchorId="2F9184A3" wp14:editId="7C9A35E1">
            <wp:extent cx="5941695" cy="594614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445" cy="5985920"/>
                    </a:xfrm>
                    <a:prstGeom prst="rect">
                      <a:avLst/>
                    </a:prstGeom>
                    <a:noFill/>
                    <a:ln>
                      <a:noFill/>
                    </a:ln>
                  </pic:spPr>
                </pic:pic>
              </a:graphicData>
            </a:graphic>
          </wp:inline>
        </w:drawing>
      </w:r>
      <w:bookmarkStart w:id="0" w:name="_GoBack"/>
      <w:bookmarkEnd w:id="0"/>
    </w:p>
    <w:p w14:paraId="40EB0AD0" w14:textId="77777777" w:rsidR="001F3FFA" w:rsidRDefault="001F3FFA" w:rsidP="00AE2A04"/>
    <w:p w14:paraId="140AA6E1" w14:textId="77777777" w:rsidR="001F3FFA" w:rsidRDefault="001F3FFA" w:rsidP="00AE2A04"/>
    <w:p w14:paraId="77B0CCFE" w14:textId="77777777" w:rsidR="001F3FFA" w:rsidRDefault="001F3FFA" w:rsidP="00AE2A04"/>
    <w:p w14:paraId="54B52282" w14:textId="77777777" w:rsidR="00862FFE" w:rsidRDefault="00862FFE" w:rsidP="00AE2A04"/>
    <w:p w14:paraId="43F9C758" w14:textId="77777777" w:rsidR="00862FFE" w:rsidRDefault="00862FFE" w:rsidP="00AE2A04"/>
    <w:p w14:paraId="606146F2" w14:textId="77777777" w:rsidR="00862FFE" w:rsidRDefault="00862FFE" w:rsidP="00AE2A04"/>
    <w:p w14:paraId="0EEB92CD" w14:textId="77777777" w:rsidR="00862FFE" w:rsidRDefault="00862FFE" w:rsidP="00AE2A04"/>
    <w:p w14:paraId="7E6B70A0" w14:textId="77777777" w:rsidR="00862FFE" w:rsidRDefault="00862FFE" w:rsidP="00AE2A04"/>
    <w:p w14:paraId="7ACCA621" w14:textId="77777777" w:rsidR="00862FFE" w:rsidRDefault="00862FFE" w:rsidP="00AE2A04"/>
    <w:p w14:paraId="180E3182" w14:textId="77777777" w:rsidR="00862FFE" w:rsidRDefault="00862FFE" w:rsidP="00AE2A04"/>
    <w:p w14:paraId="738E02E5" w14:textId="77777777" w:rsidR="00862FFE" w:rsidRDefault="00862FFE" w:rsidP="00AE2A04"/>
    <w:p w14:paraId="2A11EDA6" w14:textId="77777777" w:rsidR="00862FFE" w:rsidRDefault="00862FFE" w:rsidP="00AE2A04"/>
    <w:p w14:paraId="0CD6C6DC" w14:textId="77777777" w:rsidR="00862FFE" w:rsidRDefault="00862FFE" w:rsidP="00AE2A04"/>
    <w:p w14:paraId="26979953" w14:textId="77777777" w:rsidR="00862FFE" w:rsidRDefault="00862FFE" w:rsidP="00AE2A04"/>
    <w:p w14:paraId="20E1CFDC" w14:textId="77777777" w:rsidR="00862FFE" w:rsidRDefault="00862FFE" w:rsidP="00AE2A04"/>
    <w:p w14:paraId="11EFE212" w14:textId="77777777" w:rsidR="00862FFE" w:rsidRDefault="00862FFE" w:rsidP="00AE2A04"/>
    <w:p w14:paraId="3AC09A64" w14:textId="77777777" w:rsidR="00AE2A04" w:rsidRDefault="00AE2A04" w:rsidP="00AE2A04">
      <w:r>
        <w:t>Citations/Sources:</w:t>
      </w:r>
    </w:p>
    <w:p w14:paraId="09EFBD9B" w14:textId="77777777" w:rsidR="00862FFE" w:rsidRDefault="00862FFE" w:rsidP="00AE2A04"/>
    <w:p w14:paraId="4D499D87" w14:textId="77777777" w:rsidR="00862FFE" w:rsidRDefault="00862FFE" w:rsidP="00AE2A04"/>
    <w:p w14:paraId="1C2D230E" w14:textId="77777777" w:rsidR="00862FFE" w:rsidRDefault="00AE2A04" w:rsidP="00AE2A04">
      <w:r>
        <w:t>1.</w:t>
      </w:r>
    </w:p>
    <w:p w14:paraId="0AA68FDA" w14:textId="77777777" w:rsidR="00862FFE" w:rsidRPr="00862FFE" w:rsidRDefault="00862FFE" w:rsidP="00862FFE">
      <w:pPr>
        <w:rPr>
          <w:rFonts w:ascii="Times New Roman" w:eastAsia="Times New Roman" w:hAnsi="Times New Roman" w:cs="Times New Roman"/>
        </w:rPr>
      </w:pPr>
      <w:r>
        <w:t xml:space="preserve">NASA, </w:t>
      </w:r>
      <w:r>
        <w:t>Analysis of Climate Change (2000</w:t>
      </w:r>
      <w:proofErr w:type="gramStart"/>
      <w:r>
        <w:t>) ;</w:t>
      </w:r>
      <w:proofErr w:type="gramEnd"/>
      <w:r>
        <w:t xml:space="preserve"> Sourced from </w:t>
      </w:r>
      <w:proofErr w:type="spellStart"/>
      <w:r w:rsidRPr="00862FFE">
        <w:t>Vostok</w:t>
      </w:r>
      <w:proofErr w:type="spellEnd"/>
      <w:r w:rsidRPr="00862FFE">
        <w:t xml:space="preserve"> ice core data/J.R. Petit et al.; NOAA Mauna Loa CO2 record.</w:t>
      </w:r>
    </w:p>
    <w:p w14:paraId="32E967C7" w14:textId="77777777" w:rsidR="00AE2A04" w:rsidRDefault="00AE2A04" w:rsidP="00AE2A04">
      <w:pPr>
        <w:rPr>
          <w:rFonts w:ascii="Helvetica Neue" w:hAnsi="Helvetica Neue"/>
          <w:color w:val="333333"/>
          <w:sz w:val="21"/>
          <w:szCs w:val="21"/>
        </w:rPr>
      </w:pPr>
      <w:hyperlink r:id="rId7" w:history="1">
        <w:r w:rsidRPr="004E4D53">
          <w:rPr>
            <w:rStyle w:val="Hyperlink"/>
            <w:rFonts w:ascii="Helvetica Neue" w:hAnsi="Helvetica Neue"/>
            <w:sz w:val="21"/>
            <w:szCs w:val="21"/>
          </w:rPr>
          <w:t>http://climate.nasa.gov/evidence/</w:t>
        </w:r>
      </w:hyperlink>
    </w:p>
    <w:p w14:paraId="3F3EFF01" w14:textId="77777777" w:rsidR="00AE2A04" w:rsidRDefault="00AE2A04" w:rsidP="00AE2A04"/>
    <w:p w14:paraId="6EC9AEAA" w14:textId="77777777" w:rsidR="00862FFE" w:rsidRDefault="00862FFE" w:rsidP="00AE2A04"/>
    <w:p w14:paraId="4A3E9FC6" w14:textId="77777777" w:rsidR="00862FFE" w:rsidRDefault="00AE2A04" w:rsidP="00AE2A04">
      <w:r>
        <w:t>2.</w:t>
      </w:r>
    </w:p>
    <w:p w14:paraId="5F845E0C" w14:textId="77777777" w:rsidR="00862FFE" w:rsidRPr="00862FFE" w:rsidRDefault="00862FFE" w:rsidP="00862FFE">
      <w:r w:rsidRPr="00862FFE">
        <w:t>American Opinions on Global Warming: A Yale/Gallup/</w:t>
      </w:r>
      <w:proofErr w:type="spellStart"/>
      <w:r w:rsidRPr="00862FFE">
        <w:t>Clearvision</w:t>
      </w:r>
      <w:proofErr w:type="spellEnd"/>
      <w:r w:rsidRPr="00862FFE">
        <w:t xml:space="preserve"> Poll </w:t>
      </w:r>
      <w:r>
        <w:t>(2012)</w:t>
      </w:r>
    </w:p>
    <w:p w14:paraId="7418DA82" w14:textId="77777777" w:rsidR="00AE2A04" w:rsidRDefault="00AE2A04" w:rsidP="00AE2A04">
      <w:r>
        <w:t xml:space="preserve"> </w:t>
      </w:r>
      <w:hyperlink r:id="rId8" w:history="1">
        <w:r w:rsidR="00BF313D" w:rsidRPr="004E4D53">
          <w:rPr>
            <w:rStyle w:val="Hyperlink"/>
          </w:rPr>
          <w:t>http://environment.yale.edu/climate-communication/article/american-opinions-on-global-warming-a-yale-gallup-clearvision-poll</w:t>
        </w:r>
      </w:hyperlink>
    </w:p>
    <w:p w14:paraId="7883997F" w14:textId="77777777" w:rsidR="00BF313D" w:rsidRDefault="00BF313D" w:rsidP="00AE2A04"/>
    <w:p w14:paraId="6BA4891B" w14:textId="77777777" w:rsidR="00862FFE" w:rsidRDefault="00862FFE" w:rsidP="00BF313D">
      <w:pPr>
        <w:widowControl w:val="0"/>
        <w:autoSpaceDE w:val="0"/>
        <w:autoSpaceDN w:val="0"/>
        <w:adjustRightInd w:val="0"/>
      </w:pPr>
    </w:p>
    <w:p w14:paraId="222CC746" w14:textId="77777777" w:rsidR="00862FFE" w:rsidRDefault="00BF313D" w:rsidP="00BF313D">
      <w:pPr>
        <w:widowControl w:val="0"/>
        <w:autoSpaceDE w:val="0"/>
        <w:autoSpaceDN w:val="0"/>
        <w:adjustRightInd w:val="0"/>
      </w:pPr>
      <w:r>
        <w:t xml:space="preserve">3. </w:t>
      </w:r>
    </w:p>
    <w:p w14:paraId="2AE582A7" w14:textId="77777777" w:rsidR="00862FFE" w:rsidRDefault="00862FFE" w:rsidP="00BF313D">
      <w:pPr>
        <w:widowControl w:val="0"/>
        <w:autoSpaceDE w:val="0"/>
        <w:autoSpaceDN w:val="0"/>
        <w:adjustRightInd w:val="0"/>
      </w:pPr>
      <w:r>
        <w:t xml:space="preserve">Walsh, </w:t>
      </w:r>
      <w:proofErr w:type="gramStart"/>
      <w:r>
        <w:t>Brian ;</w:t>
      </w:r>
      <w:proofErr w:type="gramEnd"/>
      <w:r>
        <w:t xml:space="preserve"> TIME Magazine (electronic edition);  Top 20 Green Tech Ideas (2010)</w:t>
      </w:r>
    </w:p>
    <w:p w14:paraId="41D1F950" w14:textId="77777777" w:rsidR="00BF313D" w:rsidRDefault="00BF313D" w:rsidP="00BF313D">
      <w:pPr>
        <w:widowControl w:val="0"/>
        <w:autoSpaceDE w:val="0"/>
        <w:autoSpaceDN w:val="0"/>
        <w:adjustRightInd w:val="0"/>
        <w:rPr>
          <w:rFonts w:ascii="Helvetica Neue" w:hAnsi="Helvetica Neue"/>
          <w:color w:val="333333"/>
          <w:sz w:val="21"/>
          <w:szCs w:val="21"/>
        </w:rPr>
      </w:pPr>
      <w:hyperlink r:id="rId9" w:history="1">
        <w:r w:rsidRPr="004E4D53">
          <w:rPr>
            <w:rStyle w:val="Hyperlink"/>
            <w:rFonts w:ascii="Helvetica Neue" w:hAnsi="Helvetica Neue"/>
            <w:sz w:val="21"/>
            <w:szCs w:val="21"/>
          </w:rPr>
          <w:t>http://content.time.com/time/spec</w:t>
        </w:r>
        <w:r w:rsidRPr="004E4D53">
          <w:rPr>
            <w:rStyle w:val="Hyperlink"/>
            <w:rFonts w:ascii="Helvetica Neue" w:hAnsi="Helvetica Neue"/>
            <w:sz w:val="21"/>
            <w:szCs w:val="21"/>
          </w:rPr>
          <w:t>i</w:t>
        </w:r>
        <w:r w:rsidRPr="004E4D53">
          <w:rPr>
            <w:rStyle w:val="Hyperlink"/>
            <w:rFonts w:ascii="Helvetica Neue" w:hAnsi="Helvetica Neue"/>
            <w:sz w:val="21"/>
            <w:szCs w:val="21"/>
          </w:rPr>
          <w:t>als/packages/article/0,28804,2030137_2030135_2021648,00.htm</w:t>
        </w:r>
        <w:r w:rsidRPr="004E4D53">
          <w:rPr>
            <w:rStyle w:val="Hyperlink"/>
            <w:rFonts w:ascii="Helvetica Neue" w:hAnsi="Helvetica Neue"/>
            <w:sz w:val="21"/>
            <w:szCs w:val="21"/>
          </w:rPr>
          <w:t>l</w:t>
        </w:r>
      </w:hyperlink>
    </w:p>
    <w:p w14:paraId="2F565831" w14:textId="77777777" w:rsidR="00862FFE" w:rsidRDefault="00862FFE" w:rsidP="00BF313D">
      <w:pPr>
        <w:widowControl w:val="0"/>
        <w:autoSpaceDE w:val="0"/>
        <w:autoSpaceDN w:val="0"/>
        <w:adjustRightInd w:val="0"/>
        <w:rPr>
          <w:rFonts w:ascii="Helvetica Neue" w:hAnsi="Helvetica Neue"/>
          <w:color w:val="333333"/>
          <w:sz w:val="21"/>
          <w:szCs w:val="21"/>
        </w:rPr>
      </w:pPr>
    </w:p>
    <w:p w14:paraId="1E821962" w14:textId="77777777" w:rsidR="00862FFE" w:rsidRDefault="00862FFE" w:rsidP="00BF313D">
      <w:pPr>
        <w:widowControl w:val="0"/>
        <w:autoSpaceDE w:val="0"/>
        <w:autoSpaceDN w:val="0"/>
        <w:adjustRightInd w:val="0"/>
      </w:pPr>
    </w:p>
    <w:p w14:paraId="00148651" w14:textId="77777777" w:rsidR="00862FFE" w:rsidRPr="00862FFE" w:rsidRDefault="00862FFE" w:rsidP="00BF313D">
      <w:pPr>
        <w:widowControl w:val="0"/>
        <w:autoSpaceDE w:val="0"/>
        <w:autoSpaceDN w:val="0"/>
        <w:adjustRightInd w:val="0"/>
      </w:pPr>
      <w:r w:rsidRPr="00862FFE">
        <w:t>4.</w:t>
      </w:r>
    </w:p>
    <w:p w14:paraId="2E71905E" w14:textId="77777777" w:rsidR="00862FFE" w:rsidRPr="00862FFE" w:rsidRDefault="00862FFE" w:rsidP="00862FFE">
      <w:pPr>
        <w:widowControl w:val="0"/>
        <w:autoSpaceDE w:val="0"/>
        <w:autoSpaceDN w:val="0"/>
        <w:adjustRightInd w:val="0"/>
      </w:pPr>
      <w:r w:rsidRPr="00862FFE">
        <w:t xml:space="preserve">Cushing-Daniels, B., &amp; Kaiser, B. A. (2006). Environmental Kuznets curves: environmental wealth and </w:t>
      </w:r>
      <w:proofErr w:type="gramStart"/>
      <w:r w:rsidRPr="00862FFE">
        <w:t>spending,.</w:t>
      </w:r>
      <w:proofErr w:type="gramEnd"/>
      <w:r w:rsidRPr="00862FFE">
        <w:t xml:space="preserve"> in </w:t>
      </w:r>
      <w:proofErr w:type="spellStart"/>
      <w:r w:rsidRPr="00862FFE">
        <w:t>Aravossis</w:t>
      </w:r>
      <w:proofErr w:type="spellEnd"/>
      <w:r w:rsidRPr="00862FFE">
        <w:t>, K. (Ed.). (2006). Environmental economics and investment assessment (Vol. 1)</w:t>
      </w:r>
    </w:p>
    <w:p w14:paraId="55BC2FCE" w14:textId="77777777" w:rsidR="00BF313D" w:rsidRDefault="00862FFE" w:rsidP="00862FFE">
      <w:pPr>
        <w:widowControl w:val="0"/>
        <w:autoSpaceDE w:val="0"/>
        <w:autoSpaceDN w:val="0"/>
        <w:adjustRightInd w:val="0"/>
      </w:pPr>
      <w:hyperlink r:id="rId10" w:history="1">
        <w:r w:rsidRPr="00862FFE">
          <w:rPr>
            <w:rStyle w:val="Hyperlink"/>
          </w:rPr>
          <w:t>http://papers.ssrn.com/sol3/papers.cfm?abstract_id=2559645</w:t>
        </w:r>
      </w:hyperlink>
    </w:p>
    <w:p w14:paraId="2F82C828" w14:textId="77777777" w:rsidR="00862FFE" w:rsidRDefault="00862FFE" w:rsidP="00862FFE">
      <w:pPr>
        <w:widowControl w:val="0"/>
        <w:autoSpaceDE w:val="0"/>
        <w:autoSpaceDN w:val="0"/>
        <w:adjustRightInd w:val="0"/>
      </w:pPr>
    </w:p>
    <w:p w14:paraId="47456399" w14:textId="77777777" w:rsidR="00862FFE" w:rsidRDefault="00862FFE" w:rsidP="00862FFE">
      <w:pPr>
        <w:widowControl w:val="0"/>
        <w:autoSpaceDE w:val="0"/>
        <w:autoSpaceDN w:val="0"/>
        <w:adjustRightInd w:val="0"/>
      </w:pPr>
      <w:r>
        <w:t>5.</w:t>
      </w:r>
    </w:p>
    <w:p w14:paraId="4C0ABFD8" w14:textId="77777777" w:rsidR="00862FFE" w:rsidRDefault="00862FFE" w:rsidP="00862FFE">
      <w:pPr>
        <w:widowControl w:val="0"/>
        <w:autoSpaceDE w:val="0"/>
        <w:autoSpaceDN w:val="0"/>
        <w:adjustRightInd w:val="0"/>
      </w:pPr>
      <w:r>
        <w:t>The World Bank- Global Indicators</w:t>
      </w:r>
    </w:p>
    <w:p w14:paraId="536EA473" w14:textId="77777777" w:rsidR="00862FFE" w:rsidRDefault="00862FFE" w:rsidP="00862FFE">
      <w:pPr>
        <w:widowControl w:val="0"/>
        <w:autoSpaceDE w:val="0"/>
        <w:autoSpaceDN w:val="0"/>
        <w:adjustRightInd w:val="0"/>
      </w:pPr>
      <w:hyperlink r:id="rId11" w:history="1">
        <w:r w:rsidRPr="00AE1D01">
          <w:rPr>
            <w:rStyle w:val="Hyperlink"/>
          </w:rPr>
          <w:t>http://data.worldbank.org/indicator</w:t>
        </w:r>
      </w:hyperlink>
    </w:p>
    <w:p w14:paraId="56A7A798" w14:textId="77777777" w:rsidR="00862FFE" w:rsidRDefault="00862FFE" w:rsidP="00862FFE">
      <w:pPr>
        <w:widowControl w:val="0"/>
        <w:autoSpaceDE w:val="0"/>
        <w:autoSpaceDN w:val="0"/>
        <w:adjustRightInd w:val="0"/>
      </w:pPr>
    </w:p>
    <w:p w14:paraId="78D5478F" w14:textId="77777777" w:rsidR="00862FFE" w:rsidRDefault="00862FFE" w:rsidP="00862FFE">
      <w:pPr>
        <w:widowControl w:val="0"/>
        <w:autoSpaceDE w:val="0"/>
        <w:autoSpaceDN w:val="0"/>
        <w:adjustRightInd w:val="0"/>
      </w:pPr>
      <w:r>
        <w:t>6.</w:t>
      </w:r>
    </w:p>
    <w:p w14:paraId="292734E2" w14:textId="77777777" w:rsidR="00862FFE" w:rsidRPr="00862FFE" w:rsidRDefault="00862FFE" w:rsidP="00862FFE">
      <w:pPr>
        <w:rPr>
          <w:rFonts w:ascii="Times New Roman" w:eastAsia="Times New Roman" w:hAnsi="Times New Roman" w:cs="Times New Roman"/>
        </w:rPr>
      </w:pPr>
      <w:proofErr w:type="spellStart"/>
      <w:r>
        <w:rPr>
          <w:rFonts w:ascii="PT Sans" w:eastAsia="Times New Roman" w:hAnsi="PT Sans" w:cs="Times New Roman"/>
          <w:color w:val="2F2F2F"/>
        </w:rPr>
        <w:t>Lomborg</w:t>
      </w:r>
      <w:proofErr w:type="spellEnd"/>
      <w:r>
        <w:rPr>
          <w:rFonts w:ascii="PT Sans" w:eastAsia="Times New Roman" w:hAnsi="PT Sans" w:cs="Times New Roman"/>
          <w:color w:val="2F2F2F"/>
        </w:rPr>
        <w:t xml:space="preserve">, Bjorn; </w:t>
      </w:r>
      <w:r w:rsidRPr="00862FFE">
        <w:rPr>
          <w:rFonts w:ascii="PT Sans" w:eastAsia="Times New Roman" w:hAnsi="PT Sans" w:cs="Times New Roman"/>
          <w:color w:val="2F2F2F"/>
        </w:rPr>
        <w:t>The Skeptical Environmentalist: Measuring the Real State of the World. </w:t>
      </w:r>
      <w:r w:rsidRPr="00862FFE">
        <w:rPr>
          <w:rFonts w:ascii="PT Sans" w:eastAsia="Times New Roman" w:hAnsi="PT Sans" w:cs="Times New Roman"/>
          <w:color w:val="2F2F2F"/>
        </w:rPr>
        <w:br/>
        <w:t>Cambridge University Press, 2001, 540 pages. </w:t>
      </w:r>
    </w:p>
    <w:p w14:paraId="6024865C" w14:textId="77777777" w:rsidR="00862FFE" w:rsidRDefault="00862FFE" w:rsidP="00862FFE">
      <w:pPr>
        <w:widowControl w:val="0"/>
        <w:autoSpaceDE w:val="0"/>
        <w:autoSpaceDN w:val="0"/>
        <w:adjustRightInd w:val="0"/>
      </w:pPr>
    </w:p>
    <w:sectPr w:rsidR="00862FFE" w:rsidSect="00DF7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04"/>
    <w:rsid w:val="0014005B"/>
    <w:rsid w:val="001F3FFA"/>
    <w:rsid w:val="0055599A"/>
    <w:rsid w:val="00862FFE"/>
    <w:rsid w:val="00AE2A04"/>
    <w:rsid w:val="00BF313D"/>
    <w:rsid w:val="00C80F8C"/>
    <w:rsid w:val="00DF7252"/>
    <w:rsid w:val="00EF2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88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A04"/>
    <w:rPr>
      <w:color w:val="0000FF"/>
      <w:u w:val="single"/>
    </w:rPr>
  </w:style>
  <w:style w:type="character" w:styleId="FollowedHyperlink">
    <w:name w:val="FollowedHyperlink"/>
    <w:basedOn w:val="DefaultParagraphFont"/>
    <w:uiPriority w:val="99"/>
    <w:semiHidden/>
    <w:unhideWhenUsed/>
    <w:rsid w:val="00BF313D"/>
    <w:rPr>
      <w:color w:val="954F72" w:themeColor="followedHyperlink"/>
      <w:u w:val="single"/>
    </w:rPr>
  </w:style>
  <w:style w:type="character" w:customStyle="1" w:styleId="apple-converted-space">
    <w:name w:val="apple-converted-space"/>
    <w:basedOn w:val="DefaultParagraphFont"/>
    <w:rsid w:val="00862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62117">
      <w:bodyDiv w:val="1"/>
      <w:marLeft w:val="0"/>
      <w:marRight w:val="0"/>
      <w:marTop w:val="0"/>
      <w:marBottom w:val="0"/>
      <w:divBdr>
        <w:top w:val="none" w:sz="0" w:space="0" w:color="auto"/>
        <w:left w:val="none" w:sz="0" w:space="0" w:color="auto"/>
        <w:bottom w:val="none" w:sz="0" w:space="0" w:color="auto"/>
        <w:right w:val="none" w:sz="0" w:space="0" w:color="auto"/>
      </w:divBdr>
    </w:div>
    <w:div w:id="494032883">
      <w:bodyDiv w:val="1"/>
      <w:marLeft w:val="0"/>
      <w:marRight w:val="0"/>
      <w:marTop w:val="0"/>
      <w:marBottom w:val="0"/>
      <w:divBdr>
        <w:top w:val="none" w:sz="0" w:space="0" w:color="auto"/>
        <w:left w:val="none" w:sz="0" w:space="0" w:color="auto"/>
        <w:bottom w:val="none" w:sz="0" w:space="0" w:color="auto"/>
        <w:right w:val="none" w:sz="0" w:space="0" w:color="auto"/>
      </w:divBdr>
    </w:div>
    <w:div w:id="672728569">
      <w:bodyDiv w:val="1"/>
      <w:marLeft w:val="0"/>
      <w:marRight w:val="0"/>
      <w:marTop w:val="0"/>
      <w:marBottom w:val="0"/>
      <w:divBdr>
        <w:top w:val="none" w:sz="0" w:space="0" w:color="auto"/>
        <w:left w:val="none" w:sz="0" w:space="0" w:color="auto"/>
        <w:bottom w:val="none" w:sz="0" w:space="0" w:color="auto"/>
        <w:right w:val="none" w:sz="0" w:space="0" w:color="auto"/>
      </w:divBdr>
    </w:div>
    <w:div w:id="1263951430">
      <w:bodyDiv w:val="1"/>
      <w:marLeft w:val="0"/>
      <w:marRight w:val="0"/>
      <w:marTop w:val="0"/>
      <w:marBottom w:val="0"/>
      <w:divBdr>
        <w:top w:val="none" w:sz="0" w:space="0" w:color="auto"/>
        <w:left w:val="none" w:sz="0" w:space="0" w:color="auto"/>
        <w:bottom w:val="none" w:sz="0" w:space="0" w:color="auto"/>
        <w:right w:val="none" w:sz="0" w:space="0" w:color="auto"/>
      </w:divBdr>
    </w:div>
    <w:div w:id="1589191626">
      <w:bodyDiv w:val="1"/>
      <w:marLeft w:val="0"/>
      <w:marRight w:val="0"/>
      <w:marTop w:val="0"/>
      <w:marBottom w:val="0"/>
      <w:divBdr>
        <w:top w:val="none" w:sz="0" w:space="0" w:color="auto"/>
        <w:left w:val="none" w:sz="0" w:space="0" w:color="auto"/>
        <w:bottom w:val="none" w:sz="0" w:space="0" w:color="auto"/>
        <w:right w:val="none" w:sz="0" w:space="0" w:color="auto"/>
      </w:divBdr>
    </w:div>
    <w:div w:id="1594701032">
      <w:bodyDiv w:val="1"/>
      <w:marLeft w:val="0"/>
      <w:marRight w:val="0"/>
      <w:marTop w:val="0"/>
      <w:marBottom w:val="0"/>
      <w:divBdr>
        <w:top w:val="none" w:sz="0" w:space="0" w:color="auto"/>
        <w:left w:val="none" w:sz="0" w:space="0" w:color="auto"/>
        <w:bottom w:val="none" w:sz="0" w:space="0" w:color="auto"/>
        <w:right w:val="none" w:sz="0" w:space="0" w:color="auto"/>
      </w:divBdr>
    </w:div>
    <w:div w:id="16087310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ata.worldbank.org/indicator"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image" Target="media/image1.png"/><Relationship Id="rId7" Type="http://schemas.openxmlformats.org/officeDocument/2006/relationships/hyperlink" Target="http://climate.nasa.gov/evidence/" TargetMode="External"/><Relationship Id="rId8" Type="http://schemas.openxmlformats.org/officeDocument/2006/relationships/hyperlink" Target="http://environment.yale.edu/climate-communication/article/american-opinions-on-global-warming-a-yale-gallup-clearvision-poll" TargetMode="External"/><Relationship Id="rId9" Type="http://schemas.openxmlformats.org/officeDocument/2006/relationships/hyperlink" Target="http://content.time.com/time/specials/packages/article/0,28804,2030137_2030135_2021648,00.html" TargetMode="External"/><Relationship Id="rId10" Type="http://schemas.openxmlformats.org/officeDocument/2006/relationships/hyperlink" Target="http://papers.ssrn.com/sol3/papers.cfm?abstract_id=2559645"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User/Documents/co2%20full.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User/Documents/co2%20ful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CO2 Emissions by Year (ppm)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ppm/yr</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trendline>
            <c:spPr>
              <a:ln w="19050" cap="rnd">
                <a:solidFill>
                  <a:schemeClr val="accent1"/>
                </a:solidFill>
              </a:ln>
              <a:effectLst/>
            </c:spPr>
            <c:trendlineType val="linear"/>
            <c:dispRSqr val="0"/>
            <c:dispEq val="0"/>
          </c:trendline>
          <c:trendline>
            <c:spPr>
              <a:ln w="19050" cap="rnd">
                <a:solidFill>
                  <a:schemeClr val="accent1"/>
                </a:solidFill>
              </a:ln>
              <a:effectLst/>
            </c:spPr>
            <c:trendlineType val="linear"/>
            <c:dispRSqr val="0"/>
            <c:dispEq val="1"/>
            <c:trendlineLbl>
              <c:layout>
                <c:manualLayout>
                  <c:x val="0.00301500773941719"/>
                  <c:y val="-0.10068802079351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rendlineLbl>
          </c:trendline>
          <c:trendline>
            <c:spPr>
              <a:ln w="19050" cap="rnd">
                <a:solidFill>
                  <a:schemeClr val="accent1"/>
                </a:solidFill>
              </a:ln>
              <a:effectLst/>
            </c:spPr>
            <c:trendlineType val="linear"/>
            <c:dispRSqr val="1"/>
            <c:dispEq val="0"/>
            <c:trendlineLbl>
              <c:layout>
                <c:manualLayout>
                  <c:x val="0.000611077461471162"/>
                  <c:y val="-0.044314704163388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rendlineLbl>
          </c:trendline>
          <c:cat>
            <c:numRef>
              <c:f>Sheet1!$C$2:$C$68</c:f>
              <c:numCache>
                <c:formatCode>General</c:formatCode>
                <c:ptCount val="67"/>
                <c:pt idx="0">
                  <c:v>1959.0</c:v>
                </c:pt>
                <c:pt idx="1">
                  <c:v>1960.0</c:v>
                </c:pt>
                <c:pt idx="2">
                  <c:v>1961.0</c:v>
                </c:pt>
                <c:pt idx="3">
                  <c:v>1962.0</c:v>
                </c:pt>
                <c:pt idx="4">
                  <c:v>1963.0</c:v>
                </c:pt>
                <c:pt idx="5">
                  <c:v>1964.0</c:v>
                </c:pt>
                <c:pt idx="6">
                  <c:v>1965.0</c:v>
                </c:pt>
                <c:pt idx="7">
                  <c:v>1966.0</c:v>
                </c:pt>
                <c:pt idx="8">
                  <c:v>1967.0</c:v>
                </c:pt>
                <c:pt idx="9">
                  <c:v>1968.0</c:v>
                </c:pt>
                <c:pt idx="10">
                  <c:v>1969.0</c:v>
                </c:pt>
                <c:pt idx="11">
                  <c:v>1970.0</c:v>
                </c:pt>
                <c:pt idx="12">
                  <c:v>1971.0</c:v>
                </c:pt>
                <c:pt idx="13">
                  <c:v>1972.0</c:v>
                </c:pt>
                <c:pt idx="14">
                  <c:v>1973.0</c:v>
                </c:pt>
                <c:pt idx="15">
                  <c:v>1974.0</c:v>
                </c:pt>
                <c:pt idx="16">
                  <c:v>1975.0</c:v>
                </c:pt>
                <c:pt idx="17">
                  <c:v>1976.0</c:v>
                </c:pt>
                <c:pt idx="18">
                  <c:v>1977.0</c:v>
                </c:pt>
                <c:pt idx="19">
                  <c:v>1978.0</c:v>
                </c:pt>
                <c:pt idx="20">
                  <c:v>1979.0</c:v>
                </c:pt>
                <c:pt idx="21">
                  <c:v>1980.0</c:v>
                </c:pt>
                <c:pt idx="22">
                  <c:v>1981.0</c:v>
                </c:pt>
                <c:pt idx="23">
                  <c:v>1982.0</c:v>
                </c:pt>
                <c:pt idx="24">
                  <c:v>1983.0</c:v>
                </c:pt>
                <c:pt idx="25">
                  <c:v>1984.0</c:v>
                </c:pt>
                <c:pt idx="26">
                  <c:v>1985.0</c:v>
                </c:pt>
                <c:pt idx="27">
                  <c:v>1986.0</c:v>
                </c:pt>
                <c:pt idx="28">
                  <c:v>1987.0</c:v>
                </c:pt>
                <c:pt idx="29">
                  <c:v>1988.0</c:v>
                </c:pt>
                <c:pt idx="30">
                  <c:v>1989.0</c:v>
                </c:pt>
                <c:pt idx="31">
                  <c:v>1990.0</c:v>
                </c:pt>
                <c:pt idx="32">
                  <c:v>1991.0</c:v>
                </c:pt>
                <c:pt idx="33">
                  <c:v>1992.0</c:v>
                </c:pt>
                <c:pt idx="34">
                  <c:v>1993.0</c:v>
                </c:pt>
                <c:pt idx="35">
                  <c:v>1994.0</c:v>
                </c:pt>
                <c:pt idx="36">
                  <c:v>1995.0</c:v>
                </c:pt>
                <c:pt idx="37">
                  <c:v>1996.0</c:v>
                </c:pt>
                <c:pt idx="38">
                  <c:v>1997.0</c:v>
                </c:pt>
                <c:pt idx="39">
                  <c:v>1998.0</c:v>
                </c:pt>
                <c:pt idx="40">
                  <c:v>1999.0</c:v>
                </c:pt>
                <c:pt idx="41">
                  <c:v>2000.0</c:v>
                </c:pt>
                <c:pt idx="42">
                  <c:v>2001.0</c:v>
                </c:pt>
                <c:pt idx="43">
                  <c:v>2002.0</c:v>
                </c:pt>
                <c:pt idx="44">
                  <c:v>2003.0</c:v>
                </c:pt>
                <c:pt idx="45">
                  <c:v>2004.0</c:v>
                </c:pt>
                <c:pt idx="46">
                  <c:v>2005.0</c:v>
                </c:pt>
                <c:pt idx="47">
                  <c:v>2006.0</c:v>
                </c:pt>
                <c:pt idx="48">
                  <c:v>2007.0</c:v>
                </c:pt>
                <c:pt idx="49">
                  <c:v>2008.0</c:v>
                </c:pt>
                <c:pt idx="50">
                  <c:v>2009.0</c:v>
                </c:pt>
                <c:pt idx="51">
                  <c:v>2010.0</c:v>
                </c:pt>
                <c:pt idx="52">
                  <c:v>2011.0</c:v>
                </c:pt>
                <c:pt idx="53">
                  <c:v>2012.0</c:v>
                </c:pt>
                <c:pt idx="54">
                  <c:v>2013.0</c:v>
                </c:pt>
                <c:pt idx="55">
                  <c:v>2014.0</c:v>
                </c:pt>
              </c:numCache>
            </c:numRef>
          </c:cat>
          <c:val>
            <c:numRef>
              <c:f>Sheet1!$E$2:$E$68</c:f>
              <c:numCache>
                <c:formatCode>General</c:formatCode>
                <c:ptCount val="67"/>
                <c:pt idx="0">
                  <c:v>0.96</c:v>
                </c:pt>
                <c:pt idx="1">
                  <c:v>0.71</c:v>
                </c:pt>
                <c:pt idx="2">
                  <c:v>0.78</c:v>
                </c:pt>
                <c:pt idx="3">
                  <c:v>0.56</c:v>
                </c:pt>
                <c:pt idx="4">
                  <c:v>0.57</c:v>
                </c:pt>
                <c:pt idx="5">
                  <c:v>0.49</c:v>
                </c:pt>
                <c:pt idx="6">
                  <c:v>1.1</c:v>
                </c:pt>
                <c:pt idx="7">
                  <c:v>1.1</c:v>
                </c:pt>
                <c:pt idx="8">
                  <c:v>0.61</c:v>
                </c:pt>
                <c:pt idx="9">
                  <c:v>0.99</c:v>
                </c:pt>
                <c:pt idx="10">
                  <c:v>1.32</c:v>
                </c:pt>
                <c:pt idx="11">
                  <c:v>1.13</c:v>
                </c:pt>
                <c:pt idx="12">
                  <c:v>0.73</c:v>
                </c:pt>
                <c:pt idx="13">
                  <c:v>1.47</c:v>
                </c:pt>
                <c:pt idx="14">
                  <c:v>1.46</c:v>
                </c:pt>
                <c:pt idx="15">
                  <c:v>0.68</c:v>
                </c:pt>
                <c:pt idx="16">
                  <c:v>1.23</c:v>
                </c:pt>
                <c:pt idx="17">
                  <c:v>0.97</c:v>
                </c:pt>
                <c:pt idx="18">
                  <c:v>1.92</c:v>
                </c:pt>
                <c:pt idx="19">
                  <c:v>1.29</c:v>
                </c:pt>
                <c:pt idx="20">
                  <c:v>2.14</c:v>
                </c:pt>
                <c:pt idx="21">
                  <c:v>1.71</c:v>
                </c:pt>
                <c:pt idx="22">
                  <c:v>1.15</c:v>
                </c:pt>
                <c:pt idx="23">
                  <c:v>1.0</c:v>
                </c:pt>
                <c:pt idx="24">
                  <c:v>1.84</c:v>
                </c:pt>
                <c:pt idx="25">
                  <c:v>1.24</c:v>
                </c:pt>
                <c:pt idx="26">
                  <c:v>1.63</c:v>
                </c:pt>
                <c:pt idx="27">
                  <c:v>1.04</c:v>
                </c:pt>
                <c:pt idx="28">
                  <c:v>2.69</c:v>
                </c:pt>
                <c:pt idx="29">
                  <c:v>2.24</c:v>
                </c:pt>
                <c:pt idx="30">
                  <c:v>1.38</c:v>
                </c:pt>
                <c:pt idx="31">
                  <c:v>1.18</c:v>
                </c:pt>
                <c:pt idx="32">
                  <c:v>0.73</c:v>
                </c:pt>
                <c:pt idx="33">
                  <c:v>0.7</c:v>
                </c:pt>
                <c:pt idx="34">
                  <c:v>1.22</c:v>
                </c:pt>
                <c:pt idx="35">
                  <c:v>1.68</c:v>
                </c:pt>
                <c:pt idx="36">
                  <c:v>1.95</c:v>
                </c:pt>
                <c:pt idx="37">
                  <c:v>1.07</c:v>
                </c:pt>
                <c:pt idx="38">
                  <c:v>1.97</c:v>
                </c:pt>
                <c:pt idx="39">
                  <c:v>2.82</c:v>
                </c:pt>
                <c:pt idx="40">
                  <c:v>1.34</c:v>
                </c:pt>
                <c:pt idx="41">
                  <c:v>1.24</c:v>
                </c:pt>
                <c:pt idx="42">
                  <c:v>1.85</c:v>
                </c:pt>
                <c:pt idx="43">
                  <c:v>2.36</c:v>
                </c:pt>
                <c:pt idx="44">
                  <c:v>2.28</c:v>
                </c:pt>
                <c:pt idx="45">
                  <c:v>1.56</c:v>
                </c:pt>
                <c:pt idx="46">
                  <c:v>2.44</c:v>
                </c:pt>
                <c:pt idx="47">
                  <c:v>1.74</c:v>
                </c:pt>
                <c:pt idx="48">
                  <c:v>2.12</c:v>
                </c:pt>
                <c:pt idx="49">
                  <c:v>1.77</c:v>
                </c:pt>
                <c:pt idx="50">
                  <c:v>1.67</c:v>
                </c:pt>
                <c:pt idx="51">
                  <c:v>2.39</c:v>
                </c:pt>
                <c:pt idx="52">
                  <c:v>1.7</c:v>
                </c:pt>
                <c:pt idx="53">
                  <c:v>2.4</c:v>
                </c:pt>
                <c:pt idx="54">
                  <c:v>2.51</c:v>
                </c:pt>
                <c:pt idx="55">
                  <c:v>1.89</c:v>
                </c:pt>
              </c:numCache>
            </c:numRef>
          </c:val>
          <c:smooth val="0"/>
        </c:ser>
        <c:dLbls>
          <c:showLegendKey val="0"/>
          <c:showVal val="0"/>
          <c:showCatName val="0"/>
          <c:showSerName val="0"/>
          <c:showPercent val="0"/>
          <c:showBubbleSize val="0"/>
        </c:dLbls>
        <c:smooth val="0"/>
        <c:axId val="-2088606096"/>
        <c:axId val="2113898592"/>
      </c:lineChart>
      <c:catAx>
        <c:axId val="-208860609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13898592"/>
        <c:crosses val="autoZero"/>
        <c:auto val="1"/>
        <c:lblAlgn val="ctr"/>
        <c:lblOffset val="100"/>
        <c:noMultiLvlLbl val="0"/>
      </c:catAx>
      <c:valAx>
        <c:axId val="211389859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8860609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Mean Temp (F) and CO2 Emissions (ppm)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Annual Mean Temp (F)</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Sheet1!$C$2:$C$68</c:f>
              <c:numCache>
                <c:formatCode>General</c:formatCode>
                <c:ptCount val="67"/>
                <c:pt idx="0">
                  <c:v>1959.0</c:v>
                </c:pt>
                <c:pt idx="1">
                  <c:v>1960.0</c:v>
                </c:pt>
                <c:pt idx="2">
                  <c:v>1961.0</c:v>
                </c:pt>
                <c:pt idx="3">
                  <c:v>1962.0</c:v>
                </c:pt>
                <c:pt idx="4">
                  <c:v>1963.0</c:v>
                </c:pt>
                <c:pt idx="5">
                  <c:v>1964.0</c:v>
                </c:pt>
                <c:pt idx="6">
                  <c:v>1965.0</c:v>
                </c:pt>
                <c:pt idx="7">
                  <c:v>1966.0</c:v>
                </c:pt>
                <c:pt idx="8">
                  <c:v>1967.0</c:v>
                </c:pt>
                <c:pt idx="9">
                  <c:v>1968.0</c:v>
                </c:pt>
                <c:pt idx="10">
                  <c:v>1969.0</c:v>
                </c:pt>
                <c:pt idx="11">
                  <c:v>1970.0</c:v>
                </c:pt>
                <c:pt idx="12">
                  <c:v>1971.0</c:v>
                </c:pt>
                <c:pt idx="13">
                  <c:v>1972.0</c:v>
                </c:pt>
                <c:pt idx="14">
                  <c:v>1973.0</c:v>
                </c:pt>
                <c:pt idx="15">
                  <c:v>1974.0</c:v>
                </c:pt>
                <c:pt idx="16">
                  <c:v>1975.0</c:v>
                </c:pt>
                <c:pt idx="17">
                  <c:v>1976.0</c:v>
                </c:pt>
                <c:pt idx="18">
                  <c:v>1977.0</c:v>
                </c:pt>
                <c:pt idx="19">
                  <c:v>1978.0</c:v>
                </c:pt>
                <c:pt idx="20">
                  <c:v>1979.0</c:v>
                </c:pt>
                <c:pt idx="21">
                  <c:v>1980.0</c:v>
                </c:pt>
                <c:pt idx="22">
                  <c:v>1981.0</c:v>
                </c:pt>
                <c:pt idx="23">
                  <c:v>1982.0</c:v>
                </c:pt>
                <c:pt idx="24">
                  <c:v>1983.0</c:v>
                </c:pt>
                <c:pt idx="25">
                  <c:v>1984.0</c:v>
                </c:pt>
                <c:pt idx="26">
                  <c:v>1985.0</c:v>
                </c:pt>
                <c:pt idx="27">
                  <c:v>1986.0</c:v>
                </c:pt>
                <c:pt idx="28">
                  <c:v>1987.0</c:v>
                </c:pt>
                <c:pt idx="29">
                  <c:v>1988.0</c:v>
                </c:pt>
                <c:pt idx="30">
                  <c:v>1989.0</c:v>
                </c:pt>
                <c:pt idx="31">
                  <c:v>1990.0</c:v>
                </c:pt>
                <c:pt idx="32">
                  <c:v>1991.0</c:v>
                </c:pt>
                <c:pt idx="33">
                  <c:v>1992.0</c:v>
                </c:pt>
                <c:pt idx="34">
                  <c:v>1993.0</c:v>
                </c:pt>
                <c:pt idx="35">
                  <c:v>1994.0</c:v>
                </c:pt>
                <c:pt idx="36">
                  <c:v>1995.0</c:v>
                </c:pt>
                <c:pt idx="37">
                  <c:v>1996.0</c:v>
                </c:pt>
                <c:pt idx="38">
                  <c:v>1997.0</c:v>
                </c:pt>
                <c:pt idx="39">
                  <c:v>1998.0</c:v>
                </c:pt>
                <c:pt idx="40">
                  <c:v>1999.0</c:v>
                </c:pt>
                <c:pt idx="41">
                  <c:v>2000.0</c:v>
                </c:pt>
                <c:pt idx="42">
                  <c:v>2001.0</c:v>
                </c:pt>
                <c:pt idx="43">
                  <c:v>2002.0</c:v>
                </c:pt>
                <c:pt idx="44">
                  <c:v>2003.0</c:v>
                </c:pt>
                <c:pt idx="45">
                  <c:v>2004.0</c:v>
                </c:pt>
                <c:pt idx="46">
                  <c:v>2005.0</c:v>
                </c:pt>
                <c:pt idx="47">
                  <c:v>2006.0</c:v>
                </c:pt>
                <c:pt idx="48">
                  <c:v>2007.0</c:v>
                </c:pt>
                <c:pt idx="49">
                  <c:v>2008.0</c:v>
                </c:pt>
                <c:pt idx="50">
                  <c:v>2009.0</c:v>
                </c:pt>
                <c:pt idx="51">
                  <c:v>2010.0</c:v>
                </c:pt>
                <c:pt idx="52">
                  <c:v>2011.0</c:v>
                </c:pt>
                <c:pt idx="53">
                  <c:v>2012.0</c:v>
                </c:pt>
                <c:pt idx="54">
                  <c:v>2013.0</c:v>
                </c:pt>
                <c:pt idx="55">
                  <c:v>2014.0</c:v>
                </c:pt>
              </c:numCache>
            </c:numRef>
          </c:cat>
          <c:val>
            <c:numRef>
              <c:f>Sheet1!$D$2:$D$68</c:f>
              <c:numCache>
                <c:formatCode>General</c:formatCode>
                <c:ptCount val="67"/>
                <c:pt idx="0">
                  <c:v>32.054</c:v>
                </c:pt>
                <c:pt idx="1">
                  <c:v>31.946</c:v>
                </c:pt>
                <c:pt idx="2">
                  <c:v>32.09</c:v>
                </c:pt>
                <c:pt idx="3">
                  <c:v>32.054</c:v>
                </c:pt>
                <c:pt idx="4">
                  <c:v>32.108</c:v>
                </c:pt>
                <c:pt idx="5">
                  <c:v>31.622</c:v>
                </c:pt>
                <c:pt idx="6">
                  <c:v>31.82</c:v>
                </c:pt>
                <c:pt idx="7">
                  <c:v>31.91</c:v>
                </c:pt>
                <c:pt idx="8">
                  <c:v>31.964</c:v>
                </c:pt>
                <c:pt idx="9">
                  <c:v>31.874</c:v>
                </c:pt>
                <c:pt idx="10">
                  <c:v>32.108</c:v>
                </c:pt>
                <c:pt idx="11">
                  <c:v>32.054</c:v>
                </c:pt>
                <c:pt idx="12">
                  <c:v>31.838</c:v>
                </c:pt>
                <c:pt idx="13">
                  <c:v>32.018</c:v>
                </c:pt>
                <c:pt idx="14">
                  <c:v>32.27</c:v>
                </c:pt>
                <c:pt idx="15">
                  <c:v>31.856</c:v>
                </c:pt>
                <c:pt idx="16">
                  <c:v>31.982</c:v>
                </c:pt>
                <c:pt idx="17">
                  <c:v>31.802</c:v>
                </c:pt>
                <c:pt idx="18">
                  <c:v>32.324</c:v>
                </c:pt>
                <c:pt idx="19">
                  <c:v>32.126</c:v>
                </c:pt>
                <c:pt idx="20">
                  <c:v>32.306</c:v>
                </c:pt>
                <c:pt idx="21">
                  <c:v>32.504</c:v>
                </c:pt>
                <c:pt idx="22">
                  <c:v>32.594</c:v>
                </c:pt>
                <c:pt idx="23">
                  <c:v>32.234</c:v>
                </c:pt>
                <c:pt idx="24">
                  <c:v>32.558</c:v>
                </c:pt>
                <c:pt idx="25">
                  <c:v>32.288</c:v>
                </c:pt>
                <c:pt idx="26">
                  <c:v>32.216</c:v>
                </c:pt>
                <c:pt idx="27">
                  <c:v>32.342</c:v>
                </c:pt>
                <c:pt idx="28">
                  <c:v>32.612</c:v>
                </c:pt>
                <c:pt idx="29">
                  <c:v>32.72</c:v>
                </c:pt>
                <c:pt idx="30">
                  <c:v>32.522</c:v>
                </c:pt>
                <c:pt idx="31">
                  <c:v>32.792</c:v>
                </c:pt>
                <c:pt idx="32">
                  <c:v>32.774</c:v>
                </c:pt>
                <c:pt idx="33">
                  <c:v>32.414</c:v>
                </c:pt>
                <c:pt idx="34">
                  <c:v>32.432</c:v>
                </c:pt>
                <c:pt idx="35">
                  <c:v>32.576</c:v>
                </c:pt>
                <c:pt idx="36">
                  <c:v>32.828</c:v>
                </c:pt>
                <c:pt idx="37">
                  <c:v>32.63</c:v>
                </c:pt>
                <c:pt idx="38">
                  <c:v>32.864</c:v>
                </c:pt>
                <c:pt idx="39">
                  <c:v>33.152</c:v>
                </c:pt>
                <c:pt idx="40">
                  <c:v>32.756</c:v>
                </c:pt>
                <c:pt idx="41">
                  <c:v>32.756</c:v>
                </c:pt>
                <c:pt idx="42">
                  <c:v>32.99</c:v>
                </c:pt>
                <c:pt idx="43">
                  <c:v>33.134</c:v>
                </c:pt>
                <c:pt idx="44">
                  <c:v>33.116</c:v>
                </c:pt>
                <c:pt idx="45">
                  <c:v>32.99</c:v>
                </c:pt>
                <c:pt idx="46">
                  <c:v>33.242</c:v>
                </c:pt>
                <c:pt idx="47">
                  <c:v>33.134</c:v>
                </c:pt>
                <c:pt idx="48">
                  <c:v>33.188</c:v>
                </c:pt>
                <c:pt idx="49">
                  <c:v>32.972</c:v>
                </c:pt>
                <c:pt idx="50">
                  <c:v>33.17</c:v>
                </c:pt>
                <c:pt idx="51">
                  <c:v>33.296</c:v>
                </c:pt>
                <c:pt idx="52">
                  <c:v>33.098</c:v>
                </c:pt>
                <c:pt idx="53">
                  <c:v>33.134</c:v>
                </c:pt>
                <c:pt idx="54">
                  <c:v>33.188</c:v>
                </c:pt>
                <c:pt idx="55">
                  <c:v>33.35</c:v>
                </c:pt>
              </c:numCache>
            </c:numRef>
          </c:val>
          <c:smooth val="0"/>
        </c:ser>
        <c:ser>
          <c:idx val="1"/>
          <c:order val="1"/>
          <c:tx>
            <c:strRef>
              <c:f>Sheet1!$E$1</c:f>
              <c:strCache>
                <c:ptCount val="1"/>
                <c:pt idx="0">
                  <c:v>ppm/yr</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Sheet1!$C$2:$C$68</c:f>
              <c:numCache>
                <c:formatCode>General</c:formatCode>
                <c:ptCount val="67"/>
                <c:pt idx="0">
                  <c:v>1959.0</c:v>
                </c:pt>
                <c:pt idx="1">
                  <c:v>1960.0</c:v>
                </c:pt>
                <c:pt idx="2">
                  <c:v>1961.0</c:v>
                </c:pt>
                <c:pt idx="3">
                  <c:v>1962.0</c:v>
                </c:pt>
                <c:pt idx="4">
                  <c:v>1963.0</c:v>
                </c:pt>
                <c:pt idx="5">
                  <c:v>1964.0</c:v>
                </c:pt>
                <c:pt idx="6">
                  <c:v>1965.0</c:v>
                </c:pt>
                <c:pt idx="7">
                  <c:v>1966.0</c:v>
                </c:pt>
                <c:pt idx="8">
                  <c:v>1967.0</c:v>
                </c:pt>
                <c:pt idx="9">
                  <c:v>1968.0</c:v>
                </c:pt>
                <c:pt idx="10">
                  <c:v>1969.0</c:v>
                </c:pt>
                <c:pt idx="11">
                  <c:v>1970.0</c:v>
                </c:pt>
                <c:pt idx="12">
                  <c:v>1971.0</c:v>
                </c:pt>
                <c:pt idx="13">
                  <c:v>1972.0</c:v>
                </c:pt>
                <c:pt idx="14">
                  <c:v>1973.0</c:v>
                </c:pt>
                <c:pt idx="15">
                  <c:v>1974.0</c:v>
                </c:pt>
                <c:pt idx="16">
                  <c:v>1975.0</c:v>
                </c:pt>
                <c:pt idx="17">
                  <c:v>1976.0</c:v>
                </c:pt>
                <c:pt idx="18">
                  <c:v>1977.0</c:v>
                </c:pt>
                <c:pt idx="19">
                  <c:v>1978.0</c:v>
                </c:pt>
                <c:pt idx="20">
                  <c:v>1979.0</c:v>
                </c:pt>
                <c:pt idx="21">
                  <c:v>1980.0</c:v>
                </c:pt>
                <c:pt idx="22">
                  <c:v>1981.0</c:v>
                </c:pt>
                <c:pt idx="23">
                  <c:v>1982.0</c:v>
                </c:pt>
                <c:pt idx="24">
                  <c:v>1983.0</c:v>
                </c:pt>
                <c:pt idx="25">
                  <c:v>1984.0</c:v>
                </c:pt>
                <c:pt idx="26">
                  <c:v>1985.0</c:v>
                </c:pt>
                <c:pt idx="27">
                  <c:v>1986.0</c:v>
                </c:pt>
                <c:pt idx="28">
                  <c:v>1987.0</c:v>
                </c:pt>
                <c:pt idx="29">
                  <c:v>1988.0</c:v>
                </c:pt>
                <c:pt idx="30">
                  <c:v>1989.0</c:v>
                </c:pt>
                <c:pt idx="31">
                  <c:v>1990.0</c:v>
                </c:pt>
                <c:pt idx="32">
                  <c:v>1991.0</c:v>
                </c:pt>
                <c:pt idx="33">
                  <c:v>1992.0</c:v>
                </c:pt>
                <c:pt idx="34">
                  <c:v>1993.0</c:v>
                </c:pt>
                <c:pt idx="35">
                  <c:v>1994.0</c:v>
                </c:pt>
                <c:pt idx="36">
                  <c:v>1995.0</c:v>
                </c:pt>
                <c:pt idx="37">
                  <c:v>1996.0</c:v>
                </c:pt>
                <c:pt idx="38">
                  <c:v>1997.0</c:v>
                </c:pt>
                <c:pt idx="39">
                  <c:v>1998.0</c:v>
                </c:pt>
                <c:pt idx="40">
                  <c:v>1999.0</c:v>
                </c:pt>
                <c:pt idx="41">
                  <c:v>2000.0</c:v>
                </c:pt>
                <c:pt idx="42">
                  <c:v>2001.0</c:v>
                </c:pt>
                <c:pt idx="43">
                  <c:v>2002.0</c:v>
                </c:pt>
                <c:pt idx="44">
                  <c:v>2003.0</c:v>
                </c:pt>
                <c:pt idx="45">
                  <c:v>2004.0</c:v>
                </c:pt>
                <c:pt idx="46">
                  <c:v>2005.0</c:v>
                </c:pt>
                <c:pt idx="47">
                  <c:v>2006.0</c:v>
                </c:pt>
                <c:pt idx="48">
                  <c:v>2007.0</c:v>
                </c:pt>
                <c:pt idx="49">
                  <c:v>2008.0</c:v>
                </c:pt>
                <c:pt idx="50">
                  <c:v>2009.0</c:v>
                </c:pt>
                <c:pt idx="51">
                  <c:v>2010.0</c:v>
                </c:pt>
                <c:pt idx="52">
                  <c:v>2011.0</c:v>
                </c:pt>
                <c:pt idx="53">
                  <c:v>2012.0</c:v>
                </c:pt>
                <c:pt idx="54">
                  <c:v>2013.0</c:v>
                </c:pt>
                <c:pt idx="55">
                  <c:v>2014.0</c:v>
                </c:pt>
              </c:numCache>
            </c:numRef>
          </c:cat>
          <c:val>
            <c:numRef>
              <c:f>Sheet1!$E$2:$E$68</c:f>
              <c:numCache>
                <c:formatCode>General</c:formatCode>
                <c:ptCount val="67"/>
                <c:pt idx="0">
                  <c:v>0.96</c:v>
                </c:pt>
                <c:pt idx="1">
                  <c:v>0.71</c:v>
                </c:pt>
                <c:pt idx="2">
                  <c:v>0.78</c:v>
                </c:pt>
                <c:pt idx="3">
                  <c:v>0.56</c:v>
                </c:pt>
                <c:pt idx="4">
                  <c:v>0.57</c:v>
                </c:pt>
                <c:pt idx="5">
                  <c:v>0.49</c:v>
                </c:pt>
                <c:pt idx="6">
                  <c:v>1.1</c:v>
                </c:pt>
                <c:pt idx="7">
                  <c:v>1.1</c:v>
                </c:pt>
                <c:pt idx="8">
                  <c:v>0.61</c:v>
                </c:pt>
                <c:pt idx="9">
                  <c:v>0.99</c:v>
                </c:pt>
                <c:pt idx="10">
                  <c:v>1.32</c:v>
                </c:pt>
                <c:pt idx="11">
                  <c:v>1.13</c:v>
                </c:pt>
                <c:pt idx="12">
                  <c:v>0.73</c:v>
                </c:pt>
                <c:pt idx="13">
                  <c:v>1.47</c:v>
                </c:pt>
                <c:pt idx="14">
                  <c:v>1.46</c:v>
                </c:pt>
                <c:pt idx="15">
                  <c:v>0.68</c:v>
                </c:pt>
                <c:pt idx="16">
                  <c:v>1.23</c:v>
                </c:pt>
                <c:pt idx="17">
                  <c:v>0.97</c:v>
                </c:pt>
                <c:pt idx="18">
                  <c:v>1.92</c:v>
                </c:pt>
                <c:pt idx="19">
                  <c:v>1.29</c:v>
                </c:pt>
                <c:pt idx="20">
                  <c:v>2.14</c:v>
                </c:pt>
                <c:pt idx="21">
                  <c:v>1.71</c:v>
                </c:pt>
                <c:pt idx="22">
                  <c:v>1.15</c:v>
                </c:pt>
                <c:pt idx="23">
                  <c:v>1.0</c:v>
                </c:pt>
                <c:pt idx="24">
                  <c:v>1.84</c:v>
                </c:pt>
                <c:pt idx="25">
                  <c:v>1.24</c:v>
                </c:pt>
                <c:pt idx="26">
                  <c:v>1.63</c:v>
                </c:pt>
                <c:pt idx="27">
                  <c:v>1.04</c:v>
                </c:pt>
                <c:pt idx="28">
                  <c:v>2.69</c:v>
                </c:pt>
                <c:pt idx="29">
                  <c:v>2.24</c:v>
                </c:pt>
                <c:pt idx="30">
                  <c:v>1.38</c:v>
                </c:pt>
                <c:pt idx="31">
                  <c:v>1.18</c:v>
                </c:pt>
                <c:pt idx="32">
                  <c:v>0.73</c:v>
                </c:pt>
                <c:pt idx="33">
                  <c:v>0.7</c:v>
                </c:pt>
                <c:pt idx="34">
                  <c:v>1.22</c:v>
                </c:pt>
                <c:pt idx="35">
                  <c:v>1.68</c:v>
                </c:pt>
                <c:pt idx="36">
                  <c:v>1.95</c:v>
                </c:pt>
                <c:pt idx="37">
                  <c:v>1.07</c:v>
                </c:pt>
                <c:pt idx="38">
                  <c:v>1.97</c:v>
                </c:pt>
                <c:pt idx="39">
                  <c:v>2.82</c:v>
                </c:pt>
                <c:pt idx="40">
                  <c:v>1.34</c:v>
                </c:pt>
                <c:pt idx="41">
                  <c:v>1.24</c:v>
                </c:pt>
                <c:pt idx="42">
                  <c:v>1.85</c:v>
                </c:pt>
                <c:pt idx="43">
                  <c:v>2.36</c:v>
                </c:pt>
                <c:pt idx="44">
                  <c:v>2.28</c:v>
                </c:pt>
                <c:pt idx="45">
                  <c:v>1.56</c:v>
                </c:pt>
                <c:pt idx="46">
                  <c:v>2.44</c:v>
                </c:pt>
                <c:pt idx="47">
                  <c:v>1.74</c:v>
                </c:pt>
                <c:pt idx="48">
                  <c:v>2.12</c:v>
                </c:pt>
                <c:pt idx="49">
                  <c:v>1.77</c:v>
                </c:pt>
                <c:pt idx="50">
                  <c:v>1.67</c:v>
                </c:pt>
                <c:pt idx="51">
                  <c:v>2.39</c:v>
                </c:pt>
                <c:pt idx="52">
                  <c:v>1.7</c:v>
                </c:pt>
                <c:pt idx="53">
                  <c:v>2.4</c:v>
                </c:pt>
                <c:pt idx="54">
                  <c:v>2.51</c:v>
                </c:pt>
                <c:pt idx="55">
                  <c:v>1.89</c:v>
                </c:pt>
              </c:numCache>
            </c:numRef>
          </c:val>
          <c:smooth val="0"/>
        </c:ser>
        <c:dLbls>
          <c:showLegendKey val="0"/>
          <c:showVal val="0"/>
          <c:showCatName val="0"/>
          <c:showSerName val="0"/>
          <c:showPercent val="0"/>
          <c:showBubbleSize val="0"/>
        </c:dLbls>
        <c:smooth val="0"/>
        <c:axId val="2139841264"/>
        <c:axId val="-2082175680"/>
      </c:lineChart>
      <c:catAx>
        <c:axId val="213984126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82175680"/>
        <c:crosses val="autoZero"/>
        <c:auto val="1"/>
        <c:lblAlgn val="ctr"/>
        <c:lblOffset val="100"/>
        <c:noMultiLvlLbl val="0"/>
      </c:catAx>
      <c:valAx>
        <c:axId val="-208217568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39841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1762</Words>
  <Characters>10046</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Shairoz</dc:creator>
  <cp:keywords/>
  <dc:description/>
  <cp:lastModifiedBy>Sohail, Shairoz</cp:lastModifiedBy>
  <cp:revision>1</cp:revision>
  <dcterms:created xsi:type="dcterms:W3CDTF">2015-12-08T00:55:00Z</dcterms:created>
  <dcterms:modified xsi:type="dcterms:W3CDTF">2015-12-08T16:58:00Z</dcterms:modified>
</cp:coreProperties>
</file>