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bookmarkStart w:id="0" w:name="_Hlk499573791"/>
      <w:bookmarkEnd w:id="0"/>
      <w:r>
        <w:rPr>
          <w:color w:val="000000"/>
        </w:rPr>
        <w:t>A</w:t>
      </w:r>
      <w:r w:rsidRPr="008914E4">
        <w:rPr>
          <w:color w:val="000000"/>
        </w:rPr>
        <w:t xml:space="preserve"> Neural Network from Scratch</w:t>
      </w:r>
    </w:p>
    <w:p w:rsidR="003410C8" w:rsidRDefault="008914E4">
      <w:pPr>
        <w:pStyle w:val="AUTHOR"/>
        <w:spacing w:before="80" w:after="360"/>
        <w:rPr>
          <w:color w:val="000000"/>
          <w:sz w:val="24"/>
        </w:rPr>
      </w:pPr>
      <w:r>
        <w:rPr>
          <w:color w:val="000000"/>
        </w:rPr>
        <w:t xml:space="preserve">Shaishavkumar </w:t>
      </w:r>
      <w:proofErr w:type="spellStart"/>
      <w:r>
        <w:rPr>
          <w:color w:val="000000"/>
        </w:rPr>
        <w:t>Jogani</w:t>
      </w:r>
      <w:proofErr w:type="spellEnd"/>
      <w:r>
        <w:rPr>
          <w:color w:val="000000"/>
        </w:rPr>
        <w:t xml:space="preserve"> (1212392985), Siva Kongara (</w:t>
      </w:r>
      <w:r w:rsidR="006D2C23">
        <w:rPr>
          <w:color w:val="000000"/>
        </w:rPr>
        <w:t>1212345483</w:t>
      </w:r>
      <w:r>
        <w:rPr>
          <w:color w:val="000000"/>
        </w:rPr>
        <w:t>)</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w:t>
      </w:r>
      <w:bookmarkStart w:id="1" w:name="_GoBack"/>
      <w:bookmarkEnd w:id="1"/>
      <w:r>
        <w:rPr>
          <w:color w:val="000000"/>
        </w:rPr>
        <w:t xml:space="preserve">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8914E4" w:rsidP="008914E4">
      <w:pPr>
        <w:pStyle w:val="PARAGRAPHnoindent"/>
        <w:rPr>
          <w:color w:val="000000"/>
        </w:rPr>
      </w:pPr>
      <w:r w:rsidRPr="008914E4">
        <w:rPr>
          <w:color w:val="000000"/>
        </w:rPr>
        <w:t>An Artificial Neural Network (ANN) is an information processing paradigm that is inspired by the way biological nervous systems, such as the brain, process information. The key element of this paradigm is the novel structure of the information processing system. [2] A Neural network is configured to recognize the pattern or to classify the data. Unlike conventional computing, Neural Network learns from the given set of examples. In this project, we implemented an Artificial Neural Network for the task of digit classification without using any advanced libraries. Digit classification has been a fertile ground for exploring several learning techniques ranging from automatically learning feature representations, learning classifiers invariant to distortions, matching and alignment based distances, and learning multilayered representations of data. [1] A neural network can be defined as “Neural computing is the study of networks of adaptable nodes which, through a process of learning from task examples, store experiential knowledge and make it available for use.” [3] A NN consists input layer, hidden layer, and output layer. Neural Networks are modeled as collections of neurons that are connected in an acyclic graph. In other words, the outputs of some neurons can become inputs to other neurons. In a convolutional NN, learnable weights and bias are associated with Neurons.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3410C8" w:rsidRDefault="003410C8">
      <w:pPr>
        <w:pStyle w:val="Heading1"/>
        <w:rPr>
          <w:color w:val="000000"/>
        </w:rPr>
      </w:pPr>
      <w:r>
        <w:rPr>
          <w:color w:val="000000"/>
        </w:rPr>
        <w:t>2</w:t>
      </w:r>
      <w:r>
        <w:rPr>
          <w:color w:val="000000"/>
        </w:rPr>
        <w:tab/>
      </w:r>
      <w:proofErr w:type="gramStart"/>
      <w:r w:rsidR="006E59A8">
        <w:rPr>
          <w:color w:val="000000"/>
        </w:rPr>
        <w:t>Background</w:t>
      </w:r>
      <w:proofErr w:type="gramEnd"/>
    </w:p>
    <w:p w:rsidR="003410C8" w:rsidRDefault="003410C8">
      <w:pPr>
        <w:pStyle w:val="Heading2"/>
        <w:spacing w:before="0"/>
        <w:rPr>
          <w:color w:val="000000"/>
        </w:rPr>
      </w:pPr>
      <w:r>
        <w:rPr>
          <w:color w:val="000000"/>
        </w:rPr>
        <w:t xml:space="preserve">2.1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w:t>
      </w:r>
      <w:r w:rsidRPr="006E59A8">
        <w:rPr>
          <w:color w:val="000000"/>
        </w:rPr>
        <w:t xml:space="preserve">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proofErr w:type="gramStart"/>
      <w:r w:rsidRPr="006E59A8">
        <w:rPr>
          <w:color w:val="000000"/>
        </w:rPr>
        <w:t>a local minima</w:t>
      </w:r>
      <w:proofErr w:type="gramEnd"/>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6E59A8" w:rsidRDefault="006E59A8" w:rsidP="006E59A8">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6E59A8" w:rsidRDefault="006E59A8" w:rsidP="006E59A8">
      <w:pPr>
        <w:pStyle w:val="Heading2"/>
        <w:rPr>
          <w:color w:val="000000"/>
        </w:rPr>
      </w:pPr>
      <w:r>
        <w:rPr>
          <w:color w:val="000000"/>
        </w:rPr>
        <w:t>2.3</w:t>
      </w:r>
      <w:r>
        <w:rPr>
          <w:color w:val="000000"/>
        </w:rPr>
        <w:tab/>
        <w:t>Back Propagation</w:t>
      </w:r>
    </w:p>
    <w:p w:rsidR="006E59A8" w:rsidRPr="006E59A8" w:rsidRDefault="006E59A8" w:rsidP="006E59A8">
      <w:pPr>
        <w:pStyle w:val="PARAGRAPHnoindent"/>
      </w:pPr>
      <w:r w:rsidRPr="006E59A8">
        <w:rPr>
          <w:color w:val="000000"/>
        </w:rPr>
        <w:lastRenderedPageBreak/>
        <w:t>Backpropagation is the process of propagating the error that has been calculated at the end of forward propaga</w:t>
      </w:r>
      <w:r w:rsidR="00EE2472">
        <w:rPr>
          <w:noProof/>
        </w:rPr>
        <w:pict>
          <v:shapetype id="_x0000_t202" coordsize="21600,21600" o:spt="202" path="m,l,21600r21600,l21600,xe">
            <v:stroke joinstyle="miter"/>
            <v:path gradientshapeok="t" o:connecttype="rect"/>
          </v:shapetype>
          <v:shape id="_x0000_s1028" type="#_x0000_t202" style="position:absolute;left:0;text-align:left;margin-left:255.4pt;margin-top:151.4pt;width:243.65pt;height:25pt;z-index:251660288;mso-position-horizontal-relative:text;mso-position-vertical-relative:text" stroked="f">
            <v:textbox style="mso-next-textbox:#_x0000_s1028;mso-fit-shape-to-text:t" inset="0,0,0,0">
              <w:txbxContent>
                <w:p w:rsidR="00144634" w:rsidRDefault="00144634" w:rsidP="00144634">
                  <w:pPr>
                    <w:pStyle w:val="FIGURECAPTION"/>
                    <w:rPr>
                      <w:color w:val="000000"/>
                    </w:rPr>
                  </w:pPr>
                  <w:r>
                    <w:rPr>
                      <w:color w:val="000000"/>
                    </w:rPr>
                    <w:t>Fig. 2. Structure of our Neural Network</w:t>
                  </w:r>
                </w:p>
              </w:txbxContent>
            </v:textbox>
            <w10:wrap type="topAndBottom"/>
          </v:shape>
        </w:pict>
      </w:r>
      <w:r>
        <w:rPr>
          <w:noProof/>
          <w:color w:val="000000"/>
        </w:rPr>
        <w:drawing>
          <wp:anchor distT="0" distB="0" distL="114300" distR="114300" simplePos="0" relativeHeight="251658240" behindDoc="1" locked="0" layoutInCell="1" allowOverlap="1" wp14:anchorId="3A048442">
            <wp:simplePos x="0" y="0"/>
            <wp:positionH relativeFrom="column">
              <wp:posOffset>3221355</wp:posOffset>
            </wp:positionH>
            <wp:positionV relativeFrom="paragraph">
              <wp:posOffset>62001</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Pr="006E59A8">
        <w:rPr>
          <w:color w:val="000000"/>
        </w:rPr>
        <w:t xml:space="preserve">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8914E4" w:rsidRDefault="003410C8" w:rsidP="008914E4">
      <w:pPr>
        <w:pStyle w:val="Heading1"/>
        <w:rPr>
          <w:rStyle w:val="Figurereferenceto"/>
          <w:color w:val="000000"/>
        </w:rPr>
      </w:pPr>
      <w:r>
        <w:rPr>
          <w:rStyle w:val="Figurereferenceto"/>
          <w:color w:val="000000"/>
        </w:rPr>
        <w:t>3</w:t>
      </w:r>
      <w:r>
        <w:rPr>
          <w:rStyle w:val="Figurereferenceto"/>
          <w:color w:val="000000"/>
        </w:rPr>
        <w:tab/>
      </w:r>
      <w:r w:rsidR="00144634">
        <w:rPr>
          <w:rStyle w:val="Figurereferenceto"/>
          <w:color w:val="000000"/>
        </w:rPr>
        <w:t>IMPLEMENTATIONS</w:t>
      </w:r>
    </w:p>
    <w:p w:rsidR="008914E4" w:rsidRPr="008914E4" w:rsidRDefault="008914E4" w:rsidP="008914E4">
      <w:pPr>
        <w:pStyle w:val="Heading2"/>
        <w:rPr>
          <w:color w:val="000000"/>
        </w:rPr>
      </w:pPr>
      <w:r>
        <w:rPr>
          <w:color w:val="000000"/>
        </w:rPr>
        <w:t>3.1</w:t>
      </w:r>
      <w:r>
        <w:rPr>
          <w:color w:val="000000"/>
        </w:rPr>
        <w:tab/>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2"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Fig. 1. Structure of our Neural Network</w:t>
      </w:r>
    </w:p>
    <w:bookmarkEnd w:id="2"/>
    <w:p w:rsidR="00892C7B" w:rsidRPr="00892C7B" w:rsidRDefault="00892C7B" w:rsidP="00144634">
      <w:pPr>
        <w:pStyle w:val="PARAGRAPH"/>
        <w:ind w:firstLine="0"/>
        <w:rPr>
          <w:color w:val="000000"/>
        </w:rPr>
      </w:pPr>
      <w:r w:rsidRPr="00892C7B">
        <w:rPr>
          <w:color w:val="000000"/>
        </w:rPr>
        <w:t>MNIST database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library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 xml:space="preserve">We have implemented Stochastic Gradient Descent on each of the training sample in the training dataset. Each training sample is fed to the input and the output value is calculated through forward propagation. Then, using </w:t>
      </w:r>
      <w:r w:rsidRPr="00144634">
        <w:rPr>
          <w:color w:val="000000"/>
        </w:rPr>
        <w:lastRenderedPageBreak/>
        <w:t>Back Propagation we have propagated the loss back to each layer and adjusted the weights and bias at each layer.</w:t>
      </w:r>
    </w:p>
    <w:p w:rsidR="00144634" w:rsidRDefault="00144634" w:rsidP="00144634">
      <w:pPr>
        <w:pStyle w:val="Heading2"/>
        <w:rPr>
          <w:color w:val="000000"/>
        </w:rPr>
      </w:pPr>
      <w:r>
        <w:rPr>
          <w:color w:val="000000"/>
        </w:rPr>
        <w:t>3.4</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3.4</w:t>
      </w:r>
      <w:r>
        <w:rPr>
          <w:color w:val="000000"/>
        </w:rPr>
        <w:tab/>
      </w:r>
      <w:r w:rsidRPr="00144634">
        <w:rPr>
          <w:color w:val="000000"/>
        </w:rPr>
        <w:t>Dropout</w:t>
      </w:r>
    </w:p>
    <w:p w:rsidR="00144634" w:rsidRPr="00144634" w:rsidRDefault="00144634" w:rsidP="00144634">
      <w:pPr>
        <w:pStyle w:val="PARAGRAPHnoindent"/>
      </w:pPr>
      <w:r w:rsidRPr="00144634">
        <w:rPr>
          <w:color w:val="000000"/>
        </w:rPr>
        <w:t>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retained.</w:t>
      </w:r>
    </w:p>
    <w:p w:rsidR="00144634" w:rsidRDefault="00144634" w:rsidP="00144634">
      <w:pPr>
        <w:pStyle w:val="Heading2"/>
        <w:rPr>
          <w:color w:val="000000"/>
        </w:rPr>
      </w:pPr>
      <w:r>
        <w:rPr>
          <w:color w:val="000000"/>
        </w:rPr>
        <w:t>3.4</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proofErr w:type="gramStart"/>
      <w:r w:rsidRPr="00144634">
        <w:rPr>
          <w:color w:val="000000"/>
        </w:rPr>
        <w:t>cross entropy</w:t>
      </w:r>
      <w:proofErr w:type="gramEnd"/>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We After all the sample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 </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w:t>
      </w:r>
      <w:r>
        <w:rPr>
          <w:color w:val="000000"/>
        </w:rPr>
        <w:t xml:space="preserve">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6"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8"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w:t>
      </w:r>
      <w:r>
        <w:rPr>
          <w:color w:val="000000"/>
        </w:rPr>
        <w:lastRenderedPageBreak/>
        <w:t xml:space="preserve">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9"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0"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2"/>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w:t>
      </w:r>
      <w:r>
        <w:rPr>
          <w:color w:val="000000"/>
          <w:spacing w:val="-4"/>
        </w:rPr>
        <w:lastRenderedPageBreak/>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3"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4"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w:t>
      </w:r>
      <w:r>
        <w:rPr>
          <w:color w:val="000000"/>
        </w:rPr>
        <w:t>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5"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Fast and Accurate Digit Classification.</w:t>
      </w:r>
      <w:r>
        <w:rPr>
          <w:color w:val="000000"/>
          <w:spacing w:val="-8"/>
          <w:sz w:val="16"/>
          <w:szCs w:val="16"/>
        </w:rPr>
        <w:t>”</w:t>
      </w:r>
      <w:r w:rsidRPr="00144634">
        <w:rPr>
          <w:color w:val="000000"/>
          <w:spacing w:val="-8"/>
          <w:sz w:val="16"/>
          <w:szCs w:val="16"/>
        </w:rPr>
        <w:t xml:space="preserve"> https://www2.eecs.berkeley.edu/Pubs/TechRpts/2009/EECS-2009-159.pdf</w:t>
      </w:r>
    </w:p>
    <w:p w:rsidR="003410C8" w:rsidRDefault="00144634" w:rsidP="00144634">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 h</w:t>
      </w:r>
      <w:r w:rsidRPr="00144634">
        <w:rPr>
          <w:color w:val="000000"/>
          <w:sz w:val="16"/>
          <w:szCs w:val="16"/>
        </w:rPr>
        <w:t>ttps://www.doc.ic.ac.uk/~nd/surprise_96/journal/vol4/cs11/report.html</w:t>
      </w:r>
    </w:p>
    <w:p w:rsidR="003410C8" w:rsidRDefault="00144634" w:rsidP="00144634">
      <w:pPr>
        <w:numPr>
          <w:ilvl w:val="0"/>
          <w:numId w:val="22"/>
        </w:numPr>
        <w:rPr>
          <w:color w:val="000000"/>
          <w:sz w:val="16"/>
        </w:rPr>
      </w:pPr>
      <w:r w:rsidRPr="00144634">
        <w:rPr>
          <w:color w:val="000000"/>
          <w:sz w:val="16"/>
        </w:rPr>
        <w:t>Aleksander, I. and Morton,</w:t>
      </w:r>
      <w:r>
        <w:rPr>
          <w:color w:val="000000"/>
          <w:sz w:val="16"/>
        </w:rPr>
        <w:t xml:space="preserve"> H. “</w:t>
      </w:r>
      <w:r w:rsidRPr="00144634">
        <w:rPr>
          <w:color w:val="000000"/>
          <w:sz w:val="16"/>
        </w:rPr>
        <w:t>An introduction to neural computing.</w:t>
      </w:r>
      <w:r>
        <w:rPr>
          <w:color w:val="000000"/>
          <w:sz w:val="16"/>
        </w:rPr>
        <w:t>” 2</w:t>
      </w:r>
      <w:r w:rsidRPr="00144634">
        <w:rPr>
          <w:color w:val="000000"/>
          <w:sz w:val="16"/>
          <w:vertAlign w:val="superscript"/>
        </w:rPr>
        <w:t>nd</w:t>
      </w:r>
      <w:r>
        <w:rPr>
          <w:color w:val="000000"/>
          <w:sz w:val="16"/>
        </w:rPr>
        <w:t>. edition</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w:t>
      </w:r>
      <w:proofErr w:type="gramStart"/>
      <w:r w:rsidRPr="00FF5190">
        <w:rPr>
          <w:rFonts w:ascii="Palatino" w:hAnsi="Palatino" w:cs="Tms Rmn"/>
          <w:color w:val="000000"/>
        </w:rPr>
        <w:t>190746.</w:t>
      </w:r>
      <w:r>
        <w:rPr>
          <w:rFonts w:ascii="Palatino" w:hAnsi="Palatino" w:cs="Tms Rmn"/>
          <w:color w:val="000000"/>
        </w:rPr>
        <w:t>(</w:t>
      </w:r>
      <w:proofErr w:type="spellStart"/>
      <w:proofErr w:type="gramEnd"/>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472" w:rsidRDefault="00EE2472">
      <w:r>
        <w:separator/>
      </w:r>
    </w:p>
  </w:endnote>
  <w:endnote w:type="continuationSeparator" w:id="0">
    <w:p w:rsidR="00EE2472" w:rsidRDefault="00EE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472" w:rsidRDefault="00EE2472">
      <w:pPr>
        <w:pStyle w:val="TABLEROW"/>
        <w:jc w:val="left"/>
        <w:rPr>
          <w:position w:val="12"/>
          <w:sz w:val="20"/>
        </w:rPr>
      </w:pPr>
    </w:p>
  </w:footnote>
  <w:footnote w:type="continuationSeparator" w:id="0">
    <w:p w:rsidR="00EE2472" w:rsidRDefault="00EE2472">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Pr>
        <w:noProof/>
      </w:rPr>
      <w:t>3</w:t>
    </w:r>
    <w:r w:rsidR="00292D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914E4">
    <w:pPr>
      <w:pStyle w:val="Header"/>
      <w:tabs>
        <w:tab w:val="clear" w:pos="10200"/>
        <w:tab w:val="right" w:pos="10320"/>
      </w:tabs>
      <w:spacing w:line="180" w:lineRule="exact"/>
    </w:pPr>
    <w:r>
      <w:t>A Neural Network From SCRATCH</w:t>
    </w:r>
    <w:r w:rsidR="00E12B17">
      <w:tab/>
    </w:r>
    <w:r w:rsidR="00E12B17">
      <w:rPr>
        <w:b/>
        <w:caps w:val="0"/>
        <w:vanish/>
        <w:sz w:val="16"/>
      </w:rPr>
      <w:t>first page</w:t>
    </w:r>
    <w:r w:rsidR="00E12B17">
      <w:rPr>
        <w:caps w:val="0"/>
        <w:vanish/>
      </w:rPr>
      <w:t xml:space="preserve">   </w:t>
    </w:r>
    <w:r w:rsidR="00292DD5">
      <w:fldChar w:fldCharType="begin"/>
    </w:r>
    <w:r w:rsidR="00292DD5">
      <w:instrText xml:space="preserve"> PAGE </w:instrText>
    </w:r>
    <w:r w:rsidR="00292DD5">
      <w:fldChar w:fldCharType="separate"/>
    </w:r>
    <w:r w:rsidR="006D2C23">
      <w:rPr>
        <w:noProof/>
      </w:rPr>
      <w:t>1</w:t>
    </w:r>
    <w:r w:rsidR="00292DD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6D2C23">
      <w:rPr>
        <w:noProof/>
      </w:rPr>
      <w:t>6</w:t>
    </w:r>
    <w:r>
      <w:rPr>
        <w:noProof/>
      </w:rPr>
      <w:fldChar w:fldCharType="end"/>
    </w:r>
    <w:r w:rsidR="00E12B17">
      <w:rPr>
        <w:b/>
        <w:i/>
        <w:vanish/>
      </w:rPr>
      <w:t xml:space="preserve">   </w:t>
    </w:r>
    <w:r w:rsidR="00E12B17">
      <w:rPr>
        <w:i/>
        <w:caps w:val="0"/>
        <w:vanish/>
      </w:rPr>
      <w:t>even page</w:t>
    </w:r>
    <w:r w:rsidR="00E12B17">
      <w:tab/>
    </w:r>
    <w:r w:rsidR="008914E4">
      <w:t>A Neural Network From SCRATCH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sidR="006D2C23">
      <w:rPr>
        <w:noProof/>
      </w:rPr>
      <w:t>5</w:t>
    </w:r>
    <w:r w:rsidR="00292DD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90DFB"/>
    <w:rsid w:val="00144634"/>
    <w:rsid w:val="00177B9E"/>
    <w:rsid w:val="002522DF"/>
    <w:rsid w:val="0027695E"/>
    <w:rsid w:val="00292DD5"/>
    <w:rsid w:val="002D46B5"/>
    <w:rsid w:val="002E799D"/>
    <w:rsid w:val="003410C8"/>
    <w:rsid w:val="005348DB"/>
    <w:rsid w:val="00640E9B"/>
    <w:rsid w:val="00661151"/>
    <w:rsid w:val="0069250A"/>
    <w:rsid w:val="006D2C23"/>
    <w:rsid w:val="006E59A8"/>
    <w:rsid w:val="0071239C"/>
    <w:rsid w:val="0073587B"/>
    <w:rsid w:val="0074172D"/>
    <w:rsid w:val="00753F24"/>
    <w:rsid w:val="00850C4C"/>
    <w:rsid w:val="00887762"/>
    <w:rsid w:val="008914E4"/>
    <w:rsid w:val="00892C7B"/>
    <w:rsid w:val="009848F6"/>
    <w:rsid w:val="00A211B7"/>
    <w:rsid w:val="00A64EB7"/>
    <w:rsid w:val="00A76BBC"/>
    <w:rsid w:val="00AB633F"/>
    <w:rsid w:val="00B23D4B"/>
    <w:rsid w:val="00B538EB"/>
    <w:rsid w:val="00D546C6"/>
    <w:rsid w:val="00D96813"/>
    <w:rsid w:val="00DD3B3D"/>
    <w:rsid w:val="00DE2722"/>
    <w:rsid w:val="00E12B17"/>
    <w:rsid w:val="00EE2472"/>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A0D43D0"/>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portal/web/publications/style_math"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mathtype.com"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_ref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computer.org/portal/web/peerreviewjournals/autho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26A15-83B7-4A86-82C3-1588374E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203</TotalTime>
  <Pages>6</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25790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Siva Kongara (Student)</cp:lastModifiedBy>
  <cp:revision>16</cp:revision>
  <cp:lastPrinted>2003-04-30T17:12:00Z</cp:lastPrinted>
  <dcterms:created xsi:type="dcterms:W3CDTF">2012-11-09T22:24:00Z</dcterms:created>
  <dcterms:modified xsi:type="dcterms:W3CDTF">2017-11-28T19:59:00Z</dcterms:modified>
</cp:coreProperties>
</file>