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4400"/>
        <w:tblBorders>
          <w:top w:val="none" w:color="FFFFFF" w:sz="0"/>
          <w:left w:val="none" w:color="FFFFFF" w:sz="0"/>
          <w:bottom w:val="none" w:color="FFFFFF" w:sz="0"/>
          <w:right w:val="none" w:color="FFFFFF" w:sz="0"/>
          <w:insideH w:val="none" w:color="FFFFFF" w:sz="0"/>
          <w:insideV w:val="none" w:color="FFFFFF" w:sz="0"/>
        </w:tblBorders>
        <w:tblCellMar>
          <w:top w:type="dxa" w:w="120"/>
          <w:left w:type="dxa" w:w="170"/>
          <w:bottom w:type="dxa" w:w="60"/>
          <w:right w:type="dxa" w:w="170"/>
        </w:tblCellMar>
      </w:tblPr>
      <w:tblGrid>
        <w:gridCol w:w="14400"/>
      </w:tblGrid>
      <w:tr>
        <w:tc>
          <w:tcPr>
            <w:tcW w:type="dxa" w:w="14400"/>
            <w:tcBorders>
              <w:top w:val="none" w:color="FFFFFF" w:sz="0"/>
              <w:left w:val="none" w:color="FFFFFF" w:sz="0"/>
              <w:bottom w:val="none" w:color="FFFFFF" w:sz="0"/>
              <w:right w:val="none" w:color="FFFFFF" w:sz="0"/>
            </w:tcBorders>
            <w:shd w:fill="111820" w:color="auto" w:val="clear"/>
          </w:tcPr>
          <w:p>
            <w:pPr>
              <w:spacing w:after="30"/>
            </w:pPr>
            <w:r>
              <w:rPr>
                <w:rFonts w:ascii="Calibri" w:cs="Calibri" w:eastAsia="Calibri" w:hAnsi="Calibri"/>
                <w:b/>
                <w:bCs/>
                <w:color w:val="EAF1F4"/>
                <w:sz w:val="32"/>
                <w:szCs w:val="32"/>
              </w:rPr>
              <w:t xml:space="preserve">Codesign Canvas</w:t>
            </w:r>
            <w:r>
              <w:rPr>
                <w:rFonts w:ascii="Calibri" w:cs="Calibri" w:eastAsia="Calibri" w:hAnsi="Calibri"/>
                <w:color w:val="7FB6C4"/>
                <w:sz w:val="20"/>
                <w:szCs w:val="20"/>
              </w:rPr>
              <w:t xml:space="preserve">    Screen based (HCI) setting</w:t>
            </w:r>
          </w:p>
          <w:p>
            <w:pPr>
              <w:spacing w:after="26"/>
            </w:pPr>
            <w:r>
              <w:rPr>
                <w:rFonts w:ascii="Calibri" w:cs="Calibri" w:eastAsia="Calibri" w:hAnsi="Calibri"/>
                <w:color w:val="C7D6DC"/>
                <w:sz w:val="19"/>
                <w:szCs w:val="19"/>
              </w:rPr>
              <w:t xml:space="preserve">CariSurg AI Emergency Care Platform. AI Emergency Triage for Mercer General Emergency Department.</w:t>
            </w:r>
          </w:p>
          <w:p>
            <w:r>
              <w:rPr>
                <w:rFonts w:ascii="Calibri" w:cs="Calibri" w:eastAsia="Calibri" w:hAnsi="Calibri"/>
                <w:i/>
                <w:iCs/>
                <w:color w:val="8FA6AE"/>
                <w:sz w:val="17"/>
                <w:szCs w:val="17"/>
              </w:rPr>
              <w:t xml:space="preserve">Shakada Blake.  Week 9: HCI, Codesign and Prototyping.  Human and computer interaction (not HRI).  Draft v3.</w:t>
            </w:r>
          </w:p>
        </w:tc>
      </w:tr>
    </w:tbl>
    <w:tbl>
      <w:tblPr>
        <w:tblW w:type="dxa" w:w="14400"/>
        <w:tblBorders>
          <w:top w:val="none" w:color="FFFFFF" w:sz="0"/>
          <w:left w:val="none" w:color="FFFFFF" w:sz="0"/>
          <w:bottom w:val="none" w:color="FFFFFF" w:sz="0"/>
          <w:right w:val="none" w:color="FFFFFF" w:sz="0"/>
          <w:insideH w:val="none" w:color="FFFFFF" w:sz="0"/>
          <w:insideV w:val="none" w:color="FFFFFF" w:sz="0"/>
        </w:tblBorders>
        <w:tblCellMar>
          <w:top w:type="dxa" w:w="0"/>
          <w:left w:type="dxa" w:w="0"/>
          <w:bottom w:type="dxa" w:w="0"/>
          <w:right w:type="dxa" w:w="0"/>
        </w:tblCellMar>
      </w:tblPr>
      <w:tblGrid>
        <w:gridCol w:w="14400"/>
      </w:tblGrid>
      <w:tr>
        <w:trPr>
          <w:trHeight w:val="40" w:hRule="exact"/>
        </w:trPr>
        <w:tc>
          <w:tcPr>
            <w:tcW w:type="dxa" w:w="14400"/>
            <w:tcBorders>
              <w:top w:val="none" w:color="FFFFFF" w:sz="0"/>
              <w:left w:val="none" w:color="FFFFFF" w:sz="0"/>
              <w:bottom w:val="none" w:color="FFFFFF" w:sz="0"/>
              <w:right w:val="none" w:color="FFFFFF" w:sz="0"/>
            </w:tcBorders>
            <w:shd w:fill="22D3EE" w:color="auto" w:val="clear"/>
          </w:tcPr>
          <w:p>
            <w:pPr>
              <w:spacing w:after="0" w:before="0"/>
            </w:pPr>
            <w:r>
              <w:rPr>
                <w:sz w:val="2"/>
                <w:szCs w:val="2"/>
              </w:rPr>
              <w:t xml:space="preserve"/>
            </w:r>
          </w:p>
        </w:tc>
      </w:tr>
    </w:tbl>
    <w:p>
      <w:pPr>
        <w:spacing w:after="0" w:before="0"/>
      </w:pPr>
      <w:r>
        <w:rPr>
          <w:sz w:val="6"/>
          <w:szCs w:val="6"/>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CellMar>
          <w:top w:type="dxa" w:w="70"/>
          <w:left w:type="dxa" w:w="130"/>
          <w:bottom w:type="dxa" w:w="70"/>
          <w:right w:type="dxa" w:w="130"/>
        </w:tblCellMar>
      </w:tblPr>
      <w:tblGrid>
        <w:gridCol w:w="4600"/>
        <w:gridCol w:w="300"/>
        <w:gridCol w:w="4600"/>
        <w:gridCol w:w="300"/>
        <w:gridCol w:w="4600"/>
      </w:tblGrid>
      <w:tr>
        <w:tc>
          <w:tcPr>
            <w:tcW w:type="dxa" w:w="4600"/>
            <w:tcBorders>
              <w:top w:val="none" w:color="FFFFFF" w:sz="0"/>
              <w:left w:val="none" w:color="FFFFFF" w:sz="0"/>
              <w:bottom w:val="none" w:color="FFFFFF" w:sz="0"/>
              <w:right w:val="none" w:color="FFFFFF" w:sz="0"/>
            </w:tcBorders>
            <w:shd w:fill="111820" w:color="auto" w:val="clear"/>
          </w:tcPr>
          <w:p>
            <w:pPr>
              <w:spacing w:after="40" w:before="40"/>
            </w:pPr>
            <w:r>
              <w:rPr>
                <w:rFonts w:ascii="Calibri" w:cs="Calibri" w:eastAsia="Calibri" w:hAnsi="Calibri"/>
                <w:b/>
                <w:bCs/>
                <w:color w:val="EAF1F4"/>
                <w:sz w:val="18"/>
                <w:szCs w:val="18"/>
              </w:rPr>
              <w:t xml:space="preserve">Setting and why HCI</w:t>
            </w:r>
          </w:p>
        </w:tc>
        <w:tc>
          <w:tcPr>
            <w:tcW w:type="dxa" w:w="300"/>
            <w:tcBorders>
              <w:top w:val="none" w:color="FFFFFF" w:sz="0"/>
              <w:left w:val="none" w:color="FFFFFF" w:sz="0"/>
              <w:bottom w:val="none" w:color="FFFFFF" w:sz="0"/>
              <w:right w:val="none" w:color="FFFFFF" w:sz="0"/>
            </w:tcBorders>
          </w:tcPr>
          <w:p/>
        </w:tc>
        <w:tc>
          <w:tcPr>
            <w:tcW w:type="dxa" w:w="4600"/>
            <w:tcBorders>
              <w:top w:val="none" w:color="FFFFFF" w:sz="0"/>
              <w:left w:val="none" w:color="FFFFFF" w:sz="0"/>
              <w:bottom w:val="none" w:color="FFFFFF" w:sz="0"/>
              <w:right w:val="none" w:color="FFFFFF" w:sz="0"/>
            </w:tcBorders>
            <w:shd w:fill="111820" w:color="auto" w:val="clear"/>
          </w:tcPr>
          <w:p>
            <w:pPr>
              <w:spacing w:after="40" w:before="40"/>
            </w:pPr>
            <w:r>
              <w:rPr>
                <w:rFonts w:ascii="Calibri" w:cs="Calibri" w:eastAsia="Calibri" w:hAnsi="Calibri"/>
                <w:b/>
                <w:bCs/>
                <w:color w:val="EAF1F4"/>
                <w:sz w:val="18"/>
                <w:szCs w:val="18"/>
              </w:rPr>
              <w:t xml:space="preserve">Codesign participants</w:t>
            </w:r>
          </w:p>
        </w:tc>
        <w:tc>
          <w:tcPr>
            <w:tcW w:type="dxa" w:w="300"/>
            <w:tcBorders>
              <w:top w:val="none" w:color="FFFFFF" w:sz="0"/>
              <w:left w:val="none" w:color="FFFFFF" w:sz="0"/>
              <w:bottom w:val="none" w:color="FFFFFF" w:sz="0"/>
              <w:right w:val="none" w:color="FFFFFF" w:sz="0"/>
            </w:tcBorders>
          </w:tcPr>
          <w:p/>
        </w:tc>
        <w:tc>
          <w:tcPr>
            <w:tcW w:type="dxa" w:w="4600"/>
            <w:tcBorders>
              <w:top w:val="none" w:color="FFFFFF" w:sz="0"/>
              <w:left w:val="none" w:color="FFFFFF" w:sz="0"/>
              <w:bottom w:val="none" w:color="FFFFFF" w:sz="0"/>
              <w:right w:val="none" w:color="FFFFFF" w:sz="0"/>
            </w:tcBorders>
            <w:shd w:fill="111820" w:color="auto" w:val="clear"/>
          </w:tcPr>
          <w:p>
            <w:pPr>
              <w:spacing w:after="40" w:before="40"/>
            </w:pPr>
            <w:r>
              <w:rPr>
                <w:rFonts w:ascii="Calibri" w:cs="Calibri" w:eastAsia="Calibri" w:hAnsi="Calibri"/>
                <w:b/>
                <w:bCs/>
                <w:color w:val="EAF1F4"/>
                <w:sz w:val="18"/>
                <w:szCs w:val="18"/>
              </w:rPr>
              <w:t xml:space="preserve">What we are designing</w:t>
            </w:r>
          </w:p>
        </w:tc>
      </w:tr>
      <w:tr>
        <w:tc>
          <w:tcPr>
            <w:tcW w:type="dxa" w:w="4600"/>
            <w:tcBorders>
              <w:top w:val="none" w:color="FFFFFF" w:sz="0"/>
              <w:left w:val="none" w:color="FFFFFF" w:sz="0"/>
              <w:bottom w:val="none" w:color="FFFFFF" w:sz="0"/>
              <w:right w:val="none" w:color="FFFFFF" w:sz="0"/>
            </w:tcBorders>
            <w:shd w:fill="F3F6F7" w:color="auto" w:val="clear"/>
            <w:vAlign w:val="top"/>
          </w:tcPr>
          <w:p>
            <w:pPr>
              <w:pStyle w:val="ListParagraph"/>
              <w:numPr>
                <w:ilvl w:val="0"/>
                <w:numId w:val="1"/>
              </w:numPr>
              <w:spacing w:after="24" w:before="24" w:line="250"/>
            </w:pPr>
            <w:r>
              <w:rPr>
                <w:rFonts w:ascii="Calibri" w:cs="Calibri" w:eastAsia="Calibri" w:hAnsi="Calibri"/>
                <w:b w:val="false"/>
                <w:bCs w:val="false"/>
                <w:i w:val="false"/>
                <w:iCs w:val="false"/>
                <w:color w:val="1A2027"/>
                <w:sz w:val="19"/>
                <w:szCs w:val="19"/>
              </w:rPr>
              <w:t xml:space="preserve">An AI decision support platform on screens, not a robot. Because there is no embodied agent, this is human and computer interaction, not human and robot interaction.</w:t>
            </w:r>
          </w:p>
          <w:p>
            <w:pPr>
              <w:pStyle w:val="ListParagraph"/>
              <w:numPr>
                <w:ilvl w:val="0"/>
                <w:numId w:val="1"/>
              </w:numPr>
              <w:spacing w:after="24" w:before="24" w:line="250"/>
            </w:pPr>
            <w:r>
              <w:rPr>
                <w:rFonts w:ascii="Calibri" w:cs="Calibri" w:eastAsia="Calibri" w:hAnsi="Calibri"/>
                <w:b w:val="false"/>
                <w:bCs w:val="false"/>
                <w:i w:val="false"/>
                <w:iCs w:val="false"/>
                <w:color w:val="1A2027"/>
                <w:sz w:val="19"/>
                <w:szCs w:val="19"/>
              </w:rPr>
              <w:t xml:space="preserve">Clinicians work on the triage dashboard at the workstation and on tablets. Patients use a mobile app. Affiliated clinicians and administrators use secure web fronts.</w:t>
            </w:r>
          </w:p>
          <w:p>
            <w:pPr>
              <w:pStyle w:val="ListParagraph"/>
              <w:numPr>
                <w:ilvl w:val="0"/>
                <w:numId w:val="1"/>
              </w:numPr>
              <w:spacing w:after="24" w:before="24" w:line="250"/>
            </w:pPr>
            <w:r>
              <w:rPr>
                <w:rFonts w:ascii="Calibri" w:cs="Calibri" w:eastAsia="Calibri" w:hAnsi="Calibri"/>
                <w:b w:val="false"/>
                <w:bCs w:val="false"/>
                <w:i w:val="false"/>
                <w:iCs w:val="false"/>
                <w:color w:val="1A2027"/>
                <w:sz w:val="19"/>
                <w:szCs w:val="19"/>
              </w:rPr>
              <w:t xml:space="preserve">Every front reads from and writes to one patient record for Mercer General ED.</w:t>
            </w:r>
          </w:p>
        </w:tc>
        <w:tc>
          <w:tcPr>
            <w:tcW w:type="dxa" w:w="300"/>
            <w:tcBorders>
              <w:top w:val="none" w:color="FFFFFF" w:sz="0"/>
              <w:left w:val="none" w:color="FFFFFF" w:sz="0"/>
              <w:bottom w:val="none" w:color="FFFFFF" w:sz="0"/>
              <w:right w:val="none" w:color="FFFFFF" w:sz="0"/>
            </w:tcBorders>
          </w:tcPr>
          <w:p/>
        </w:tc>
        <w:tc>
          <w:tcPr>
            <w:tcW w:type="dxa" w:w="4600"/>
            <w:tcBorders>
              <w:top w:val="none" w:color="FFFFFF" w:sz="0"/>
              <w:left w:val="none" w:color="FFFFFF" w:sz="0"/>
              <w:bottom w:val="none" w:color="FFFFFF" w:sz="0"/>
              <w:right w:val="none" w:color="FFFFFF" w:sz="0"/>
            </w:tcBorders>
            <w:shd w:fill="F3F6F7" w:color="auto" w:val="clear"/>
            <w:vAlign w:val="top"/>
          </w:tcPr>
          <w:p>
            <w:pPr>
              <w:pStyle w:val="ListParagraph"/>
              <w:numPr>
                <w:ilvl w:val="0"/>
                <w:numId w:val="1"/>
              </w:numPr>
              <w:spacing w:after="24" w:before="24" w:line="250"/>
            </w:pPr>
            <w:r>
              <w:rPr>
                <w:rFonts w:ascii="Calibri" w:cs="Calibri" w:eastAsia="Calibri" w:hAnsi="Calibri"/>
                <w:b/>
                <w:bCs/>
                <w:i w:val="false"/>
                <w:iCs w:val="false"/>
                <w:color w:val="1A2027"/>
                <w:sz w:val="19"/>
                <w:szCs w:val="19"/>
              </w:rPr>
              <w:t xml:space="preserve">Triage nurses </w:t>
            </w:r>
            <w:r>
              <w:rPr>
                <w:rFonts w:ascii="Calibri" w:cs="Calibri" w:eastAsia="Calibri" w:hAnsi="Calibri"/>
                <w:b w:val="false"/>
                <w:bCs w:val="false"/>
                <w:i w:val="false"/>
                <w:iCs w:val="false"/>
                <w:color w:val="1A2027"/>
                <w:sz w:val="19"/>
                <w:szCs w:val="19"/>
              </w:rPr>
              <w:t xml:space="preserve">(primary users). They need a glanceable picture and very little added workload.</w:t>
            </w:r>
          </w:p>
          <w:p>
            <w:pPr>
              <w:pStyle w:val="ListParagraph"/>
              <w:numPr>
                <w:ilvl w:val="0"/>
                <w:numId w:val="1"/>
              </w:numPr>
              <w:spacing w:after="24" w:before="24" w:line="250"/>
            </w:pPr>
            <w:r>
              <w:rPr>
                <w:rFonts w:ascii="Calibri" w:cs="Calibri" w:eastAsia="Calibri" w:hAnsi="Calibri"/>
                <w:b/>
                <w:bCs/>
                <w:i w:val="false"/>
                <w:iCs w:val="false"/>
                <w:color w:val="1A2027"/>
                <w:sz w:val="19"/>
                <w:szCs w:val="19"/>
              </w:rPr>
              <w:t xml:space="preserve">Nurse in charge and ED consultants. </w:t>
            </w:r>
            <w:r>
              <w:rPr>
                <w:rFonts w:ascii="Calibri" w:cs="Calibri" w:eastAsia="Calibri" w:hAnsi="Calibri"/>
                <w:b w:val="false"/>
                <w:bCs w:val="false"/>
                <w:i w:val="false"/>
                <w:iCs w:val="false"/>
                <w:color w:val="1A2027"/>
                <w:sz w:val="19"/>
                <w:szCs w:val="19"/>
              </w:rPr>
              <w:t xml:space="preserve">They keep authority over routing and accept or decline AI suggestions.</w:t>
            </w:r>
          </w:p>
          <w:p>
            <w:pPr>
              <w:pStyle w:val="ListParagraph"/>
              <w:numPr>
                <w:ilvl w:val="0"/>
                <w:numId w:val="1"/>
              </w:numPr>
              <w:spacing w:after="24" w:before="24" w:line="250"/>
            </w:pPr>
            <w:r>
              <w:rPr>
                <w:rFonts w:ascii="Calibri" w:cs="Calibri" w:eastAsia="Calibri" w:hAnsi="Calibri"/>
                <w:b/>
                <w:bCs/>
                <w:i w:val="false"/>
                <w:iCs w:val="false"/>
                <w:color w:val="1A2027"/>
                <w:sz w:val="19"/>
                <w:szCs w:val="19"/>
              </w:rPr>
              <w:t xml:space="preserve">Patients. </w:t>
            </w:r>
            <w:r>
              <w:rPr>
                <w:rFonts w:ascii="Calibri" w:cs="Calibri" w:eastAsia="Calibri" w:hAnsi="Calibri"/>
                <w:b w:val="false"/>
                <w:bCs w:val="false"/>
                <w:i w:val="false"/>
                <w:iCs w:val="false"/>
                <w:color w:val="1A2027"/>
                <w:sz w:val="19"/>
                <w:szCs w:val="19"/>
              </w:rPr>
              <w:t xml:space="preserve">They view results, upload outside records, and authorise sharing.</w:t>
            </w:r>
          </w:p>
          <w:p>
            <w:pPr>
              <w:pStyle w:val="ListParagraph"/>
              <w:numPr>
                <w:ilvl w:val="0"/>
                <w:numId w:val="1"/>
              </w:numPr>
              <w:spacing w:after="24" w:before="24" w:line="250"/>
            </w:pPr>
            <w:r>
              <w:rPr>
                <w:rFonts w:ascii="Calibri" w:cs="Calibri" w:eastAsia="Calibri" w:hAnsi="Calibri"/>
                <w:b/>
                <w:bCs/>
                <w:i w:val="false"/>
                <w:iCs w:val="false"/>
                <w:color w:val="1A2027"/>
                <w:sz w:val="19"/>
                <w:szCs w:val="19"/>
              </w:rPr>
              <w:t xml:space="preserve">Affiliated clinicians. </w:t>
            </w:r>
            <w:r>
              <w:rPr>
                <w:rFonts w:ascii="Calibri" w:cs="Calibri" w:eastAsia="Calibri" w:hAnsi="Calibri"/>
                <w:b w:val="false"/>
                <w:bCs w:val="false"/>
                <w:i w:val="false"/>
                <w:iCs w:val="false"/>
                <w:color w:val="1A2027"/>
                <w:sz w:val="19"/>
                <w:szCs w:val="19"/>
              </w:rPr>
              <w:t xml:space="preserve">They request records through the network, only with patient consent.</w:t>
            </w:r>
          </w:p>
          <w:p>
            <w:pPr>
              <w:pStyle w:val="ListParagraph"/>
              <w:numPr>
                <w:ilvl w:val="0"/>
                <w:numId w:val="1"/>
              </w:numPr>
              <w:spacing w:after="24" w:before="24" w:line="250"/>
            </w:pPr>
            <w:r>
              <w:rPr>
                <w:rFonts w:ascii="Calibri" w:cs="Calibri" w:eastAsia="Calibri" w:hAnsi="Calibri"/>
                <w:b/>
                <w:bCs/>
                <w:i w:val="false"/>
                <w:iCs w:val="false"/>
                <w:color w:val="1A2027"/>
                <w:sz w:val="19"/>
                <w:szCs w:val="19"/>
              </w:rPr>
              <w:t xml:space="preserve">Administrators and IT and data governance. </w:t>
            </w:r>
            <w:r>
              <w:rPr>
                <w:rFonts w:ascii="Calibri" w:cs="Calibri" w:eastAsia="Calibri" w:hAnsi="Calibri"/>
                <w:b w:val="false"/>
                <w:bCs w:val="false"/>
                <w:i w:val="false"/>
                <w:iCs w:val="false"/>
                <w:color w:val="1A2027"/>
                <w:sz w:val="19"/>
                <w:szCs w:val="19"/>
              </w:rPr>
              <w:t xml:space="preserve">Operations, model monitoring, and compliance.</w:t>
            </w:r>
          </w:p>
        </w:tc>
        <w:tc>
          <w:tcPr>
            <w:tcW w:type="dxa" w:w="300"/>
            <w:tcBorders>
              <w:top w:val="none" w:color="FFFFFF" w:sz="0"/>
              <w:left w:val="none" w:color="FFFFFF" w:sz="0"/>
              <w:bottom w:val="none" w:color="FFFFFF" w:sz="0"/>
              <w:right w:val="none" w:color="FFFFFF" w:sz="0"/>
            </w:tcBorders>
          </w:tcPr>
          <w:p/>
        </w:tc>
        <w:tc>
          <w:tcPr>
            <w:tcW w:type="dxa" w:w="4600"/>
            <w:tcBorders>
              <w:top w:val="none" w:color="FFFFFF" w:sz="0"/>
              <w:left w:val="none" w:color="FFFFFF" w:sz="0"/>
              <w:bottom w:val="none" w:color="FFFFFF" w:sz="0"/>
              <w:right w:val="none" w:color="FFFFFF" w:sz="0"/>
            </w:tcBorders>
            <w:shd w:fill="F3F6F7" w:color="auto" w:val="clear"/>
            <w:vAlign w:val="top"/>
          </w:tcPr>
          <w:p>
            <w:pPr>
              <w:pStyle w:val="ListParagraph"/>
              <w:numPr>
                <w:ilvl w:val="0"/>
                <w:numId w:val="1"/>
              </w:numPr>
              <w:spacing w:after="24" w:before="24" w:line="250"/>
            </w:pPr>
            <w:r>
              <w:rPr>
                <w:rFonts w:ascii="Calibri" w:cs="Calibri" w:eastAsia="Calibri" w:hAnsi="Calibri"/>
                <w:b w:val="false"/>
                <w:bCs w:val="false"/>
                <w:i w:val="false"/>
                <w:iCs w:val="false"/>
                <w:color w:val="1A2027"/>
                <w:sz w:val="19"/>
                <w:szCs w:val="19"/>
              </w:rPr>
              <w:t xml:space="preserve">An AI first emergency triage dashboard that orders the queue by predicted ESI (1 to 5), using triage vitals and chief complaint flags, and updates continuously.</w:t>
            </w:r>
          </w:p>
          <w:p>
            <w:pPr>
              <w:pStyle w:val="ListParagraph"/>
              <w:numPr>
                <w:ilvl w:val="0"/>
                <w:numId w:val="1"/>
              </w:numPr>
              <w:spacing w:after="24" w:before="24" w:line="250"/>
            </w:pPr>
            <w:r>
              <w:rPr>
                <w:rFonts w:ascii="Calibri" w:cs="Calibri" w:eastAsia="Calibri" w:hAnsi="Calibri"/>
                <w:b w:val="false"/>
                <w:bCs w:val="false"/>
                <w:i w:val="false"/>
                <w:iCs w:val="false"/>
                <w:color w:val="1A2027"/>
                <w:sz w:val="19"/>
                <w:szCs w:val="19"/>
              </w:rPr>
              <w:t xml:space="preserve">It shows a risk score, an AI confidence level, suggested investigations, and a recommended pathway, with a plain English reason readable in under 60 seconds.</w:t>
            </w:r>
          </w:p>
          <w:p>
            <w:pPr>
              <w:pStyle w:val="ListParagraph"/>
              <w:numPr>
                <w:ilvl w:val="0"/>
                <w:numId w:val="1"/>
              </w:numPr>
              <w:spacing w:after="24" w:before="24" w:line="250"/>
            </w:pPr>
            <w:r>
              <w:rPr>
                <w:rFonts w:ascii="Calibri" w:cs="Calibri" w:eastAsia="Calibri" w:hAnsi="Calibri"/>
                <w:b w:val="false"/>
                <w:bCs w:val="false"/>
                <w:i w:val="false"/>
                <w:iCs w:val="false"/>
                <w:color w:val="1A2027"/>
                <w:sz w:val="19"/>
                <w:szCs w:val="19"/>
              </w:rPr>
              <w:t xml:space="preserve">Around it sit a patient portal, a permission gated clinician network, and an executive administration view, as one connected platform.</w:t>
            </w:r>
          </w:p>
        </w:tc>
      </w:tr>
    </w:tbl>
    <w:p>
      <w:pPr>
        <w:spacing w:after="0" w:before="0"/>
      </w:pPr>
      <w:r>
        <w:rPr>
          <w:sz w:val="6"/>
          <w:szCs w:val="6"/>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CellMar>
          <w:top w:type="dxa" w:w="70"/>
          <w:left w:type="dxa" w:w="150"/>
          <w:bottom w:type="dxa" w:w="70"/>
          <w:right w:type="dxa" w:w="150"/>
        </w:tblCellMar>
      </w:tblPr>
      <w:tblGrid>
        <w:gridCol w:w="14400"/>
      </w:tblGrid>
      <w:tr>
        <w:tc>
          <w:tcPr>
            <w:tcW w:type="dxa" w:w="14400"/>
            <w:tcBorders>
              <w:top w:val="none" w:color="FFFFFF" w:sz="0"/>
              <w:left w:val="none" w:color="FFFFFF" w:sz="0"/>
              <w:bottom w:val="none" w:color="FFFFFF" w:sz="0"/>
              <w:right w:val="none" w:color="FFFFFF" w:sz="0"/>
            </w:tcBorders>
            <w:shd w:fill="111820" w:color="auto" w:val="clear"/>
          </w:tcPr>
          <w:p>
            <w:pPr>
              <w:spacing w:after="40" w:before="40"/>
            </w:pPr>
            <w:r>
              <w:rPr>
                <w:rFonts w:ascii="Calibri" w:cs="Calibri" w:eastAsia="Calibri" w:hAnsi="Calibri"/>
                <w:b/>
                <w:bCs/>
                <w:color w:val="EAF1F4"/>
                <w:sz w:val="20"/>
                <w:szCs w:val="20"/>
              </w:rPr>
              <w:t xml:space="preserve">Problem: the clinical workflow being addressed</w:t>
            </w:r>
          </w:p>
        </w:tc>
      </w:tr>
      <w:tr>
        <w:tc>
          <w:tcPr>
            <w:tcW w:type="dxa" w:w="14400"/>
            <w:tcBorders>
              <w:top w:val="none" w:color="FFFFFF" w:sz="0"/>
              <w:left w:val="none" w:color="FFFFFF" w:sz="0"/>
              <w:bottom w:val="none" w:color="FFFFFF" w:sz="0"/>
              <w:right w:val="none" w:color="FFFFFF" w:sz="0"/>
            </w:tcBorders>
            <w:shd w:fill="F3F6F7" w:color="auto" w:val="clear"/>
          </w:tcPr>
          <w:p>
            <w:pPr>
              <w:pStyle w:val="ListParagraph"/>
              <w:numPr>
                <w:ilvl w:val="0"/>
                <w:numId w:val="1"/>
              </w:numPr>
              <w:spacing w:after="24" w:before="24" w:line="250"/>
            </w:pPr>
            <w:r>
              <w:rPr>
                <w:rFonts w:ascii="Calibri" w:cs="Calibri" w:eastAsia="Calibri" w:hAnsi="Calibri"/>
                <w:b/>
                <w:bCs/>
                <w:i w:val="false"/>
                <w:iCs w:val="false"/>
                <w:color w:val="1A2027"/>
                <w:sz w:val="19"/>
                <w:szCs w:val="19"/>
              </w:rPr>
              <w:t xml:space="preserve">Workflow. </w:t>
            </w:r>
            <w:r>
              <w:rPr>
                <w:rFonts w:ascii="Calibri" w:cs="Calibri" w:eastAsia="Calibri" w:hAnsi="Calibri"/>
                <w:b w:val="false"/>
                <w:bCs w:val="false"/>
                <w:i w:val="false"/>
                <w:iCs w:val="false"/>
                <w:color w:val="1A2027"/>
                <w:sz w:val="19"/>
                <w:szCs w:val="19"/>
              </w:rPr>
              <w:t xml:space="preserve">Door to disposition triage at Mercer General ED. Assessment bays have no terminals, so vitals are recorded on paper and later typed into the record, and the queue is managed by hand under pressure.</w:t>
            </w:r>
          </w:p>
          <w:p>
            <w:pPr>
              <w:pStyle w:val="ListParagraph"/>
              <w:numPr>
                <w:ilvl w:val="0"/>
                <w:numId w:val="1"/>
              </w:numPr>
              <w:spacing w:after="24" w:before="24" w:line="250"/>
            </w:pPr>
            <w:r>
              <w:rPr>
                <w:rFonts w:ascii="Calibri" w:cs="Calibri" w:eastAsia="Calibri" w:hAnsi="Calibri"/>
                <w:b/>
                <w:bCs/>
                <w:i w:val="false"/>
                <w:iCs w:val="false"/>
                <w:color w:val="1A2027"/>
                <w:sz w:val="19"/>
                <w:szCs w:val="19"/>
              </w:rPr>
              <w:t xml:space="preserve">The failures. </w:t>
            </w:r>
            <w:r>
              <w:rPr>
                <w:rFonts w:ascii="Calibri" w:cs="Calibri" w:eastAsia="Calibri" w:hAnsi="Calibri"/>
                <w:b w:val="false"/>
                <w:bCs w:val="false"/>
                <w:i w:val="false"/>
                <w:iCs w:val="false"/>
                <w:color w:val="1A2027"/>
                <w:sz w:val="19"/>
                <w:szCs w:val="19"/>
              </w:rPr>
              <w:t xml:space="preserve">A lag between capture and system visibility, typing errors during surges, acuity scores that vary between nurses, fragile scoring when fields are blank, and no easy way to see who is deteriorating fastest.</w:t>
            </w:r>
          </w:p>
          <w:p>
            <w:pPr>
              <w:pStyle w:val="ListParagraph"/>
              <w:numPr>
                <w:ilvl w:val="0"/>
                <w:numId w:val="1"/>
              </w:numPr>
              <w:spacing w:after="24" w:before="24" w:line="250"/>
            </w:pPr>
            <w:r>
              <w:rPr>
                <w:rFonts w:ascii="Calibri" w:cs="Calibri" w:eastAsia="Calibri" w:hAnsi="Calibri"/>
                <w:b/>
                <w:bCs/>
                <w:i w:val="false"/>
                <w:iCs w:val="false"/>
                <w:color w:val="1A2027"/>
                <w:sz w:val="19"/>
                <w:szCs w:val="19"/>
              </w:rPr>
              <w:t xml:space="preserve">The wider gap. </w:t>
            </w:r>
            <w:r>
              <w:rPr>
                <w:rFonts w:ascii="Calibri" w:cs="Calibri" w:eastAsia="Calibri" w:hAnsi="Calibri"/>
                <w:b w:val="false"/>
                <w:bCs w:val="false"/>
                <w:i w:val="false"/>
                <w:iCs w:val="false"/>
                <w:color w:val="1A2027"/>
                <w:sz w:val="19"/>
                <w:szCs w:val="19"/>
              </w:rPr>
              <w:t xml:space="preserve">Patients have no visibility of their own results, and records from outside clinics still arrive on paper.</w:t>
            </w:r>
          </w:p>
          <w:p>
            <w:pPr>
              <w:pStyle w:val="ListParagraph"/>
              <w:numPr>
                <w:ilvl w:val="0"/>
                <w:numId w:val="1"/>
              </w:numPr>
              <w:spacing w:after="24" w:before="24" w:line="250"/>
            </w:pPr>
            <w:r>
              <w:rPr>
                <w:rFonts w:ascii="Calibri" w:cs="Calibri" w:eastAsia="Calibri" w:hAnsi="Calibri"/>
                <w:b/>
                <w:bCs/>
                <w:i w:val="false"/>
                <w:iCs w:val="false"/>
                <w:color w:val="1A2027"/>
                <w:sz w:val="19"/>
                <w:szCs w:val="19"/>
              </w:rPr>
              <w:t xml:space="preserve">The design question. </w:t>
            </w:r>
            <w:r>
              <w:rPr>
                <w:rFonts w:ascii="Calibri" w:cs="Calibri" w:eastAsia="Calibri" w:hAnsi="Calibri"/>
                <w:b w:val="false"/>
                <w:bCs w:val="false"/>
                <w:i w:val="false"/>
                <w:iCs w:val="false"/>
                <w:color w:val="1A2027"/>
                <w:sz w:val="19"/>
                <w:szCs w:val="19"/>
              </w:rPr>
              <w:t xml:space="preserve">How do we present an AI ordered, continuously updating triage picture that catches deterioration early and suggests next steps, stays explainable and easy to override, and gives patients and affiliated clinicians safe, permissioned access to the same record?</w:t>
            </w:r>
          </w:p>
        </w:tc>
      </w:tr>
    </w:tbl>
    <w:p>
      <w:pPr>
        <w:spacing w:after="0" w:before="0"/>
      </w:pPr>
      <w:r>
        <w:rPr>
          <w:sz w:val="6"/>
          <w:szCs w:val="6"/>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CellMar>
          <w:top w:type="dxa" w:w="70"/>
          <w:left w:type="dxa" w:w="150"/>
          <w:bottom w:type="dxa" w:w="70"/>
          <w:right w:type="dxa" w:w="150"/>
        </w:tblCellMar>
      </w:tblPr>
      <w:tblGrid>
        <w:gridCol w:w="14400"/>
      </w:tblGrid>
      <w:tr>
        <w:tc>
          <w:tcPr>
            <w:tcW w:type="dxa" w:w="14400"/>
            <w:tcBorders>
              <w:top w:val="none" w:color="FFFFFF" w:sz="0"/>
              <w:left w:val="none" w:color="FFFFFF" w:sz="0"/>
              <w:bottom w:val="none" w:color="FFFFFF" w:sz="0"/>
              <w:right w:val="none" w:color="FFFFFF" w:sz="0"/>
            </w:tcBorders>
            <w:shd w:fill="111820" w:color="auto" w:val="clear"/>
          </w:tcPr>
          <w:p>
            <w:pPr>
              <w:spacing w:after="40" w:before="40"/>
            </w:pPr>
            <w:r>
              <w:rPr>
                <w:rFonts w:ascii="Calibri" w:cs="Calibri" w:eastAsia="Calibri" w:hAnsi="Calibri"/>
                <w:b/>
                <w:bCs/>
                <w:color w:val="EAF1F4"/>
                <w:sz w:val="20"/>
                <w:szCs w:val="20"/>
              </w:rPr>
              <w:t xml:space="preserve">Environment: physical and workflow constraints</w:t>
            </w:r>
          </w:p>
        </w:tc>
      </w:tr>
      <w:tr>
        <w:tc>
          <w:tcPr>
            <w:tcW w:type="dxa" w:w="14400"/>
            <w:tcBorders>
              <w:top w:val="none" w:color="FFFFFF" w:sz="0"/>
              <w:left w:val="none" w:color="FFFFFF" w:sz="0"/>
              <w:bottom w:val="none" w:color="FFFFFF" w:sz="0"/>
              <w:right w:val="none" w:color="FFFFFF" w:sz="0"/>
            </w:tcBorders>
            <w:shd w:fill="F3F6F7" w:color="auto" w:val="clear"/>
          </w:tcPr>
          <w:p>
            <w:pPr>
              <w:pStyle w:val="ListParagraph"/>
              <w:numPr>
                <w:ilvl w:val="0"/>
                <w:numId w:val="1"/>
              </w:numPr>
              <w:spacing w:after="24" w:before="24" w:line="250"/>
            </w:pPr>
            <w:r>
              <w:rPr>
                <w:rFonts w:ascii="Calibri" w:cs="Calibri" w:eastAsia="Calibri" w:hAnsi="Calibri"/>
                <w:b/>
                <w:bCs/>
                <w:i w:val="false"/>
                <w:iCs w:val="false"/>
                <w:color w:val="1A2027"/>
                <w:sz w:val="19"/>
                <w:szCs w:val="19"/>
              </w:rPr>
              <w:t xml:space="preserve">Attention is scarce under surge. </w:t>
            </w:r>
            <w:r>
              <w:rPr>
                <w:rFonts w:ascii="Calibri" w:cs="Calibri" w:eastAsia="Calibri" w:hAnsi="Calibri"/>
                <w:b w:val="false"/>
                <w:bCs w:val="false"/>
                <w:i w:val="false"/>
                <w:iCs w:val="false"/>
                <w:color w:val="1A2027"/>
                <w:sz w:val="19"/>
                <w:szCs w:val="19"/>
              </w:rPr>
              <w:t xml:space="preserve">Screen space and clinician attention compete with live patients, so the dashboard must be glanceable and calm rather than noisy.</w:t>
            </w:r>
          </w:p>
          <w:p>
            <w:pPr>
              <w:pStyle w:val="ListParagraph"/>
              <w:numPr>
                <w:ilvl w:val="0"/>
                <w:numId w:val="1"/>
              </w:numPr>
              <w:spacing w:after="24" w:before="24" w:line="250"/>
            </w:pPr>
            <w:r>
              <w:rPr>
                <w:rFonts w:ascii="Calibri" w:cs="Calibri" w:eastAsia="Calibri" w:hAnsi="Calibri"/>
                <w:b/>
                <w:bCs/>
                <w:i w:val="false"/>
                <w:iCs w:val="false"/>
                <w:color w:val="1A2027"/>
                <w:sz w:val="19"/>
                <w:szCs w:val="19"/>
              </w:rPr>
              <w:t xml:space="preserve">No terminals at the bedside. </w:t>
            </w:r>
            <w:r>
              <w:rPr>
                <w:rFonts w:ascii="Calibri" w:cs="Calibri" w:eastAsia="Calibri" w:hAnsi="Calibri"/>
                <w:b w:val="false"/>
                <w:bCs w:val="false"/>
                <w:i w:val="false"/>
                <w:iCs w:val="false"/>
                <w:color w:val="1A2027"/>
                <w:sz w:val="19"/>
                <w:szCs w:val="19"/>
              </w:rPr>
              <w:t xml:space="preserve">Paper first capture is built into the ward. The main interaction happens at a shared workstation and on tablets.</w:t>
            </w:r>
          </w:p>
          <w:p>
            <w:pPr>
              <w:pStyle w:val="ListParagraph"/>
              <w:numPr>
                <w:ilvl w:val="0"/>
                <w:numId w:val="1"/>
              </w:numPr>
              <w:spacing w:after="24" w:before="24" w:line="250"/>
            </w:pPr>
            <w:r>
              <w:rPr>
                <w:rFonts w:ascii="Calibri" w:cs="Calibri" w:eastAsia="Calibri" w:hAnsi="Calibri"/>
                <w:b/>
                <w:bCs/>
                <w:i w:val="false"/>
                <w:iCs w:val="false"/>
                <w:color w:val="1A2027"/>
                <w:sz w:val="19"/>
                <w:szCs w:val="19"/>
              </w:rPr>
              <w:t xml:space="preserve">Power and network can drop. </w:t>
            </w:r>
            <w:r>
              <w:rPr>
                <w:rFonts w:ascii="Calibri" w:cs="Calibri" w:eastAsia="Calibri" w:hAnsi="Calibri"/>
                <w:b w:val="false"/>
                <w:bCs w:val="false"/>
                <w:i w:val="false"/>
                <w:iCs w:val="false"/>
                <w:color w:val="1A2027"/>
                <w:sz w:val="19"/>
                <w:szCs w:val="19"/>
              </w:rPr>
              <w:t xml:space="preserve">The interface must run cached offline and sync later, and cannot depend on a live cloud call at the moment a flag is needed.</w:t>
            </w:r>
          </w:p>
          <w:p>
            <w:pPr>
              <w:pStyle w:val="ListParagraph"/>
              <w:numPr>
                <w:ilvl w:val="0"/>
                <w:numId w:val="1"/>
              </w:numPr>
              <w:spacing w:after="24" w:before="24" w:line="250"/>
            </w:pPr>
            <w:r>
              <w:rPr>
                <w:rFonts w:ascii="Calibri" w:cs="Calibri" w:eastAsia="Calibri" w:hAnsi="Calibri"/>
                <w:b/>
                <w:bCs/>
                <w:i w:val="false"/>
                <w:iCs w:val="false"/>
                <w:color w:val="1A2027"/>
                <w:sz w:val="19"/>
                <w:szCs w:val="19"/>
              </w:rPr>
              <w:t xml:space="preserve">It must sit on top of what exists. </w:t>
            </w:r>
            <w:r>
              <w:rPr>
                <w:rFonts w:ascii="Calibri" w:cs="Calibri" w:eastAsia="Calibri" w:hAnsi="Calibri"/>
                <w:b w:val="false"/>
                <w:bCs w:val="false"/>
                <w:i w:val="false"/>
                <w:iCs w:val="false"/>
                <w:color w:val="1A2027"/>
                <w:sz w:val="19"/>
                <w:szCs w:val="19"/>
              </w:rPr>
              <w:t xml:space="preserve">An older record with limited connection points means the platform integrates through a custom bridge rather than replacing systems wholesale.</w:t>
            </w:r>
          </w:p>
          <w:p>
            <w:pPr>
              <w:pStyle w:val="ListParagraph"/>
              <w:numPr>
                <w:ilvl w:val="0"/>
                <w:numId w:val="1"/>
              </w:numPr>
              <w:spacing w:after="24" w:before="24" w:line="250"/>
            </w:pPr>
            <w:r>
              <w:rPr>
                <w:rFonts w:ascii="Calibri" w:cs="Calibri" w:eastAsia="Calibri" w:hAnsi="Calibri"/>
                <w:b/>
                <w:bCs/>
                <w:i w:val="false"/>
                <w:iCs w:val="false"/>
                <w:color w:val="1A2027"/>
                <w:sz w:val="19"/>
                <w:szCs w:val="19"/>
              </w:rPr>
              <w:t xml:space="preserve">Mobile and access constraints. </w:t>
            </w:r>
            <w:r>
              <w:rPr>
                <w:rFonts w:ascii="Calibri" w:cs="Calibri" w:eastAsia="Calibri" w:hAnsi="Calibri"/>
                <w:b w:val="false"/>
                <w:bCs w:val="false"/>
                <w:i w:val="false"/>
                <w:iCs w:val="false"/>
                <w:color w:val="1A2027"/>
                <w:sz w:val="19"/>
                <w:szCs w:val="19"/>
              </w:rPr>
              <w:t xml:space="preserve">The patient app must work on varied devices and bandwidth, and sharing across clinics needs real security and permission infrastructure.</w:t>
            </w:r>
          </w:p>
        </w:tc>
      </w:tr>
    </w:tbl>
    <w:p>
      <w:pPr>
        <w:spacing w:after="0" w:before="0"/>
      </w:pPr>
      <w:r>
        <w:rPr>
          <w:sz w:val="6"/>
          <w:szCs w:val="6"/>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CellMar>
          <w:top w:type="dxa" w:w="70"/>
          <w:left w:type="dxa" w:w="150"/>
          <w:bottom w:type="dxa" w:w="70"/>
          <w:right w:type="dxa" w:w="150"/>
        </w:tblCellMar>
      </w:tblPr>
      <w:tblGrid>
        <w:gridCol w:w="14400"/>
      </w:tblGrid>
      <w:tr>
        <w:tc>
          <w:tcPr>
            <w:tcW w:type="dxa" w:w="14400"/>
            <w:tcBorders>
              <w:top w:val="none" w:color="FFFFFF" w:sz="0"/>
              <w:left w:val="none" w:color="FFFFFF" w:sz="0"/>
              <w:bottom w:val="none" w:color="FFFFFF" w:sz="0"/>
              <w:right w:val="none" w:color="FFFFFF" w:sz="0"/>
            </w:tcBorders>
            <w:shd w:fill="111820" w:color="auto" w:val="clear"/>
          </w:tcPr>
          <w:p>
            <w:pPr>
              <w:spacing w:after="40" w:before="40"/>
            </w:pPr>
            <w:r>
              <w:rPr>
                <w:rFonts w:ascii="Calibri" w:cs="Calibri" w:eastAsia="Calibri" w:hAnsi="Calibri"/>
                <w:b/>
                <w:bCs/>
                <w:color w:val="EAF1F4"/>
                <w:sz w:val="20"/>
                <w:szCs w:val="20"/>
              </w:rPr>
              <w:t xml:space="preserve">Ethics: domain specific concerns</w:t>
            </w:r>
          </w:p>
        </w:tc>
      </w:tr>
      <w:tr>
        <w:tc>
          <w:tcPr>
            <w:tcW w:type="dxa" w:w="14400"/>
            <w:tcBorders>
              <w:top w:val="none" w:color="FFFFFF" w:sz="0"/>
              <w:left w:val="none" w:color="FFFFFF" w:sz="0"/>
              <w:bottom w:val="none" w:color="FFFFFF" w:sz="0"/>
              <w:right w:val="none" w:color="FFFFFF" w:sz="0"/>
            </w:tcBorders>
            <w:shd w:fill="F3F6F7" w:color="auto" w:val="clear"/>
          </w:tcPr>
          <w:p>
            <w:pPr>
              <w:pStyle w:val="ListParagraph"/>
              <w:numPr>
                <w:ilvl w:val="0"/>
                <w:numId w:val="1"/>
              </w:numPr>
              <w:spacing w:after="24" w:before="24" w:line="250"/>
            </w:pPr>
            <w:r>
              <w:rPr>
                <w:rFonts w:ascii="Calibri" w:cs="Calibri" w:eastAsia="Calibri" w:hAnsi="Calibri"/>
                <w:b/>
                <w:bCs/>
                <w:i w:val="false"/>
                <w:iCs w:val="false"/>
                <w:color w:val="1A2027"/>
                <w:sz w:val="19"/>
                <w:szCs w:val="19"/>
              </w:rPr>
              <w:t xml:space="preserve">Automation bias (top risk). </w:t>
            </w:r>
            <w:r>
              <w:rPr>
                <w:rFonts w:ascii="Calibri" w:cs="Calibri" w:eastAsia="Calibri" w:hAnsi="Calibri"/>
                <w:b w:val="false"/>
                <w:bCs w:val="false"/>
                <w:i w:val="false"/>
                <w:iCs w:val="false"/>
                <w:color w:val="1A2027"/>
                <w:sz w:val="19"/>
                <w:szCs w:val="19"/>
              </w:rPr>
              <w:t xml:space="preserve">A persuasive dashboard that orders the queue and suggests pathways tempts a tired clinician to defer to it. The Friction Protocol has the nurse enter their own score first, and the AI stays a recommendation that never routes or orders on its own.</w:t>
            </w:r>
          </w:p>
          <w:p>
            <w:pPr>
              <w:pStyle w:val="ListParagraph"/>
              <w:numPr>
                <w:ilvl w:val="0"/>
                <w:numId w:val="1"/>
              </w:numPr>
              <w:spacing w:after="24" w:before="24" w:line="250"/>
            </w:pPr>
            <w:r>
              <w:rPr>
                <w:rFonts w:ascii="Calibri" w:cs="Calibri" w:eastAsia="Calibri" w:hAnsi="Calibri"/>
                <w:b/>
                <w:bCs/>
                <w:i w:val="false"/>
                <w:iCs w:val="false"/>
                <w:color w:val="1A2027"/>
                <w:sz w:val="19"/>
                <w:szCs w:val="19"/>
              </w:rPr>
              <w:t xml:space="preserve">Explainability. </w:t>
            </w:r>
            <w:r>
              <w:rPr>
                <w:rFonts w:ascii="Calibri" w:cs="Calibri" w:eastAsia="Calibri" w:hAnsi="Calibri"/>
                <w:b w:val="false"/>
                <w:bCs w:val="false"/>
                <w:i w:val="false"/>
                <w:iCs w:val="false"/>
                <w:color w:val="1A2027"/>
                <w:sz w:val="19"/>
                <w:szCs w:val="19"/>
              </w:rPr>
              <w:t xml:space="preserve">Every flag shows its top drivers in plain English and an AI confidence level, readable in under 60 seconds, so a clinician can justify it.</w:t>
            </w:r>
          </w:p>
          <w:p>
            <w:pPr>
              <w:pStyle w:val="ListParagraph"/>
              <w:numPr>
                <w:ilvl w:val="0"/>
                <w:numId w:val="1"/>
              </w:numPr>
              <w:spacing w:after="24" w:before="24" w:line="250"/>
            </w:pPr>
            <w:r>
              <w:rPr>
                <w:rFonts w:ascii="Calibri" w:cs="Calibri" w:eastAsia="Calibri" w:hAnsi="Calibri"/>
                <w:b/>
                <w:bCs/>
                <w:i w:val="false"/>
                <w:iCs w:val="false"/>
                <w:color w:val="1A2027"/>
                <w:sz w:val="19"/>
                <w:szCs w:val="19"/>
              </w:rPr>
              <w:t xml:space="preserve">Alert fatigue and urgency inflation. </w:t>
            </w:r>
            <w:r>
              <w:rPr>
                <w:rFonts w:ascii="Calibri" w:cs="Calibri" w:eastAsia="Calibri" w:hAnsi="Calibri"/>
                <w:b w:val="false"/>
                <w:bCs w:val="false"/>
                <w:i w:val="false"/>
                <w:iCs w:val="false"/>
                <w:color w:val="1A2027"/>
                <w:sz w:val="19"/>
                <w:szCs w:val="19"/>
              </w:rPr>
              <w:t xml:space="preserve">Priority is calibrated and kept quiet for low acuity, with hard alerts reserved for genuine emergencies. Target dismiss rate of 10 percent or less on high acuity alerts.</w:t>
            </w:r>
          </w:p>
          <w:p>
            <w:pPr>
              <w:pStyle w:val="ListParagraph"/>
              <w:numPr>
                <w:ilvl w:val="0"/>
                <w:numId w:val="1"/>
              </w:numPr>
              <w:spacing w:after="24" w:before="24" w:line="250"/>
            </w:pPr>
            <w:r>
              <w:rPr>
                <w:rFonts w:ascii="Calibri" w:cs="Calibri" w:eastAsia="Calibri" w:hAnsi="Calibri"/>
                <w:b/>
                <w:bCs/>
                <w:i w:val="false"/>
                <w:iCs w:val="false"/>
                <w:color w:val="1A2027"/>
                <w:sz w:val="19"/>
                <w:szCs w:val="19"/>
              </w:rPr>
              <w:t xml:space="preserve">Safety on missing data. </w:t>
            </w:r>
            <w:r>
              <w:rPr>
                <w:rFonts w:ascii="Calibri" w:cs="Calibri" w:eastAsia="Calibri" w:hAnsi="Calibri"/>
                <w:b w:val="false"/>
                <w:bCs w:val="false"/>
                <w:i w:val="false"/>
                <w:iCs w:val="false"/>
                <w:color w:val="1A2027"/>
                <w:sz w:val="19"/>
                <w:szCs w:val="19"/>
              </w:rPr>
              <w:t xml:space="preserve">When critical fields are missing, the system pauses the prediction and asks for manual review rather than guessing a score.</w:t>
            </w:r>
          </w:p>
          <w:p>
            <w:pPr>
              <w:pStyle w:val="ListParagraph"/>
              <w:numPr>
                <w:ilvl w:val="0"/>
                <w:numId w:val="1"/>
              </w:numPr>
              <w:spacing w:after="24" w:before="24" w:line="250"/>
            </w:pPr>
            <w:r>
              <w:rPr>
                <w:rFonts w:ascii="Calibri" w:cs="Calibri" w:eastAsia="Calibri" w:hAnsi="Calibri"/>
                <w:b/>
                <w:bCs/>
                <w:i w:val="false"/>
                <w:iCs w:val="false"/>
                <w:color w:val="1A2027"/>
                <w:sz w:val="19"/>
                <w:szCs w:val="19"/>
              </w:rPr>
              <w:t xml:space="preserve">Patient data access and consent. </w:t>
            </w:r>
            <w:r>
              <w:rPr>
                <w:rFonts w:ascii="Calibri" w:cs="Calibri" w:eastAsia="Calibri" w:hAnsi="Calibri"/>
                <w:b w:val="false"/>
                <w:bCs w:val="false"/>
                <w:i w:val="false"/>
                <w:iCs w:val="false"/>
                <w:color w:val="1A2027"/>
                <w:sz w:val="19"/>
                <w:szCs w:val="19"/>
              </w:rPr>
              <w:t xml:space="preserve">The portal gives patients their own results and uploads, and the clinician network unlocks records only after the patient authorises access.</w:t>
            </w:r>
          </w:p>
          <w:p>
            <w:pPr>
              <w:pStyle w:val="ListParagraph"/>
              <w:numPr>
                <w:ilvl w:val="0"/>
                <w:numId w:val="1"/>
              </w:numPr>
              <w:spacing w:after="24" w:before="24" w:line="250"/>
            </w:pPr>
            <w:r>
              <w:rPr>
                <w:rFonts w:ascii="Calibri" w:cs="Calibri" w:eastAsia="Calibri" w:hAnsi="Calibri"/>
                <w:b/>
                <w:bCs/>
                <w:i w:val="false"/>
                <w:iCs w:val="false"/>
                <w:color w:val="1A2027"/>
                <w:sz w:val="19"/>
                <w:szCs w:val="19"/>
              </w:rPr>
              <w:t xml:space="preserve">Equity and fairness by design. </w:t>
            </w:r>
            <w:r>
              <w:rPr>
                <w:rFonts w:ascii="Calibri" w:cs="Calibri" w:eastAsia="Calibri" w:hAnsi="Calibri"/>
                <w:b w:val="false"/>
                <w:bCs w:val="false"/>
                <w:i w:val="false"/>
                <w:iCs w:val="false"/>
                <w:color w:val="1A2027"/>
                <w:sz w:val="19"/>
                <w:szCs w:val="19"/>
              </w:rPr>
              <w:t xml:space="preserve">Demographics such as age, gender, ethnicity, race and insurance are held out of the model so it cannot encode unfair bias, and ordering is audited across patient groups.</w:t>
            </w:r>
          </w:p>
          <w:p>
            <w:pPr>
              <w:pStyle w:val="ListParagraph"/>
              <w:numPr>
                <w:ilvl w:val="0"/>
                <w:numId w:val="1"/>
              </w:numPr>
              <w:spacing w:after="24" w:before="24" w:line="250"/>
            </w:pPr>
            <w:r>
              <w:rPr>
                <w:rFonts w:ascii="Calibri" w:cs="Calibri" w:eastAsia="Calibri" w:hAnsi="Calibri"/>
                <w:b/>
                <w:bCs/>
                <w:i w:val="false"/>
                <w:iCs w:val="false"/>
                <w:color w:val="1A2027"/>
                <w:sz w:val="19"/>
                <w:szCs w:val="19"/>
              </w:rPr>
              <w:t xml:space="preserve">No peeking at outcomes. </w:t>
            </w:r>
            <w:r>
              <w:rPr>
                <w:rFonts w:ascii="Calibri" w:cs="Calibri" w:eastAsia="Calibri" w:hAnsi="Calibri"/>
                <w:b w:val="false"/>
                <w:bCs w:val="false"/>
                <w:i w:val="false"/>
                <w:iCs w:val="false"/>
                <w:color w:val="1A2027"/>
                <w:sz w:val="19"/>
                <w:szCs w:val="19"/>
              </w:rPr>
              <w:t xml:space="preserve">Columns known only after triage, such as disposition, are removed as data leakage so the model cannot cheat and stays honest in real use.</w:t>
            </w:r>
          </w:p>
          <w:p>
            <w:pPr>
              <w:pStyle w:val="ListParagraph"/>
              <w:numPr>
                <w:ilvl w:val="0"/>
                <w:numId w:val="1"/>
              </w:numPr>
              <w:spacing w:after="24" w:before="24" w:line="250"/>
            </w:pPr>
            <w:r>
              <w:rPr>
                <w:rFonts w:ascii="Calibri" w:cs="Calibri" w:eastAsia="Calibri" w:hAnsi="Calibri"/>
                <w:b/>
                <w:bCs/>
                <w:i w:val="false"/>
                <w:iCs w:val="false"/>
                <w:color w:val="1A2027"/>
                <w:sz w:val="19"/>
                <w:szCs w:val="19"/>
              </w:rPr>
              <w:t xml:space="preserve">Catching the sickest is the priority. </w:t>
            </w:r>
            <w:r>
              <w:rPr>
                <w:rFonts w:ascii="Calibri" w:cs="Calibri" w:eastAsia="Calibri" w:hAnsi="Calibri"/>
                <w:b w:val="false"/>
                <w:bCs w:val="false"/>
                <w:i w:val="false"/>
                <w:iCs w:val="false"/>
                <w:color w:val="1A2027"/>
                <w:sz w:val="19"/>
                <w:szCs w:val="19"/>
              </w:rPr>
              <w:t xml:space="preserve">The headline metric is recall for ESI 1, the fraction of critical patients the model catches, valued above raw accuracy.</w:t>
            </w:r>
          </w:p>
          <w:p>
            <w:pPr>
              <w:pStyle w:val="ListParagraph"/>
              <w:numPr>
                <w:ilvl w:val="0"/>
                <w:numId w:val="1"/>
              </w:numPr>
              <w:spacing w:after="24" w:before="24" w:line="250"/>
            </w:pPr>
            <w:r>
              <w:rPr>
                <w:rFonts w:ascii="Calibri" w:cs="Calibri" w:eastAsia="Calibri" w:hAnsi="Calibri"/>
                <w:b/>
                <w:bCs/>
                <w:i w:val="false"/>
                <w:iCs w:val="false"/>
                <w:color w:val="1A2027"/>
                <w:sz w:val="19"/>
                <w:szCs w:val="19"/>
              </w:rPr>
              <w:t xml:space="preserve">Accountability and governance. </w:t>
            </w:r>
            <w:r>
              <w:rPr>
                <w:rFonts w:ascii="Calibri" w:cs="Calibri" w:eastAsia="Calibri" w:hAnsi="Calibri"/>
                <w:b w:val="false"/>
                <w:bCs w:val="false"/>
                <w:i w:val="false"/>
                <w:iCs w:val="false"/>
                <w:color w:val="1A2027"/>
                <w:sz w:val="19"/>
                <w:szCs w:val="19"/>
              </w:rPr>
              <w:t xml:space="preserve">Clinicians keep final authority and every action is logged. Work follows the applicable Data Protection Act (2023) and the WHO guidance on the ethics and governance of AI for health (2021). Liability for software as a medical device is still developing and is flagged as unresolved.</w:t>
            </w:r>
          </w:p>
          <w:p>
            <w:pPr>
              <w:pStyle w:val="ListParagraph"/>
              <w:numPr>
                <w:ilvl w:val="0"/>
                <w:numId w:val="1"/>
              </w:numPr>
              <w:spacing w:after="24" w:before="24" w:line="250"/>
            </w:pPr>
            <w:r>
              <w:rPr>
                <w:rFonts w:ascii="Calibri" w:cs="Calibri" w:eastAsia="Calibri" w:hAnsi="Calibri"/>
                <w:b/>
                <w:bCs/>
                <w:i w:val="false"/>
                <w:iCs w:val="false"/>
                <w:color w:val="1A2027"/>
                <w:sz w:val="19"/>
                <w:szCs w:val="19"/>
              </w:rPr>
              <w:t xml:space="preserve">Model monitoring. </w:t>
            </w:r>
            <w:r>
              <w:rPr>
                <w:rFonts w:ascii="Calibri" w:cs="Calibri" w:eastAsia="Calibri" w:hAnsi="Calibri"/>
                <w:b w:val="false"/>
                <w:bCs w:val="false"/>
                <w:i w:val="false"/>
                <w:iCs w:val="false"/>
                <w:color w:val="1A2027"/>
                <w:sz w:val="19"/>
                <w:szCs w:val="19"/>
              </w:rPr>
              <w:t xml:space="preserve">Accuracy, calibration, and drift are watched continuously, and the pilot uses synthetic data only, since even anonymised data stays governed.</w:t>
            </w:r>
          </w:p>
        </w:tc>
      </w:tr>
    </w:tbl>
    <w:p>
      <w:pPr>
        <w:spacing w:after="0" w:before="0"/>
      </w:pPr>
      <w:r>
        <w:rPr>
          <w:sz w:val="6"/>
          <w:szCs w:val="6"/>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CellMar>
          <w:top w:type="dxa" w:w="70"/>
          <w:left w:type="dxa" w:w="150"/>
          <w:bottom w:type="dxa" w:w="70"/>
          <w:right w:type="dxa" w:w="150"/>
        </w:tblCellMar>
      </w:tblPr>
      <w:tblGrid>
        <w:gridCol w:w="14400"/>
      </w:tblGrid>
      <w:tr>
        <w:tc>
          <w:tcPr>
            <w:tcW w:type="dxa" w:w="14400"/>
            <w:tcBorders>
              <w:top w:val="none" w:color="FFFFFF" w:sz="0"/>
              <w:left w:val="none" w:color="FFFFFF" w:sz="0"/>
              <w:bottom w:val="none" w:color="FFFFFF" w:sz="0"/>
              <w:right w:val="none" w:color="FFFFFF" w:sz="0"/>
            </w:tcBorders>
            <w:shd w:fill="111820" w:color="auto" w:val="clear"/>
          </w:tcPr>
          <w:p>
            <w:pPr>
              <w:spacing w:after="40" w:before="40"/>
            </w:pPr>
            <w:r>
              <w:rPr>
                <w:rFonts w:ascii="Calibri" w:cs="Calibri" w:eastAsia="Calibri" w:hAnsi="Calibri"/>
                <w:b/>
                <w:bCs/>
                <w:color w:val="EAF1F4"/>
                <w:sz w:val="20"/>
                <w:szCs w:val="20"/>
              </w:rPr>
              <w:t xml:space="preserve">Success signals for the design</w:t>
            </w:r>
          </w:p>
        </w:tc>
      </w:tr>
      <w:tr>
        <w:tc>
          <w:tcPr>
            <w:tcW w:type="dxa" w:w="14400"/>
            <w:tcBorders>
              <w:top w:val="none" w:color="FFFFFF" w:sz="0"/>
              <w:left w:val="none" w:color="FFFFFF" w:sz="0"/>
              <w:bottom w:val="none" w:color="FFFFFF" w:sz="0"/>
              <w:right w:val="none" w:color="FFFFFF" w:sz="0"/>
            </w:tcBorders>
            <w:shd w:fill="F3F6F7" w:color="auto" w:val="clear"/>
          </w:tcPr>
          <w:p>
            <w:pPr>
              <w:pStyle w:val="ListParagraph"/>
              <w:numPr>
                <w:ilvl w:val="0"/>
                <w:numId w:val="1"/>
              </w:numPr>
              <w:spacing w:after="24" w:before="24" w:line="250"/>
            </w:pPr>
            <w:r>
              <w:rPr>
                <w:rFonts w:ascii="Calibri" w:cs="Calibri" w:eastAsia="Calibri" w:hAnsi="Calibri"/>
                <w:b w:val="false"/>
                <w:bCs w:val="false"/>
                <w:i w:val="false"/>
                <w:iCs w:val="false"/>
                <w:color w:val="1A2027"/>
                <w:sz w:val="19"/>
                <w:szCs w:val="19"/>
              </w:rPr>
              <w:t xml:space="preserve">A clinician can understand a high risk flag and its drivers within 60 seconds.</w:t>
            </w:r>
          </w:p>
          <w:p>
            <w:pPr>
              <w:pStyle w:val="ListParagraph"/>
              <w:numPr>
                <w:ilvl w:val="0"/>
                <w:numId w:val="1"/>
              </w:numPr>
              <w:spacing w:after="24" w:before="24" w:line="250"/>
            </w:pPr>
            <w:r>
              <w:rPr>
                <w:rFonts w:ascii="Calibri" w:cs="Calibri" w:eastAsia="Calibri" w:hAnsi="Calibri"/>
                <w:b w:val="false"/>
                <w:bCs w:val="false"/>
                <w:i w:val="false"/>
                <w:iCs w:val="false"/>
                <w:color w:val="1A2027"/>
                <w:sz w:val="19"/>
                <w:szCs w:val="19"/>
              </w:rPr>
              <w:t xml:space="preserve">A dismiss rate of 10 percent or less on high acuity alerts.</w:t>
            </w:r>
          </w:p>
          <w:p>
            <w:pPr>
              <w:pStyle w:val="ListParagraph"/>
              <w:numPr>
                <w:ilvl w:val="0"/>
                <w:numId w:val="1"/>
              </w:numPr>
              <w:spacing w:after="24" w:before="24" w:line="250"/>
            </w:pPr>
            <w:r>
              <w:rPr>
                <w:rFonts w:ascii="Calibri" w:cs="Calibri" w:eastAsia="Calibri" w:hAnsi="Calibri"/>
                <w:b w:val="false"/>
                <w:bCs w:val="false"/>
                <w:i w:val="false"/>
                <w:iCs w:val="false"/>
                <w:color w:val="1A2027"/>
                <w:sz w:val="19"/>
                <w:szCs w:val="19"/>
              </w:rPr>
              <w:t xml:space="preserve">A small gap between the AI order and the clinician's own judgement.</w:t>
            </w:r>
          </w:p>
          <w:p>
            <w:pPr>
              <w:pStyle w:val="ListParagraph"/>
              <w:numPr>
                <w:ilvl w:val="0"/>
                <w:numId w:val="1"/>
              </w:numPr>
              <w:spacing w:after="24" w:before="24" w:line="250"/>
            </w:pPr>
            <w:r>
              <w:rPr>
                <w:rFonts w:ascii="Calibri" w:cs="Calibri" w:eastAsia="Calibri" w:hAnsi="Calibri"/>
                <w:b w:val="false"/>
                <w:bCs w:val="false"/>
                <w:i w:val="false"/>
                <w:iCs w:val="false"/>
                <w:color w:val="1A2027"/>
                <w:sz w:val="19"/>
                <w:szCs w:val="19"/>
              </w:rPr>
              <w:t xml:space="preserve">No autonomous ordering or routing, and no acuity produced on incomplete data.</w:t>
            </w:r>
          </w:p>
          <w:p>
            <w:pPr>
              <w:pStyle w:val="ListParagraph"/>
              <w:numPr>
                <w:ilvl w:val="0"/>
                <w:numId w:val="1"/>
              </w:numPr>
              <w:spacing w:after="24" w:before="24" w:line="250"/>
            </w:pPr>
            <w:r>
              <w:rPr>
                <w:rFonts w:ascii="Calibri" w:cs="Calibri" w:eastAsia="Calibri" w:hAnsi="Calibri"/>
                <w:b w:val="false"/>
                <w:bCs w:val="false"/>
                <w:i w:val="false"/>
                <w:iCs w:val="false"/>
                <w:color w:val="1A2027"/>
                <w:sz w:val="19"/>
                <w:szCs w:val="19"/>
              </w:rPr>
              <w:t xml:space="preserve">No record is opened across the network without the patient's authorisation.</w:t>
            </w:r>
          </w:p>
        </w:tc>
      </w:tr>
    </w:tbl>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2026-07-31T14:20:35.908Z</dcterms:created>
  <dcterms:modified xsi:type="dcterms:W3CDTF">2026-07-31T14:20:35.908Z</dcterms:modified>
</cp:coreProperties>
</file>

<file path=docProps/custom.xml><?xml version="1.0" encoding="utf-8"?>
<Properties xmlns="http://schemas.openxmlformats.org/officeDocument/2006/custom-properties" xmlns:vt="http://schemas.openxmlformats.org/officeDocument/2006/docPropsVTypes"/>
</file>