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11820" w:color="auto" w:val="clear"/>
        <w:spacing w:after="0" w:line="340"/>
      </w:pPr>
      <w:r>
        <w:rPr>
          <w:rFonts w:ascii="Calibri" w:cs="Calibri" w:eastAsia="Calibri" w:hAnsi="Calibri"/>
          <w:b/>
          <w:bCs/>
          <w:color w:val="EAF1F4"/>
          <w:sz w:val="30"/>
          <w:szCs w:val="30"/>
        </w:rPr>
        <w:t xml:space="preserve">Inputs and Outputs Integration Notes</w:t>
      </w:r>
    </w:p>
    <w:p>
      <w:pPr>
        <w:shd w:fill="111820" w:color="auto" w:val="clear"/>
        <w:spacing w:after="0" w:line="260"/>
      </w:pPr>
      <w:r>
        <w:rPr>
          <w:rFonts w:ascii="Calibri" w:cs="Calibri" w:eastAsia="Calibri" w:hAnsi="Calibri"/>
          <w:color w:val="AEC2C9"/>
          <w:sz w:val="18"/>
          <w:szCs w:val="18"/>
        </w:rPr>
        <w:t xml:space="preserve">CariSurg AI Emergency Care Platform. AI Emergency Triage, Mercer General ED. Shakada Blake, Week 9 draft.</w:t>
      </w:r>
    </w:p>
    <w:p>
      <w:pPr>
        <w:shd w:fill="22D3EE" w:color="auto" w:val="clear"/>
        <w:spacing w:after="0" w:line="40"/>
      </w:pPr>
      <w:r>
        <w:rPr>
          <w:sz w:val="2"/>
          <w:szCs w:val="2"/>
        </w:rPr>
        <w:t xml:space="preserve"/>
      </w:r>
    </w:p>
    <w:p>
      <w:pPr>
        <w:spacing w:after="40" w:before="180" w:line="264"/>
      </w:pPr>
      <w:r>
        <w:rPr>
          <w:rFonts w:ascii="Calibri" w:cs="Calibri" w:eastAsia="Calibri" w:hAnsi="Calibri"/>
          <w:b/>
          <w:bCs/>
          <w:i w:val="false"/>
          <w:iCs w:val="false"/>
          <w:color w:val="1A2027"/>
          <w:sz w:val="21"/>
          <w:szCs w:val="21"/>
        </w:rPr>
        <w:t xml:space="preserve">Flow at a glance:  </w:t>
      </w:r>
      <w:r>
        <w:rPr>
          <w:rFonts w:ascii="Calibri" w:cs="Calibri" w:eastAsia="Calibri" w:hAnsi="Calibri"/>
          <w:b w:val="false"/>
          <w:bCs w:val="false"/>
          <w:i w:val="false"/>
          <w:iCs w:val="false"/>
          <w:color w:val="1A2027"/>
          <w:sz w:val="21"/>
          <w:szCs w:val="21"/>
        </w:rPr>
        <w:t xml:space="preserve">Inputs  →  the triage model runs on each patient  →  the dashboard orders the queue and suggests next steps  →  the nurse scores first, then confirms or overrides  →  final routing, with patients and partners on the same record.</w:t>
      </w:r>
    </w:p>
    <w:p>
      <w:pPr>
        <w:shd w:fill="111820" w:color="auto" w:val="clear"/>
        <w:spacing w:after="60" w:before="220" w:line="300"/>
      </w:pPr>
      <w:r>
        <w:rPr>
          <w:rFonts w:ascii="Calibri" w:cs="Calibri" w:eastAsia="Calibri" w:hAnsi="Calibri"/>
          <w:b/>
          <w:bCs/>
          <w:color w:val="EAF1F4"/>
          <w:sz w:val="23"/>
          <w:szCs w:val="23"/>
        </w:rPr>
        <w:t xml:space="preserve">A. What the platform receives (inputs)</w:t>
      </w:r>
    </w:p>
    <w:p>
      <w:pPr>
        <w:pStyle w:val="ListParagraph"/>
        <w:numPr>
          <w:ilvl w:val="0"/>
          <w:numId w:val="1"/>
        </w:numPr>
        <w:spacing w:after="30" w:before="30" w:line="264"/>
      </w:pPr>
      <w:r>
        <w:rPr>
          <w:rFonts w:ascii="Calibri" w:cs="Calibri" w:eastAsia="Calibri" w:hAnsi="Calibri"/>
          <w:b/>
          <w:bCs/>
          <w:i w:val="false"/>
          <w:iCs w:val="false"/>
          <w:color w:val="1A2027"/>
          <w:sz w:val="21"/>
          <w:szCs w:val="21"/>
        </w:rPr>
        <w:t xml:space="preserve">Manual entry (the main path). </w:t>
      </w:r>
      <w:r>
        <w:rPr>
          <w:rFonts w:ascii="Calibri" w:cs="Calibri" w:eastAsia="Calibri" w:hAnsi="Calibri"/>
          <w:b w:val="false"/>
          <w:bCs w:val="false"/>
          <w:i w:val="false"/>
          <w:iCs w:val="false"/>
          <w:color w:val="1A2027"/>
          <w:sz w:val="21"/>
          <w:szCs w:val="21"/>
        </w:rPr>
        <w:t xml:space="preserve">Vitals captured at the front door: heart rate, systolic and diastolic blood pressure, respiratory rate, oxygen saturation, temperature and glucose, with the chief complaint flags. These are the features the model actually reads.</w:t>
      </w:r>
    </w:p>
    <w:p>
      <w:pPr>
        <w:pStyle w:val="ListParagraph"/>
        <w:numPr>
          <w:ilvl w:val="0"/>
          <w:numId w:val="1"/>
        </w:numPr>
        <w:spacing w:after="30" w:before="30" w:line="264"/>
      </w:pPr>
      <w:r>
        <w:rPr>
          <w:rFonts w:ascii="Calibri" w:cs="Calibri" w:eastAsia="Calibri" w:hAnsi="Calibri"/>
          <w:b/>
          <w:bCs/>
          <w:i w:val="false"/>
          <w:iCs w:val="false"/>
          <w:color w:val="1A2027"/>
          <w:sz w:val="21"/>
          <w:szCs w:val="21"/>
        </w:rPr>
        <w:t xml:space="preserve">Record pull. </w:t>
      </w:r>
      <w:r>
        <w:rPr>
          <w:rFonts w:ascii="Calibri" w:cs="Calibri" w:eastAsia="Calibri" w:hAnsi="Calibri"/>
          <w:b w:val="false"/>
          <w:bCs w:val="false"/>
          <w:i w:val="false"/>
          <w:iCs w:val="false"/>
          <w:color w:val="1A2027"/>
          <w:sz w:val="21"/>
          <w:szCs w:val="21"/>
        </w:rPr>
        <w:t xml:space="preserve">The model reads the patient’s existing chart, prior visits and baselines, and cross references the new vitals against them.</w:t>
      </w:r>
    </w:p>
    <w:p>
      <w:pPr>
        <w:pStyle w:val="ListParagraph"/>
        <w:numPr>
          <w:ilvl w:val="0"/>
          <w:numId w:val="1"/>
        </w:numPr>
        <w:spacing w:after="30" w:before="30" w:line="264"/>
      </w:pPr>
      <w:r>
        <w:rPr>
          <w:rFonts w:ascii="Calibri" w:cs="Calibri" w:eastAsia="Calibri" w:hAnsi="Calibri"/>
          <w:b/>
          <w:bCs/>
          <w:i w:val="false"/>
          <w:iCs w:val="false"/>
          <w:color w:val="1A2027"/>
          <w:sz w:val="21"/>
          <w:szCs w:val="21"/>
        </w:rPr>
        <w:t xml:space="preserve">Patient uploads. </w:t>
      </w:r>
      <w:r>
        <w:rPr>
          <w:rFonts w:ascii="Calibri" w:cs="Calibri" w:eastAsia="Calibri" w:hAnsi="Calibri"/>
          <w:b w:val="false"/>
          <w:bCs w:val="false"/>
          <w:i w:val="false"/>
          <w:iCs w:val="false"/>
          <w:color w:val="1A2027"/>
          <w:sz w:val="21"/>
          <w:szCs w:val="21"/>
        </w:rPr>
        <w:t xml:space="preserve">Through the patient portal, people upload outside records, laboratory reports and imaging, which flow into the same record.</w:t>
      </w:r>
    </w:p>
    <w:p>
      <w:pPr>
        <w:pStyle w:val="ListParagraph"/>
        <w:numPr>
          <w:ilvl w:val="0"/>
          <w:numId w:val="1"/>
        </w:numPr>
        <w:spacing w:after="30" w:before="30" w:line="264"/>
      </w:pPr>
      <w:r>
        <w:rPr>
          <w:rFonts w:ascii="Calibri" w:cs="Calibri" w:eastAsia="Calibri" w:hAnsi="Calibri"/>
          <w:b/>
          <w:bCs/>
          <w:i w:val="false"/>
          <w:iCs w:val="false"/>
          <w:color w:val="1A2027"/>
          <w:sz w:val="21"/>
          <w:szCs w:val="21"/>
        </w:rPr>
        <w:t xml:space="preserve">Partner shares. </w:t>
      </w:r>
      <w:r>
        <w:rPr>
          <w:rFonts w:ascii="Calibri" w:cs="Calibri" w:eastAsia="Calibri" w:hAnsi="Calibri"/>
          <w:b w:val="false"/>
          <w:bCs w:val="false"/>
          <w:i w:val="false"/>
          <w:iCs w:val="false"/>
          <w:color w:val="1A2027"/>
          <w:sz w:val="21"/>
          <w:szCs w:val="21"/>
        </w:rPr>
        <w:t xml:space="preserve">Affiliated clinicians can contribute external records through the network, but only after the patient authorises access.</w:t>
      </w:r>
    </w:p>
    <w:p>
      <w:pPr>
        <w:pStyle w:val="ListParagraph"/>
        <w:numPr>
          <w:ilvl w:val="0"/>
          <w:numId w:val="1"/>
        </w:numPr>
        <w:spacing w:after="30" w:before="30" w:line="264"/>
      </w:pPr>
      <w:r>
        <w:rPr>
          <w:rFonts w:ascii="Calibri" w:cs="Calibri" w:eastAsia="Calibri" w:hAnsi="Calibri"/>
          <w:b/>
          <w:bCs/>
          <w:i w:val="false"/>
          <w:iCs w:val="false"/>
          <w:color w:val="1A2027"/>
          <w:sz w:val="21"/>
          <w:szCs w:val="21"/>
        </w:rPr>
        <w:t xml:space="preserve">Device streams (future). </w:t>
      </w:r>
      <w:r>
        <w:rPr>
          <w:rFonts w:ascii="Calibri" w:cs="Calibri" w:eastAsia="Calibri" w:hAnsi="Calibri"/>
          <w:b w:val="false"/>
          <w:bCs w:val="false"/>
          <w:i w:val="false"/>
          <w:iCs w:val="false"/>
          <w:color w:val="1A2027"/>
          <w:sz w:val="21"/>
          <w:szCs w:val="21"/>
        </w:rPr>
        <w:t xml:space="preserve">Live monitor feeds are out of scope for the pilot, which runs on the de-identified extract.</w:t>
      </w:r>
    </w:p>
    <w:p>
      <w:pPr>
        <w:pStyle w:val="ListParagraph"/>
        <w:numPr>
          <w:ilvl w:val="0"/>
          <w:numId w:val="1"/>
        </w:numPr>
        <w:spacing w:after="30" w:before="30" w:line="264"/>
      </w:pPr>
      <w:r>
        <w:rPr>
          <w:rFonts w:ascii="Calibri" w:cs="Calibri" w:eastAsia="Calibri" w:hAnsi="Calibri"/>
          <w:b/>
          <w:bCs/>
          <w:i w:val="false"/>
          <w:iCs w:val="false"/>
          <w:color w:val="1A2027"/>
          <w:sz w:val="21"/>
          <w:szCs w:val="21"/>
        </w:rPr>
        <w:t xml:space="preserve">Held out on purpose. </w:t>
      </w:r>
      <w:r>
        <w:rPr>
          <w:rFonts w:ascii="Calibri" w:cs="Calibri" w:eastAsia="Calibri" w:hAnsi="Calibri"/>
          <w:b w:val="false"/>
          <w:bCs w:val="false"/>
          <w:i w:val="false"/>
          <w:iCs w:val="false"/>
          <w:color w:val="1A2027"/>
          <w:sz w:val="21"/>
          <w:szCs w:val="21"/>
        </w:rPr>
        <w:t xml:space="preserve">Demographics such as age, gender, ethnicity, race and insurance are excluded to reduce unfair bias, and outcome columns such as disposition are removed as leakage because they are known only after triage.</w:t>
      </w:r>
    </w:p>
    <w:p>
      <w:pPr>
        <w:pStyle w:val="ListParagraph"/>
        <w:numPr>
          <w:ilvl w:val="0"/>
          <w:numId w:val="1"/>
        </w:numPr>
        <w:spacing w:after="30" w:before="30" w:line="264"/>
      </w:pPr>
      <w:r>
        <w:rPr>
          <w:rFonts w:ascii="Calibri" w:cs="Calibri" w:eastAsia="Calibri" w:hAnsi="Calibri"/>
          <w:b/>
          <w:bCs/>
          <w:i w:val="false"/>
          <w:iCs w:val="false"/>
          <w:color w:val="1A2027"/>
          <w:sz w:val="21"/>
          <w:szCs w:val="21"/>
        </w:rPr>
        <w:t xml:space="preserve">When it runs and safety. </w:t>
      </w:r>
      <w:r>
        <w:rPr>
          <w:rFonts w:ascii="Calibri" w:cs="Calibri" w:eastAsia="Calibri" w:hAnsi="Calibri"/>
          <w:b w:val="false"/>
          <w:bCs w:val="false"/>
          <w:i w:val="false"/>
          <w:iCs w:val="false"/>
          <w:color w:val="1A2027"/>
          <w:sz w:val="21"/>
          <w:szCs w:val="21"/>
        </w:rPr>
        <w:t xml:space="preserve">Predictions update as data arrives, every value is timestamped, and when more than one critical field is missing the model pauses rather than guessing.</w:t>
      </w:r>
    </w:p>
    <w:p>
      <w:pPr>
        <w:shd w:fill="111820" w:color="auto" w:val="clear"/>
        <w:spacing w:after="60" w:before="220" w:line="300"/>
      </w:pPr>
      <w:r>
        <w:rPr>
          <w:rFonts w:ascii="Calibri" w:cs="Calibri" w:eastAsia="Calibri" w:hAnsi="Calibri"/>
          <w:b/>
          <w:bCs/>
          <w:color w:val="EAF1F4"/>
          <w:sz w:val="23"/>
          <w:szCs w:val="23"/>
        </w:rPr>
        <w:t xml:space="preserve">B. What the platform emits (outputs)</w:t>
      </w:r>
    </w:p>
    <w:p>
      <w:pPr>
        <w:pStyle w:val="ListParagraph"/>
        <w:numPr>
          <w:ilvl w:val="0"/>
          <w:numId w:val="1"/>
        </w:numPr>
        <w:spacing w:after="30" w:before="30" w:line="264"/>
      </w:pPr>
      <w:r>
        <w:rPr>
          <w:rFonts w:ascii="Calibri" w:cs="Calibri" w:eastAsia="Calibri" w:hAnsi="Calibri"/>
          <w:b/>
          <w:bCs/>
          <w:i w:val="false"/>
          <w:iCs w:val="false"/>
          <w:color w:val="1A2027"/>
          <w:sz w:val="21"/>
          <w:szCs w:val="21"/>
        </w:rPr>
        <w:t xml:space="preserve">An AI ordered queue. </w:t>
      </w:r>
      <w:r>
        <w:rPr>
          <w:rFonts w:ascii="Calibri" w:cs="Calibri" w:eastAsia="Calibri" w:hAnsi="Calibri"/>
          <w:b w:val="false"/>
          <w:bCs w:val="false"/>
          <w:i w:val="false"/>
          <w:iCs w:val="false"/>
          <w:color w:val="1A2027"/>
          <w:sz w:val="21"/>
          <w:szCs w:val="21"/>
        </w:rPr>
        <w:t xml:space="preserve">Patients are ranked by the predicted ESI level (1 to 5), with ESI 1 and 2 treated as urgent, updated continuously.</w:t>
      </w:r>
    </w:p>
    <w:p>
      <w:pPr>
        <w:pStyle w:val="ListParagraph"/>
        <w:numPr>
          <w:ilvl w:val="0"/>
          <w:numId w:val="1"/>
        </w:numPr>
        <w:spacing w:after="30" w:before="30" w:line="264"/>
      </w:pPr>
      <w:r>
        <w:rPr>
          <w:rFonts w:ascii="Calibri" w:cs="Calibri" w:eastAsia="Calibri" w:hAnsi="Calibri"/>
          <w:b/>
          <w:bCs/>
          <w:i w:val="false"/>
          <w:iCs w:val="false"/>
          <w:color w:val="1A2027"/>
          <w:sz w:val="21"/>
          <w:szCs w:val="21"/>
        </w:rPr>
        <w:t xml:space="preserve">A colour on the queue. </w:t>
      </w:r>
      <w:r>
        <w:rPr>
          <w:rFonts w:ascii="Calibri" w:cs="Calibri" w:eastAsia="Calibri" w:hAnsi="Calibri"/>
          <w:b/>
          <w:bCs/>
          <w:i w:val="false"/>
          <w:iCs w:val="false"/>
          <w:color w:val="B23A4B"/>
          <w:sz w:val="21"/>
          <w:szCs w:val="21"/>
        </w:rPr>
        <w:t xml:space="preserve">Critical</w:t>
      </w:r>
      <w:r>
        <w:rPr>
          <w:rFonts w:ascii="Calibri" w:cs="Calibri" w:eastAsia="Calibri" w:hAnsi="Calibri"/>
          <w:b w:val="false"/>
          <w:bCs w:val="false"/>
          <w:i w:val="false"/>
          <w:iCs w:val="false"/>
          <w:color w:val="1A2027"/>
          <w:sz w:val="21"/>
          <w:szCs w:val="21"/>
        </w:rPr>
        <w:t xml:space="preserve">, a hard alert; </w:t>
      </w:r>
      <w:r>
        <w:rPr>
          <w:rFonts w:ascii="Calibri" w:cs="Calibri" w:eastAsia="Calibri" w:hAnsi="Calibri"/>
          <w:b/>
          <w:bCs/>
          <w:i w:val="false"/>
          <w:iCs w:val="false"/>
          <w:color w:val="9A6B12"/>
          <w:sz w:val="21"/>
          <w:szCs w:val="21"/>
        </w:rPr>
        <w:t xml:space="preserve">High</w:t>
      </w:r>
      <w:r>
        <w:rPr>
          <w:rFonts w:ascii="Calibri" w:cs="Calibri" w:eastAsia="Calibri" w:hAnsi="Calibri"/>
          <w:b w:val="false"/>
          <w:bCs w:val="false"/>
          <w:i w:val="false"/>
          <w:iCs w:val="false"/>
          <w:color w:val="1A2027"/>
          <w:sz w:val="21"/>
          <w:szCs w:val="21"/>
        </w:rPr>
        <w:t xml:space="preserve">, watch closely; </w:t>
      </w:r>
      <w:r>
        <w:rPr>
          <w:rFonts w:ascii="Calibri" w:cs="Calibri" w:eastAsia="Calibri" w:hAnsi="Calibri"/>
          <w:b/>
          <w:bCs/>
          <w:i w:val="false"/>
          <w:iCs w:val="false"/>
          <w:color w:val="0E7490"/>
          <w:sz w:val="21"/>
          <w:szCs w:val="21"/>
        </w:rPr>
        <w:t xml:space="preserve">Moderate</w:t>
      </w:r>
      <w:r>
        <w:rPr>
          <w:rFonts w:ascii="Calibri" w:cs="Calibri" w:eastAsia="Calibri" w:hAnsi="Calibri"/>
          <w:b w:val="false"/>
          <w:bCs w:val="false"/>
          <w:i w:val="false"/>
          <w:iCs w:val="false"/>
          <w:color w:val="1A2027"/>
          <w:sz w:val="21"/>
          <w:szCs w:val="21"/>
        </w:rPr>
        <w:t xml:space="preserve">, stable; </w:t>
      </w:r>
      <w:r>
        <w:rPr>
          <w:rFonts w:ascii="Calibri" w:cs="Calibri" w:eastAsia="Calibri" w:hAnsi="Calibri"/>
          <w:b/>
          <w:bCs/>
          <w:i w:val="false"/>
          <w:iCs w:val="false"/>
          <w:color w:val="6B7681"/>
          <w:sz w:val="21"/>
          <w:szCs w:val="21"/>
        </w:rPr>
        <w:t xml:space="preserve">Hold</w:t>
      </w:r>
      <w:r>
        <w:rPr>
          <w:rFonts w:ascii="Calibri" w:cs="Calibri" w:eastAsia="Calibri" w:hAnsi="Calibri"/>
          <w:b w:val="false"/>
          <w:bCs w:val="false"/>
          <w:i w:val="false"/>
          <w:iCs w:val="false"/>
          <w:color w:val="1A2027"/>
          <w:sz w:val="21"/>
          <w:szCs w:val="21"/>
        </w:rPr>
        <w:t xml:space="preserve">, insufficient data, manual review required.</w:t>
      </w:r>
    </w:p>
    <w:p>
      <w:pPr>
        <w:pStyle w:val="ListParagraph"/>
        <w:numPr>
          <w:ilvl w:val="0"/>
          <w:numId w:val="1"/>
        </w:numPr>
        <w:spacing w:after="30" w:before="30" w:line="264"/>
      </w:pPr>
      <w:r>
        <w:rPr>
          <w:rFonts w:ascii="Calibri" w:cs="Calibri" w:eastAsia="Calibri" w:hAnsi="Calibri"/>
          <w:b/>
          <w:bCs/>
          <w:i w:val="false"/>
          <w:iCs w:val="false"/>
          <w:color w:val="1A2027"/>
          <w:sz w:val="21"/>
          <w:szCs w:val="21"/>
        </w:rPr>
        <w:t xml:space="preserve">A risk score and confidence. </w:t>
      </w:r>
      <w:r>
        <w:rPr>
          <w:rFonts w:ascii="Calibri" w:cs="Calibri" w:eastAsia="Calibri" w:hAnsi="Calibri"/>
          <w:b w:val="false"/>
          <w:bCs w:val="false"/>
          <w:i w:val="false"/>
          <w:iCs w:val="false"/>
          <w:color w:val="1A2027"/>
          <w:sz w:val="21"/>
          <w:szCs w:val="21"/>
        </w:rPr>
        <w:t xml:space="preserve">Each patient gets a deterioration risk value with a trend, plus an AI confidence level. The model is tuned so that recall for ESI 1, catching the sickest patients, is the priority metric.</w:t>
      </w:r>
    </w:p>
    <w:p>
      <w:pPr>
        <w:pStyle w:val="ListParagraph"/>
        <w:numPr>
          <w:ilvl w:val="0"/>
          <w:numId w:val="1"/>
        </w:numPr>
        <w:spacing w:after="30" w:before="30" w:line="264"/>
      </w:pPr>
      <w:r>
        <w:rPr>
          <w:rFonts w:ascii="Calibri" w:cs="Calibri" w:eastAsia="Calibri" w:hAnsi="Calibri"/>
          <w:b/>
          <w:bCs/>
          <w:i w:val="false"/>
          <w:iCs w:val="false"/>
          <w:color w:val="1A2027"/>
          <w:sz w:val="21"/>
          <w:szCs w:val="21"/>
        </w:rPr>
        <w:t xml:space="preserve">Suggested next steps. </w:t>
      </w:r>
      <w:r>
        <w:rPr>
          <w:rFonts w:ascii="Calibri" w:cs="Calibri" w:eastAsia="Calibri" w:hAnsi="Calibri"/>
          <w:b w:val="false"/>
          <w:bCs w:val="false"/>
          <w:i w:val="false"/>
          <w:iCs w:val="false"/>
          <w:color w:val="1A2027"/>
          <w:sz w:val="21"/>
          <w:szCs w:val="21"/>
        </w:rPr>
        <w:t xml:space="preserve">Recommended investigations and a recommended pathway, offered as suggestions only.</w:t>
      </w:r>
    </w:p>
    <w:p>
      <w:pPr>
        <w:pStyle w:val="ListParagraph"/>
        <w:numPr>
          <w:ilvl w:val="0"/>
          <w:numId w:val="1"/>
        </w:numPr>
        <w:spacing w:after="30" w:before="30" w:line="264"/>
      </w:pPr>
      <w:r>
        <w:rPr>
          <w:rFonts w:ascii="Calibri" w:cs="Calibri" w:eastAsia="Calibri" w:hAnsi="Calibri"/>
          <w:b/>
          <w:bCs/>
          <w:i w:val="false"/>
          <w:iCs w:val="false"/>
          <w:color w:val="1A2027"/>
          <w:sz w:val="21"/>
          <w:szCs w:val="21"/>
        </w:rPr>
        <w:t xml:space="preserve">A copilot action and a plain English reason. </w:t>
      </w:r>
      <w:r>
        <w:rPr>
          <w:rFonts w:ascii="Calibri" w:cs="Calibri" w:eastAsia="Calibri" w:hAnsi="Calibri"/>
          <w:b w:val="false"/>
          <w:bCs w:val="false"/>
          <w:i w:val="false"/>
          <w:iCs w:val="false"/>
          <w:color w:val="1A2027"/>
          <w:sz w:val="21"/>
          <w:szCs w:val="21"/>
        </w:rPr>
        <w:t xml:space="preserve">A single suggested action (for example, move a patient to resus and activate a pathway) with the top three drivers behind it, readable in under 60 seconds.</w:t>
      </w:r>
    </w:p>
    <w:p>
      <w:pPr>
        <w:pStyle w:val="ListParagraph"/>
        <w:numPr>
          <w:ilvl w:val="0"/>
          <w:numId w:val="1"/>
        </w:numPr>
        <w:spacing w:after="30" w:before="30" w:line="264"/>
      </w:pPr>
      <w:r>
        <w:rPr>
          <w:rFonts w:ascii="Calibri" w:cs="Calibri" w:eastAsia="Calibri" w:hAnsi="Calibri"/>
          <w:b/>
          <w:bCs/>
          <w:i w:val="false"/>
          <w:iCs w:val="false"/>
          <w:color w:val="1A2027"/>
          <w:sz w:val="21"/>
          <w:szCs w:val="21"/>
        </w:rPr>
        <w:t xml:space="preserve">Operational and patient facing outputs. </w:t>
      </w:r>
      <w:r>
        <w:rPr>
          <w:rFonts w:ascii="Calibri" w:cs="Calibri" w:eastAsia="Calibri" w:hAnsi="Calibri"/>
          <w:b w:val="false"/>
          <w:bCs w:val="false"/>
          <w:i w:val="false"/>
          <w:iCs w:val="false"/>
          <w:color w:val="1A2027"/>
          <w:sz w:val="21"/>
          <w:szCs w:val="21"/>
        </w:rPr>
        <w:t xml:space="preserve">Bed availability, staff workload and administration analytics for the department, and for the patient their results, imaging, prescriptions, discharge summaries and follow up booking.</w:t>
      </w:r>
    </w:p>
    <w:p>
      <w:pPr>
        <w:pStyle w:val="ListParagraph"/>
        <w:numPr>
          <w:ilvl w:val="0"/>
          <w:numId w:val="1"/>
        </w:numPr>
        <w:spacing w:after="30" w:before="30" w:line="264"/>
      </w:pPr>
      <w:r>
        <w:rPr>
          <w:rFonts w:ascii="Calibri" w:cs="Calibri" w:eastAsia="Calibri" w:hAnsi="Calibri"/>
          <w:b/>
          <w:bCs/>
          <w:i w:val="false"/>
          <w:iCs w:val="false"/>
          <w:color w:val="1A2027"/>
          <w:sz w:val="21"/>
          <w:szCs w:val="21"/>
        </w:rPr>
        <w:t xml:space="preserve">No autonomous action. </w:t>
      </w:r>
      <w:r>
        <w:rPr>
          <w:rFonts w:ascii="Calibri" w:cs="Calibri" w:eastAsia="Calibri" w:hAnsi="Calibri"/>
          <w:b w:val="false"/>
          <w:bCs w:val="false"/>
          <w:i w:val="false"/>
          <w:iCs w:val="false"/>
          <w:color w:val="1A2027"/>
          <w:sz w:val="21"/>
          <w:szCs w:val="21"/>
        </w:rPr>
        <w:t xml:space="preserve">The platform never routes, orders or discharges on its own, and every emission is logged for audit.</w:t>
      </w:r>
    </w:p>
    <w:p>
      <w:pPr>
        <w:shd w:fill="111820" w:color="auto" w:val="clear"/>
        <w:spacing w:after="60" w:before="220" w:line="300"/>
      </w:pPr>
      <w:r>
        <w:rPr>
          <w:rFonts w:ascii="Calibri" w:cs="Calibri" w:eastAsia="Calibri" w:hAnsi="Calibri"/>
          <w:b/>
          <w:bCs/>
          <w:color w:val="EAF1F4"/>
          <w:sz w:val="23"/>
          <w:szCs w:val="23"/>
        </w:rPr>
        <w:t xml:space="preserve">C. What the human does next</w:t>
      </w:r>
    </w:p>
    <w:p>
      <w:pPr>
        <w:pStyle w:val="ListParagraph"/>
        <w:numPr>
          <w:ilvl w:val="0"/>
          <w:numId w:val="1"/>
        </w:numPr>
        <w:spacing w:after="30" w:before="30" w:line="264"/>
      </w:pPr>
      <w:r>
        <w:rPr>
          <w:rFonts w:ascii="Calibri" w:cs="Calibri" w:eastAsia="Calibri" w:hAnsi="Calibri"/>
          <w:b/>
          <w:bCs/>
          <w:i w:val="false"/>
          <w:iCs w:val="false"/>
          <w:color w:val="1A2027"/>
          <w:sz w:val="21"/>
          <w:szCs w:val="21"/>
        </w:rPr>
        <w:t xml:space="preserve">The nurse enters their own triage score first. </w:t>
      </w:r>
      <w:r>
        <w:rPr>
          <w:rFonts w:ascii="Calibri" w:cs="Calibri" w:eastAsia="Calibri" w:hAnsi="Calibri"/>
          <w:b w:val="false"/>
          <w:bCs w:val="false"/>
          <w:i w:val="false"/>
          <w:iCs w:val="false"/>
          <w:color w:val="1A2027"/>
          <w:sz w:val="21"/>
          <w:szCs w:val="21"/>
        </w:rPr>
        <w:t xml:space="preserve">Only then does the AI order and flag reveal themselves.</w:t>
      </w:r>
    </w:p>
    <w:p>
      <w:pPr>
        <w:pStyle w:val="ListParagraph"/>
        <w:numPr>
          <w:ilvl w:val="0"/>
          <w:numId w:val="1"/>
        </w:numPr>
        <w:spacing w:after="30" w:before="30" w:line="264"/>
      </w:pPr>
      <w:r>
        <w:rPr>
          <w:rFonts w:ascii="Calibri" w:cs="Calibri" w:eastAsia="Calibri" w:hAnsi="Calibri"/>
          <w:b/>
          <w:bCs/>
          <w:i w:val="false"/>
          <w:iCs w:val="false"/>
          <w:color w:val="1A2027"/>
          <w:sz w:val="21"/>
          <w:szCs w:val="21"/>
        </w:rPr>
        <w:t xml:space="preserve">Reviews the risk, the drivers and the confidence </w:t>
      </w:r>
      <w:r>
        <w:rPr>
          <w:rFonts w:ascii="Calibri" w:cs="Calibri" w:eastAsia="Calibri" w:hAnsi="Calibri"/>
          <w:b w:val="false"/>
          <w:bCs w:val="false"/>
          <w:i w:val="false"/>
          <w:iCs w:val="false"/>
          <w:color w:val="1A2027"/>
          <w:sz w:val="21"/>
          <w:szCs w:val="21"/>
        </w:rPr>
        <w:t xml:space="preserve">and understands the reasoning within about 60 seconds.</w:t>
      </w:r>
    </w:p>
    <w:p>
      <w:pPr>
        <w:pStyle w:val="ListParagraph"/>
        <w:numPr>
          <w:ilvl w:val="0"/>
          <w:numId w:val="1"/>
        </w:numPr>
        <w:spacing w:after="30" w:before="30" w:line="264"/>
      </w:pPr>
      <w:r>
        <w:rPr>
          <w:rFonts w:ascii="Calibri" w:cs="Calibri" w:eastAsia="Calibri" w:hAnsi="Calibri"/>
          <w:b/>
          <w:bCs/>
          <w:i w:val="false"/>
          <w:iCs w:val="false"/>
          <w:color w:val="1A2027"/>
          <w:sz w:val="21"/>
          <w:szCs w:val="21"/>
        </w:rPr>
        <w:t xml:space="preserve">Confirms or overrides, </w:t>
      </w:r>
      <w:r>
        <w:rPr>
          <w:rFonts w:ascii="Calibri" w:cs="Calibri" w:eastAsia="Calibri" w:hAnsi="Calibri"/>
          <w:b w:val="false"/>
          <w:bCs w:val="false"/>
          <w:i w:val="false"/>
          <w:iCs w:val="false"/>
          <w:color w:val="1A2027"/>
          <w:sz w:val="21"/>
          <w:szCs w:val="21"/>
        </w:rPr>
        <w:t xml:space="preserve">accepting or declining the suggested investigations and pathway. An override captures a short reason for the audit trail.</w:t>
      </w:r>
    </w:p>
    <w:p>
      <w:pPr>
        <w:pStyle w:val="ListParagraph"/>
        <w:numPr>
          <w:ilvl w:val="0"/>
          <w:numId w:val="1"/>
        </w:numPr>
        <w:spacing w:after="30" w:before="30" w:line="264"/>
      </w:pPr>
      <w:r>
        <w:rPr>
          <w:rFonts w:ascii="Calibri" w:cs="Calibri" w:eastAsia="Calibri" w:hAnsi="Calibri"/>
          <w:b/>
          <w:bCs/>
          <w:i w:val="false"/>
          <w:iCs w:val="false"/>
          <w:color w:val="1A2027"/>
          <w:sz w:val="21"/>
          <w:szCs w:val="21"/>
        </w:rPr>
        <w:t xml:space="preserve">Handles the hold state. </w:t>
      </w:r>
      <w:r>
        <w:rPr>
          <w:rFonts w:ascii="Calibri" w:cs="Calibri" w:eastAsia="Calibri" w:hAnsi="Calibri"/>
          <w:b w:val="false"/>
          <w:bCs w:val="false"/>
          <w:i w:val="false"/>
          <w:iCs w:val="false"/>
          <w:color w:val="1A2027"/>
          <w:sz w:val="21"/>
          <w:szCs w:val="21"/>
        </w:rPr>
        <w:t xml:space="preserve">For insufficient data the nurse completes the missing vitals manually, and no AI score is offered until then.</w:t>
      </w:r>
    </w:p>
    <w:p>
      <w:pPr>
        <w:pStyle w:val="ListParagraph"/>
        <w:numPr>
          <w:ilvl w:val="0"/>
          <w:numId w:val="1"/>
        </w:numPr>
        <w:spacing w:after="30" w:before="30" w:line="264"/>
      </w:pPr>
      <w:r>
        <w:rPr>
          <w:rFonts w:ascii="Calibri" w:cs="Calibri" w:eastAsia="Calibri" w:hAnsi="Calibri"/>
          <w:b/>
          <w:bCs/>
          <w:i w:val="false"/>
          <w:iCs w:val="false"/>
          <w:color w:val="1A2027"/>
          <w:sz w:val="21"/>
          <w:szCs w:val="21"/>
        </w:rPr>
        <w:t xml:space="preserve">Makes the final routing and bed decision. </w:t>
      </w:r>
      <w:r>
        <w:rPr>
          <w:rFonts w:ascii="Calibri" w:cs="Calibri" w:eastAsia="Calibri" w:hAnsi="Calibri"/>
          <w:b w:val="false"/>
          <w:bCs w:val="false"/>
          <w:i w:val="false"/>
          <w:iCs w:val="false"/>
          <w:color w:val="1A2027"/>
          <w:sz w:val="21"/>
          <w:szCs w:val="21"/>
        </w:rPr>
        <w:t xml:space="preserve">The clinician in charge keeps absolute authority over routing.</w:t>
      </w:r>
    </w:p>
    <w:p>
      <w:pPr>
        <w:pStyle w:val="ListParagraph"/>
        <w:numPr>
          <w:ilvl w:val="0"/>
          <w:numId w:val="1"/>
        </w:numPr>
        <w:spacing w:after="30" w:before="30" w:line="264"/>
      </w:pPr>
      <w:r>
        <w:rPr>
          <w:rFonts w:ascii="Calibri" w:cs="Calibri" w:eastAsia="Calibri" w:hAnsi="Calibri"/>
          <w:b/>
          <w:bCs/>
          <w:i w:val="false"/>
          <w:iCs w:val="false"/>
          <w:color w:val="1A2027"/>
          <w:sz w:val="21"/>
          <w:szCs w:val="21"/>
        </w:rPr>
        <w:t xml:space="preserve">Patients and partners play their part. </w:t>
      </w:r>
      <w:r>
        <w:rPr>
          <w:rFonts w:ascii="Calibri" w:cs="Calibri" w:eastAsia="Calibri" w:hAnsi="Calibri"/>
          <w:b w:val="false"/>
          <w:bCs w:val="false"/>
          <w:i w:val="false"/>
          <w:iCs w:val="false"/>
          <w:color w:val="1A2027"/>
          <w:sz w:val="21"/>
          <w:szCs w:val="21"/>
        </w:rPr>
        <w:t xml:space="preserve">Patients review their own results and authorise sharing, and administrators monitor performance and AI accuracy.</w:t>
      </w:r>
    </w:p>
    <w:p>
      <w:pPr>
        <w:spacing w:after="40" w:before="220" w:line="264"/>
      </w:pPr>
      <w:r>
        <w:rPr>
          <w:rFonts w:ascii="Calibri" w:cs="Calibri" w:eastAsia="Calibri" w:hAnsi="Calibri"/>
          <w:b w:val="false"/>
          <w:bCs w:val="false"/>
          <w:i/>
          <w:iCs/>
          <w:color w:val="7A8791"/>
          <w:sz w:val="18"/>
          <w:szCs w:val="18"/>
        </w:rPr>
        <w:t xml:space="preserve">Governance: demographics are excluded for fairness and outcome columns are removed as leakage. The anonymised data stays governed. The AI supports the clinician and never replaces the clinical decision.</w:t>
      </w:r>
    </w:p>
    <w:sectPr>
      <w:pgSz w:w="11906" w:h="16838" w:orient="portrait"/>
      <w:pgMar w:top="1080" w:right="1120" w:bottom="1080" w:left="11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2026-07-31T14:21:46.984Z</dcterms:created>
  <dcterms:modified xsi:type="dcterms:W3CDTF">2026-07-31T14:21:46.984Z</dcterms:modified>
</cp:coreProperties>
</file>

<file path=docProps/custom.xml><?xml version="1.0" encoding="utf-8"?>
<Properties xmlns="http://schemas.openxmlformats.org/officeDocument/2006/custom-properties" xmlns:vt="http://schemas.openxmlformats.org/officeDocument/2006/docPropsVTypes"/>
</file>