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/>
          <w:bCs/>
          <w:color w:val="1A52B8"/>
          <w:sz w:val="72"/>
          <w:szCs w:val="72"/>
        </w:rPr>
        <w:t xml:space="preserve">K-Storm</w:t>
      </w:r>
    </w:p>
    <w:p>
      <w:pPr>
        <w:spacing w:after="12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/>
          <w:bCs/>
          <w:color w:val="0A1628"/>
          <w:sz w:val="40"/>
          <w:szCs w:val="40"/>
        </w:rPr>
        <w:t xml:space="preserve">科研头脑风暴多 Agent 系统</w:t>
      </w:r>
    </w:p>
    <w:p>
      <w:pPr>
        <w:spacing w:after="6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color w:val="2C3E6A"/>
          <w:sz w:val="28"/>
          <w:szCs w:val="28"/>
        </w:rPr>
        <w:t xml:space="preserve">系统设计与技术说明文档</w:t>
      </w:r>
    </w:p>
    <w:p>
      <w:pPr>
        <w:spacing w:after="600" w:before="0"/>
      </w:pPr>
    </w:p>
    <w:p>
      <w:pPr>
        <w:pBdr>
          <w:bottom w:val="single" w:color="D6E0F2" w:sz="4" w:space="1"/>
        </w:pBdr>
        <w:spacing w:after="120" w:before="120"/>
      </w:pPr>
    </w:p>
    <w:p>
      <w:pPr>
        <w:spacing w:after="120" w:before="0"/>
      </w:pPr>
    </w:p>
    <w:p>
      <w:pPr>
        <w:spacing w:after="80" w:before="60"/>
        <w:jc w:val="center"/>
      </w:pPr>
      <w:r>
        <w:rPr>
          <w:rFonts w:ascii="Arial" w:cs="Arial" w:eastAsia="Arial" w:hAnsi="Arial"/>
          <w:b w:val="false"/>
          <w:bCs w:val="false"/>
          <w:color w:val="7A8BAD"/>
          <w:sz w:val="22"/>
          <w:szCs w:val="22"/>
        </w:rPr>
        <w:t xml:space="preserve">中国科学技术大学  ·  2026 年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  项目概述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是一套面向科研人员的本地化多 Agent 头脑风暴系统，专注于协助研究生、博士生和科研人员开展科研选题探索、方案论证与实验设计审查。系统在用户本地环境运行，数据不出用户机器，通过灵活的 API 接口对接主流大模型服务。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核心设计理念：以"讨论质量"取代"单次问答"，通过多角色 Agent 协同辩论、结构化知识提炼与跨会话记忆，将大模型的泛化推理能力转化为可复盘、可追溯的科研决策记录。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1.1  关键数据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维度</w:t>
            </w:r>
          </w:p>
        </w:tc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数值 / 规格</w:t>
            </w:r>
          </w:p>
        </w:tc>
        <w:tc>
          <w:tcPr>
            <w:tcW w:type="dxa" w:w="312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Agent 角色数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7 个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 · Novelty · Mechanism · Feasibility · Reviewer · Moderator · Output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讨论模式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 / 聚焦 / 快速 / 记忆查询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支持 API 类型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Compatible · OpenAI Responses · Anthropic · Local Mock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最大讨论轮次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5 轮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每轮 4 个讨论 Agent 串行或并行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数据存储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 本地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全量结构化保存，API Key 不落盘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 + Vite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 JSX，SSE 实时推送</w:t>
            </w:r>
          </w:p>
        </w:tc>
      </w:tr>
      <w:tr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</w:t>
            </w:r>
          </w:p>
        </w:tc>
        <w:tc>
          <w:tcPr>
            <w:tcW w:type="dxa" w:w="312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异步 + 后台 Task，无外部依赖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2  问题背景与动机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科研选题是研究生培养中挑战最大、耗时最久的环节之一。传统方式依赖导师一对一指导，面临以下痛点：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指导资源稀缺：导师平均每周能给予研究生的深度讨论时间不足 1 小时。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视角单一：单个导师的知识边界决定了讨论的覆盖范围，跨领域洞察严重依赖导师的知识广度。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论证过程不可复盘：口头讨论缺乏结构化记录，同一话题反复讨论，历史洞察无法积累。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算力与时间错配：粗粒度问题（选题方向）和细粒度验证（单点假设）共用同一流程，成本差异巨大。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通过构建"多角色 Agent 协同辩论"机制，将单次对话扩展为结构化的多轮讨论，并以结构化中间报告（Structured IR）形式持久化讨论成果，使每次科研头脑风暴都能产出可查阅、可延续的决策记录。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3  系统架构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3.1  整体分层架构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采用经典三层架构，各层职责清晰分离：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760"/>
        <w:gridCol w:w="3400"/>
      </w:tblGrid>
      <w:tr>
        <w:trPr>
          <w:tblHeader/>
        </w:trPr>
        <w:tc>
          <w:tcPr>
            <w:tcW w:type="dxa" w:w="2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层次</w:t>
            </w:r>
          </w:p>
        </w:tc>
        <w:tc>
          <w:tcPr>
            <w:tcW w:type="dxa" w:w="37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组件</w:t>
            </w:r>
          </w:p>
        </w:tc>
        <w:tc>
          <w:tcPr>
            <w:tcW w:type="dxa" w:w="3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职责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展现层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 + Vite (frontend/src/main.jsx)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 SPA，三栏布局，SSE 实时接收，Markdown 渲染，PDF 导出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API 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 (backend/app/main.py)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RESTful + SSE 端点，后台 Task 编排，文档提取，历史管理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编排层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Orchestrator (runner.py)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状态机驱动，Agent 顺序/并行调度，流式 buffer，停止/继续逻辑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模型层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AgentModelRouter + Clients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按 Agent 分配不同模型，支持 4 种 API 类型，自动重试与降级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持久化层</w:t>
            </w:r>
          </w:p>
        </w:tc>
        <w:tc>
          <w:tcPr>
            <w:tcW w:type="dxa" w:w="37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 (storage/db.py)</w:t>
            </w:r>
          </w:p>
        </w:tc>
        <w:tc>
          <w:tcPr>
            <w:tcW w:type="dxa" w:w="3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 RunRecord 存储，脱敏（API Key 不写入），结构化 IR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3.2  数据流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一次完整的全量审议（Full Deliberation）经历以下数据变换阶段：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模板输入（TemplateInput）：用户填写研究领域、背景、已有基础、核心问题、资源约束等 10 个字段。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结构化 Brief（StructuredBrief）：Intake Agent 将模板和上传文档提炼为高密度 Briefing，供后续所有 Agent 共享。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讨论发言（DebateMessage[]）：每轮 4 个 Agent 各产出结构化 Markdown 发言，含主张、依据、风险和 IR 摘要小节。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结构化 IR（StructuredIRV2）：Group Summarizer 汇总所有 Agent 的 IR 摘要，产出候选方向、证据引用、批判点和下一步行动的决策结构体。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最终报告（final_report）：Output Agent 综合 Briefing + 压缩 IR + 讨论摘要，生成用户可直接用于开题、组会的 Markdown 报告。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3.3  运行状态机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每次运行（Run）经历以下状态转移，状态实时通过 SSE 推送至前端：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60"/>
        <w:gridCol w:w="3200"/>
      </w:tblGrid>
      <w:tr>
        <w:trPr>
          <w:tblHeader/>
        </w:trPr>
        <w:tc>
          <w:tcPr>
            <w:tcW w:type="dxa" w:w="2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状态</w:t>
            </w:r>
          </w:p>
        </w:tc>
        <w:tc>
          <w:tcPr>
            <w:tcW w:type="dxa" w:w="3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含义</w:t>
            </w:r>
          </w:p>
        </w:tc>
        <w:tc>
          <w:tcPr>
            <w:tcW w:type="dxa" w:w="3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可执行操作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CREATED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运行记录已创建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TEMPLATE_VALIDATED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模板校验完成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入口 Agent 工作中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DEBATE_RUNNING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讨论 Agent 工作中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GROUP_SUMMARY_RUNNING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 IR 生成中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FINAL_REPORT_RUNNING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最终报告生成中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停止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COMPLETED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全流程完成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重跑 / 继续 / 导出</w:t>
            </w:r>
          </w:p>
        </w:tc>
      </w:tr>
      <w:tr>
        <w:tc>
          <w:tcPr>
            <w:tcW w:type="dxa" w:w="2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FAILED / CANCELED</w:t>
            </w:r>
          </w:p>
        </w:tc>
        <w:tc>
          <w:tcPr>
            <w:tcW w:type="dxa" w:w="3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失败或被中断</w:t>
            </w:r>
          </w:p>
        </w:tc>
        <w:tc>
          <w:tcPr>
            <w:tcW w:type="dxa" w:w="3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继续分析（断点续运）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4  多 Agent 角色设计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4.1  角色体系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设计了 7 个专职 Agent，每个 Agent 可独立绑定不同的大模型。角色分工如下：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800"/>
        <w:gridCol w:w="5360"/>
      </w:tblGrid>
      <w:tr>
        <w:trPr>
          <w:tblHeader/>
        </w:trPr>
        <w:tc>
          <w:tcPr>
            <w:tcW w:type="dxa" w:w="2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Agent</w:t>
            </w:r>
          </w:p>
        </w:tc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角色定位</w:t>
            </w:r>
          </w:p>
        </w:tc>
        <w:tc>
          <w:tcPr>
            <w:tcW w:type="dxa" w:w="5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核心职责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Intake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入口结构化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整合模板与上传文档，输出高密度 Briefing 供全体 Agent 共享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Novelty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创新性评审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从已有研究差距发现新方向，提出差异化假设，必须引用支撑文献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Mechanism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机制深挖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分析变量关系与因果链条，将宽泛选题转为可实验检验的科学问题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Feasibility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可行性评估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检查资源、周期、技术与成本约束，把创新想法改造为可执行方案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Reviewer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审稿模拟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提出尖锐但建设性质疑，模拟同行评审，指出逻辑漏洞与证据断点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Moderator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冲突汇总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第 1 轮结束后汇总各 Agent 冲突点、遗漏点，生成第 2 轮讨论议程</w:t>
            </w:r>
          </w:p>
        </w:tc>
      </w:tr>
      <w:tr>
        <w:tc>
          <w:tcPr>
            <w:tcW w:type="dxa" w:w="2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Output Agent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报告输出</w:t>
            </w:r>
          </w:p>
        </w:tc>
        <w:tc>
          <w:tcPr>
            <w:tcW w:type="dxa" w:w="5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综合所有讨论产物，生成符合开题报告规范的结构化中文 Markdown 报告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4.2  讨论流程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完整审议（Full Deliberation）的执行顺序：</w:t>
      </w:r>
    </w:p>
    <w:p>
      <w:pPr>
        <w:spacing w:after="40" w:before="0"/>
      </w:pP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Intake Agent 消化模板与上传文档，生成 StructuredBrief。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第 1 轮：4 个讨论 Agent 可选择「并行独立发言」（互不可见对方输出）或「串行链式发言」（后者可见前者）。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Moderator 读取第 1 轮全部发言，汇总冲突、遗漏及第 2 轮必须回应的问题清单。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第 2 轮至第 N 轮（N ≤ 5）：4 个 Agent 串行依次基于历史记录继续论证、反驳或修正。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每个 Agent 在发言末尾产出「给结构化 IR 的要点摘要」（IR Summary），专门面向 Group Summarizer。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Group Summarizer 仅读取各 Agent IR 摘要（非完整发言），生成 StructuredIRV2 决策结构体。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color w:val="0A1628"/>
          <w:sz w:val="22"/>
          <w:szCs w:val="22"/>
        </w:rPr>
        <w:t xml:space="preserve">Output Agent 综合 Briefing 摘要 + 压缩 IR + 讨论摘要，生成最终报告。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4.3  IR 摘要压缩机制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传统 LLM 对话系统随轮次增加，上下文长度指数膨胀。K-Storm 通过「IR 摘要」机制将每轮发言压缩为固定格式的要点摘要（含关键主张、支撑依据、风险或反驳点、建议进入 IR），使 Group Summarizer 的输入长度恒定，不随轮次线性增长。这是系统支持 5 轮深度讨论的关键技术设计。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5  讨论模式分层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V1.6 设计了 4 种讨论模式，支持从「即席问答」到「完整审议」的全光谱覆盖，解决不同粒度的研究问题：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600"/>
        <w:gridCol w:w="1800"/>
        <w:gridCol w:w="1560"/>
        <w:gridCol w:w="2400"/>
      </w:tblGrid>
      <w:tr>
        <w:trPr>
          <w:tblHeader/>
        </w:trPr>
        <w:tc>
          <w:tcPr>
            <w:tcW w:type="dxa" w:w="20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模式</w:t>
            </w:r>
          </w:p>
        </w:tc>
        <w:tc>
          <w:tcPr>
            <w:tcW w:type="dxa" w:w="1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中文名</w:t>
            </w:r>
          </w:p>
        </w:tc>
        <w:tc>
          <w:tcPr>
            <w:tcW w:type="dxa" w:w="1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参与 Agent</w:t>
            </w:r>
          </w:p>
        </w:tc>
        <w:tc>
          <w:tcPr>
            <w:tcW w:type="dxa" w:w="1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典型耗时</w:t>
            </w:r>
          </w:p>
        </w:tc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适用场景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Full Deliberation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全量审议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全部 7 个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5–20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开题探索、方法论比较、多方案评估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Focused Panel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专题研讨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2–3 个（用户选）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2–6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定向验证单一维度（如仅检查可行性）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Quick Probe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快速探查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1 个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30 秒–2 分钟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单点假设快速验证</w:t>
            </w:r>
          </w:p>
        </w:tc>
      </w:tr>
      <w:tr>
        <w:tc>
          <w:tcPr>
            <w:tcW w:type="dxa" w:w="20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Memory Query</w:t>
            </w:r>
          </w:p>
        </w:tc>
        <w:tc>
          <w:tcPr>
            <w:tcW w:type="dxa" w:w="1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记忆查询</w:t>
            </w:r>
          </w:p>
        </w:tc>
        <w:tc>
          <w:tcPr>
            <w:tcW w:type="dxa" w:w="1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0 个（仅检索）</w:t>
            </w:r>
          </w:p>
        </w:tc>
        <w:tc>
          <w:tcPr>
            <w:tcW w:type="dxa" w:w="1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即时</w:t>
            </w:r>
          </w:p>
        </w:tc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复用历史讨论结论</w:t>
            </w:r>
          </w:p>
        </w:tc>
      </w:tr>
    </w:tbl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模式之间形成升级链路：Memory Query → Quick Probe → Focused Panel → Full Deliberation。用户可以从最轻量入口发现问题，逐步加深投入，历史上下文在升级时自动携带，不重复从零开始。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6  逐字流式输出设计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6.1  架构概述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实现了端到端的 Agent 输出流式推送，用户在 Agent 生成过程中即可逐字看到内容，无需等待完整响应。系统采用双 SSE 通道设计：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Run 状态通道（/api/runs/{id}/stream）：每 800ms 轮询数据库，推送完整 RunRecord 快照，用于整体状态同步。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Token 流通道（/api/runs/{id}/token-stream）：每 100ms 读取内存 buffer，推送当前正在生成的 Agent 的累积 token，用于实时文字渲染。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6.2  后端实现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流式输出涉及以下三层改造：</w:t>
      </w:r>
    </w:p>
    <w:p>
      <w:pPr>
        <w:spacing w:after="40" w:before="0"/>
      </w:pP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6.2.1  模型客户端层（compatible.py）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OpenAICompatibleClient 新增 generate_stream() 方法，向 API 发送 stream: true 请求，逐块读取 SSE 格式响应，解析每个 data: {...} 行中的 choices[0].delta.content 字段，通过 on_chunk(delta) 回调将每个 token 传递给上游。失败时抛出 RuntimeError，由上层降级为非流式请求。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6.2.2  编排层（runner.py）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全局维护 _STREAM_BUFFERS（run_id → partial_text）和 _STREAM_META（run_id → {agent, step_type, round}）两个内存字典。generate_validated() 函数接受可选的 on_chunk 参数，第一次尝试走流式路径，retry 或续写（truncation continuation）时降级为普通请求。每个 debate agent、moderator 步骤在调用 generate_validated() 时注入专属 sink，将 token 累积写入 buffer；步骤结束时调用 clear_stream_buffer() 清空。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2C3E6A"/>
          <w:sz w:val="22"/>
          <w:szCs w:val="22"/>
        </w:rPr>
        <w:t xml:space="preserve">6.2.3  API 层（main.py）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新增 GET /api/runs/{run_id}/token-stream 端点：异步 Generator 每 100ms 读取 get_stream_state()，若 buffer 内容变化则发送 SSE 事件（包含 partial、agent、step_type、round 字段）；Run 进入终态时发送 {done: true} 关闭流，总计最长轮询 90 分钟。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6.3  前端实现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前端通过 tokenStreamRef（EventSource 引用）和 streamingPartial（React state）接收并展示 token 流：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startPolling() 调用时同步开启 _startTokenStream()，两条 SSE 连接并行运行。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token-stream SSE 收到 partial 字段时更新 streamingPartial state，触发 DebateView 重渲染。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DebateView 中注入「流式幻影卡片」（streaming phantom card）：当 streamingPartial.round 匹配当前激活轮次，且该 Agent 的完整消息尚未落库时，显示带「● 生成中」标识的实时文字卡片。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显示前自动剥除尾部结束标记（END_MARKER），避免内部格式字符暴露给用户。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当完整消息通过 run 状态 SSE 到达（debate_messages 新增条目），幻影卡片自动消失，真实卡片接替显示。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7  模型路由与多提供商适配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7.1  AgentModelRouter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AgentModelRouter 实现「每个 Agent 独立绑定模型」的核心路由逻辑。用户在设置界面为每个 Agent 角色分别选择「供应商:模型」组合，系统根据 agent_key 在 _resolved 字典中查找对应配置，构造对应的 Client 实例后调用。未分配的 Agent 自动降级至 Local Mock Provider。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这一设计允许用户将重型推理模型（如 DeepSeek-V4-Pro、GLM-5.2）分配给 Intake、Novelty、Reviewer 等高需求 Agent，将轻量高速模型（如 DeepSeek-V4-Flash、Qwen3.6-Chat）分配给 Feasibility、Moderator 等注重效率的 Agent，在质量和成本之间精确调配。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7.2  支持的 API 类型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260"/>
        <w:gridCol w:w="3600"/>
      </w:tblGrid>
      <w:tr>
        <w:trPr>
          <w:tblHeader/>
        </w:trPr>
        <w:tc>
          <w:tcPr>
            <w:tcW w:type="dxa" w:w="25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API 类型</w:t>
            </w:r>
          </w:p>
        </w:tc>
        <w:tc>
          <w:tcPr>
            <w:tcW w:type="dxa" w:w="32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兼容服务</w:t>
            </w:r>
          </w:p>
        </w:tc>
        <w:tc>
          <w:tcPr>
            <w:tcW w:type="dxa" w:w="3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流式支持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openai_compatible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DeepSeek · Qwen · GLM · Ollama · OpenRouter 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✓ 完整支持（generate_stream）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openai_responses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Responses API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（规划中）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anthropic_messages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Anthropic Claude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（规划中）</w:t>
            </w:r>
          </w:p>
        </w:tc>
      </w:tr>
      <w:tr>
        <w:tc>
          <w:tcPr>
            <w:tcW w:type="dxa" w:w="25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local_mock</w:t>
            </w:r>
          </w:p>
        </w:tc>
        <w:tc>
          <w:tcPr>
            <w:tcW w:type="dxa" w:w="32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内置离线 Mock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— （无需）</w:t>
            </w:r>
          </w:p>
        </w:tc>
      </w:tr>
    </w:tbl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7.3  USTC 107 算力平台适配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内置了中国科学技术大学 107 算力平台的完整模型预设，包含 10 个实际可用模型：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高阶推理层：deepseek-v4-pro、glm-5.2（注意含连字符，与旧版 glm5.2 不同）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高效通用层：deepseek-v4-flash、deepseek-v4-flash-ascend、qwen-chat、smart/default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能力增强层：qwen3.6-chat、qwen3.6-reasoner、qwen-reasoner、smart/reasoning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推荐配置（applyRecommendedConfig）会根据模型名称中的关键词自动为 8 个 Agent 分配最适合的模型，重型 Agent 优先使用 deepseek-v4-pro / glm-5.2，轻型 Agent 使用 deepseek-v4-flash / qwen3.6-chat。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8  输出完整性保障机制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8.1  问题背景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大模型在生成长文本时存在「输出截断」问题：在 max_tokens 限制或模型自发中止的情况下，输出可能在关键位置提前终止，导致缺少必要的结束标记、小节或结构性内容。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8.2  Validate-then-Continue 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generate_validated() 函数在每次生成后执行多维度验证：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结束标记检查：每种输出类型（debate / moderator / group_summary / final_report 等）对应不同的结束标记（如 &lt;&lt;&lt;END_OF_AGENT_MESSAGE&gt;&gt;&gt;），缺失则判定为截断。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正文长度检查：各类型有最小长度阈值（debate ≥ 300 字符），过短则判定为无效。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结构完整性检查：debate 类型验证「给结构化 IR 的要点摘要」小节和「外部引用」小节是否存在；final_report 验证必要板块（下一步、证据、风险、阶段）是否存在。</w:t>
      </w:r>
    </w:p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截断检测后的处理策略：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若正文体量已达截断阈值（如 debate ≥ 500 字符），执行「续写模式」：将已有输出作为前缀，拼接一条续写 prompt（含原始任务前 500 字作为上下文提示），请求模型仅输出缺失部分。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若正文极短（≈ 空输出），执行「完整重试」：附上校验失败信息，请求模型重新完整输出。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上述策略最多尝试 2 次，仍失败则抛出 IncompleteModelOutput 异常，触发 run 失败流程。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9  外部引用提取与展示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要求每个 Agent 在发言中引用支撑其论点的外部文献（论文 / 博客 / 数据集 / 书籍），并实现了自动提取与分组展示机制。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9.1  Agent 级引用要求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每个讨论 Agent 的系统提示词中均内嵌了引用要求：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Novelty Agent：每个创新方向至少引用 1 篇支撑新颖性的已发表论文或预印本，格式包含作者、年份、核心结论。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Mechanism Agent：每个机制假设至少引用 1 篇支撑机制路径的文献，若某环节为推理假设须明确标注。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Feasibility Agent：每个可行性判断至少引用 1 篇方法论文、技术标准或公开数据集说明。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Reviewer Agent：每个质疑点引用至少 1 篇相关文献作为对比标准，可为综述或审稿指南。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9.2  引用提取机制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extract_references() 函数对所有 debate_messages 执行二级提取：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优先级 1：在「### 外部引用」专用小节内进行结构化解析，识别 [paper|blog|dataset|book|other] 类型标记的条目。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优先级 2（fallback）：对全文进行正则扫描，识别形如「[作者, 年份]」「PMID:」「arXiv:」等常见引用格式。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9.3  前端展示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「外部论据」页面按引用类型（论文 / 博客 / 数据集 / 书籍 / 其他）分组展示所有外部引用，每条显示标题、作者、年份、被引观点和引用方 Agent，支持 Markdown 渲染和 PDF 导出。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10  前端设计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10.1  三栏布局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采用 USTC 科研门户风格的三栏实验台设计：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左侧导航（220px）：深蓝色（#1A52B8）背景，白色文字，当前页面用白底蓝字药丸标识，6 个功能页面快速切换。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主舞台（弹性）：白色面板展示主要内容——新建讨论、讨论台（按轮次 Tab 切换）、报告、外部论据、历史记录。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右侧情报栏（280px）：显示运行状态、时间线进度、Agent 模型分配、视角覆盖分析和快速操作入口，≤1280px 时自动隐藏。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10.2  视角覆盖元认知（Perspective Coverage）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情报栏中的「视角覆盖」卡片通过纯前端关键词匹配（useMemo）对当前 Run 的全部文本内容进行扫描，实时评估 6 个维度的覆盖情况：机制原理、数据实验、技术方法、资源条件、风险挑战、应用转化。当全部维度均被覆盖时进度条变绿，帮助用户感知讨论的完整性，无需额外 AI 调用。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10.3  Workflow 可视化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讨论台顶部提供 Workflow 流程图（SVG 绘制），直观展示当前运行的 Agent 编排结构：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入口整合 → 第 1 轮并行矩形（4 个 Agent 同时发言）→ Moderator 节点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第 2 轮至第 N 轮：串行链式（N→M→F→R），各 Agent 用角色专属颜色的圆形表示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轮间绕回箭头（Reviewer → 下一轮 Novelty）使用贝塞尔曲线，视觉上清晰表达迭代关系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点击任意轮次节点可直接跳转至该轮讨论内容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10.4  科研阶段自动判断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系统根据模板内容自动识别当前科研阶段（auto-inference），共 4 种阶段：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560"/>
      </w:tblGrid>
      <w:tr>
        <w:trPr>
          <w:tblHeader/>
        </w:trPr>
        <w:tc>
          <w:tcPr>
            <w:tcW w:type="dxa" w:w="2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阶段</w:t>
            </w:r>
          </w:p>
        </w:tc>
        <w:tc>
          <w:tcPr>
            <w:tcW w:type="dxa" w:w="65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触发条件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选题探索（Topic Exploration）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模板字段填充不够丰富，缺少具体实验基础描述，适合初入研究领域的探索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方案收敛（Plan Refinement）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已有基础字段详细（&gt; 80 字符）且重要字段填写充分（≥ 3 个）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结果诊断（Result Diagnosis）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模板中含有量化实验结果或高密度实验设计术语</w:t>
            </w:r>
          </w:p>
        </w:tc>
      </w:tr>
      <w:tr>
        <w:tc>
          <w:tcPr>
            <w:tcW w:type="dxa" w:w="2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转向评估（Pivot Evaluation）</w:t>
            </w:r>
          </w:p>
        </w:tc>
        <w:tc>
          <w:tcPr>
            <w:tcW w:type="dxa" w:w="65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模板中含有「转向」「不成立」「失败」「卡住」等转向信号词</w:t>
            </w:r>
          </w:p>
        </w:tc>
      </w:tr>
    </w:tbl>
    <w:p>
      <w:pPr>
        <w:spacing w:after="80" w:before="0"/>
      </w:pP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阶段信息注入每个 Agent 的 user prompt，指导 Agent 输出重点的调整——例如「方案收敛」阶段不以推荐新选题为主轴，「结果诊断」阶段以定位瓶颈和补充实验设计为主。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11  场景模板与 USTC 适配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11.1  预置场景模板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内置 3 类面向 USTC 研究生群体的场景模板，点击即可一键预填完整模板表单：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本科毕设选题：面向中国科学技术大学本科生，强调本科毕设规模约束（1 年内完成）、导师指导下的可行性和毕业论文要求。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研究生开题构思：面向硕士 / 博士研究生，强调开题报告规范、3 年研究周期规划和学术创新性。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组会讨论预演：面向需要在组会汇报进展的研究生，目标产出为「组会汇报提纲」和「潜在问题应对清单」，帮助提前预判导师和同学可能提出的质疑。</w:t>
      </w:r>
    </w:p>
    <w:p>
      <w:pPr>
        <w:spacing w:after="8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11.2  数据安全与隐私</w:t>
      </w:r>
    </w:p>
    <w:p>
      <w:pPr>
        <w:spacing w:after="80" w:before="6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K-Storm 的设计充分考虑了科研数据的敏感性：</w:t>
      </w:r>
    </w:p>
    <w:p>
      <w:pPr>
        <w:spacing w:after="40" w:before="0"/>
      </w:pP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API Key 仅保存在浏览器 localStorage，不经过 K-Storm 后端服务器，不落入 SQLite 数据库。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全部运行数据存储在用户本地机器的 SQLite 文件（data/ks.sqlite3），完全离线，无云同步。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模型设置写入 SQLite 时自动脱敏：保留供应商、模型列表和 Agent 分配关系，清空 API Key。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12  核心创新点总结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3360"/>
        <w:gridCol w:w="4800"/>
      </w:tblGrid>
      <w:tr>
        <w:trPr>
          <w:tblHeader/>
        </w:trPr>
        <w:tc>
          <w:tcPr>
            <w:tcW w:type="dxa" w:w="12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序号</w:t>
            </w:r>
          </w:p>
        </w:tc>
        <w:tc>
          <w:tcPr>
            <w:tcW w:type="dxa" w:w="3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创新点</w:t>
            </w:r>
          </w:p>
        </w:tc>
        <w:tc>
          <w:tcPr>
            <w:tcW w:type="dxa" w:w="48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技术方案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①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多角色辩论架构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7 个专职 Agent 分工明确，每 Agent 可独立绑定模型；IR 摘要压缩机制解决上下文膨胀问题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②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结构化决策记录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StructuredIRV2 包含候选方向、证据引用、批判点与下一步动作，产出可复盘的科研决策体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③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分层讨论模式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4 种模式覆盖全光谱算力需求，模式间通过跨会话记忆形成知识连续性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④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端到端逐字流式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双 SSE 通道：状态通道 800ms 快照 + token 通道 100ms buffer 推送；幻影卡片无缝过渡至确认消息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⑤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防截断续写机制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Validate-then-Continue：截断检测 + 续写 prompt（保留原始任务前 500 字上下文），避免完整重跑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⑥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断点续运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CANCELED/FAILED 状态下精确恢复：复用已完成 briefing、已有发言和已有 IR，从失败节点继续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⑦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视角覆盖元认知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纯前端关键词匹配（0 AI 调用）评估 6 维视角覆盖率，实时反馈讨论完整性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⑧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科研阶段自适应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自动识别 4 个科研阶段，按阶段调整每个 Agent 的输出重点，避免「选题探索模式」在「结果诊断」场景的错配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⑨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107 平台深度适配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内置 USTC 107 算力平台完整模型列表，推荐配置自动为重型/轻型 Agent 分配最适模型</w:t>
            </w:r>
          </w:p>
        </w:tc>
      </w:tr>
      <w:tr>
        <w:tc>
          <w:tcPr>
            <w:tcW w:type="dxa" w:w="12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⑩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本地优先 + 数据安全</w:t>
            </w:r>
          </w:p>
        </w:tc>
        <w:tc>
          <w:tcPr>
            <w:tcW w:type="dxa" w:w="48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全程本地运行，API Key 不落盘，SQLite 脱敏存储，适合科研环境的数据安全要求</w:t>
            </w:r>
          </w:p>
        </w:tc>
      </w:tr>
    </w:tbl>
    <w:p>
      <w:pPr>
        <w:spacing w:after="80" w:before="0"/>
      </w:pP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13  后续开发路线图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近期（已规划）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TF-IDF 记忆检索引擎：从历史 StructuredIRV2 中提取 MemoryEntry，支持跨 Run 的知识检索。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Critique 独立阶段：在 Moderator 之后引入结构化批判轮次，产出独立的风险评估报告。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PyInstaller 单文件封装：将前后端打包为本机可执行文件，消除 Python / Node 环境依赖。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中期（规划中）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嵌入向量记忆检索：从 TF-IDF 升级至本地 embedding（如 BGE-M3），提升跨会话记忆检索精度。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Agent Critique 制度化：引入独立的证据语义审查 Agent，对 Agent 引用的文献进行真实性交叉校验。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模式升级链路：实现 Quick Probe → Focused Panel → Full Deliberation 的自动化升级路径。</w:t>
      </w:r>
    </w:p>
    <w:p>
      <w:pPr>
        <w:spacing w:after="40" w:before="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A1628"/>
          <w:sz w:val="26"/>
          <w:szCs w:val="26"/>
        </w:rPr>
        <w:t xml:space="preserve">长期（愿景）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与 USTC 文献数据库集成：从预印本数据库实时检索最新论文，为 Agent 引用提供可查证的全文链接。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b w:val="false"/>
          <w:bCs w:val="false"/>
          <w:color w:val="0A1628"/>
          <w:sz w:val="22"/>
          <w:szCs w:val="22"/>
        </w:rPr>
        <w:t xml:space="preserve">协作模式：支持多用户在同一讨论中贡献不同 Agent 的观点，融合人工和 AI 推理。</w:t>
      </w:r>
    </w:p>
    <w:p>
      <w:r>
        <w:br w:type="page"/>
      </w:r>
    </w:p>
    <w:p>
      <w:pPr>
        <w:pStyle w:val="Heading1"/>
        <w:spacing w:after="160" w:before="320"/>
      </w:pPr>
      <w:r>
        <w:rPr>
          <w:rFonts w:ascii="Arial" w:cs="Arial" w:eastAsia="Arial" w:hAnsi="Arial"/>
          <w:b/>
          <w:bCs/>
          <w:color w:val="1A52B8"/>
          <w:sz w:val="32"/>
          <w:szCs w:val="32"/>
        </w:rPr>
        <w:t xml:space="preserve">14  技术栈汇总</w:t>
      </w:r>
    </w:p>
    <w:p>
      <w:pPr>
        <w:spacing w:after="40" w:before="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60"/>
        <w:gridCol w:w="3600"/>
      </w:tblGrid>
      <w:tr>
        <w:trPr>
          <w:tblHeader/>
        </w:trPr>
        <w:tc>
          <w:tcPr>
            <w:tcW w:type="dxa" w:w="24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dxa" w:w="336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技术 / 工具</w:t>
            </w:r>
          </w:p>
        </w:tc>
        <w:tc>
          <w:tcPr>
            <w:tcW w:type="dxa" w:w="3600"/>
            <w:tcBorders>
              <w:top w:val="single" w:color="1A52B8" w:sz="1"/>
              <w:left w:val="single" w:color="1A52B8" w:sz="1"/>
              <w:bottom w:val="single" w:color="1A52B8" w:sz="1"/>
              <w:right w:val="single" w:color="1A52B8" w:sz="1"/>
            </w:tcBorders>
            <w:shd w:fill="1A52B8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版本 / 说明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前端框架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+ Vite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React 19，单文件 JSX（main.jsx ~4000 行），无路由库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后端框架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FastAPI + Uvicorn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Python 3.13，异步 + BackgroundTasks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数据验证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Pydantic v2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RunRecord / TemplateInput / StructuredIRV2 等 20+ schema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数据存储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SQLite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单文件，data/ks.sqlite3，无 ORM，原生 sqlite3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实时通信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SSE（双通道）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Run 状态通道 800ms + Token 流通道 100ms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模型接口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OpenAI Compatible API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标准 /chat/completions，支持 stream=true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文档解析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pdfplumber + python-docx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PDF / DOCX / TXT 三格式上传与文本提取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图标库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lucide-react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SVG 图标，Workflow 图示纯 SVG 手写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样式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纯 CSS（app.css）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CSS 变量 token，USTC 门户风格主题</w:t>
            </w:r>
          </w:p>
        </w:tc>
      </w:tr>
      <w:tr>
        <w:tc>
          <w:tcPr>
            <w:tcW w:type="dxa" w:w="24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版本控制</w:t>
            </w:r>
          </w:p>
        </w:tc>
        <w:tc>
          <w:tcPr>
            <w:tcW w:type="dxa" w:w="336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Git</w:t>
            </w:r>
          </w:p>
        </w:tc>
        <w:tc>
          <w:tcPr>
            <w:tcW w:type="dxa" w:w="3600"/>
            <w:tcBorders>
              <w:top w:val="single" w:color="D6E0F2" w:sz="1"/>
              <w:left w:val="single" w:color="D6E0F2" w:sz="1"/>
              <w:bottom w:val="single" w:color="D6E0F2" w:sz="1"/>
              <w:right w:val="single" w:color="D6E0F2" w:sz="1"/>
            </w:tcBorders>
            <w:shd w:fill="EEF2FA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spacing w:after="40" w:before="40"/>
            </w:pPr>
            <w:r>
              <w:rPr>
                <w:rFonts w:ascii="Arial" w:cs="Arial" w:eastAsia="Arial" w:hAnsi="Arial"/>
                <w:b w:val="false"/>
                <w:bCs w:val="false"/>
                <w:color w:val="0A1628"/>
                <w:sz w:val="20"/>
                <w:szCs w:val="20"/>
              </w:rPr>
              <w:t xml:space="preserve">提交历史覆盖全部功能迭代</w:t>
            </w:r>
          </w:p>
        </w:tc>
      </w:tr>
    </w:tbl>
    <w:p>
      <w:pPr>
        <w:spacing w:after="160" w:before="0"/>
      </w:pPr>
    </w:p>
    <w:p>
      <w:pPr>
        <w:pBdr>
          <w:bottom w:val="single" w:color="D6E0F2" w:sz="4" w:space="1"/>
        </w:pBdr>
        <w:spacing w:after="120" w:before="120"/>
      </w:pPr>
    </w:p>
    <w:p>
      <w:pPr>
        <w:spacing w:after="80" w:before="0"/>
      </w:pPr>
    </w:p>
    <w:p>
      <w:pPr>
        <w:spacing w:after="0" w:before="0"/>
        <w:jc w:val="center"/>
      </w:pP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K-Storm 文档版本 V1.6  ·  </w:t>
      </w: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中国科学技术大学</w:t>
      </w:r>
      <w:r>
        <w:rPr>
          <w:rFonts w:ascii="Arial" w:cs="Arial" w:eastAsia="Arial" w:hAnsi="Arial"/>
          <w:b w:val="false"/>
          <w:bCs w:val="false"/>
          <w:color w:val="7A8BAD"/>
          <w:sz w:val="18"/>
          <w:szCs w:val="18"/>
        </w:rPr>
        <w:t xml:space="preserve">  ·  2026 年 6 月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6E0F2" w:sz="4" w:space="6"/>
      </w:pBdr>
      <w:spacing w:after="0" w:before="0"/>
      <w:jc w:val="center"/>
    </w:pPr>
    <w:r>
      <w:rPr>
        <w:rFonts w:ascii="Arial" w:cs="Arial" w:eastAsia="Arial" w:hAnsi="Arial"/>
        <w:color w:val="7A8BAD"/>
        <w:sz w:val="18"/>
        <w:szCs w:val="18"/>
      </w:rPr>
      <w:t xml:space="preserve">第 </w:t>
    </w:r>
    <w:r>
      <w:rPr>
        <w:rFonts w:ascii="Arial" w:cs="Arial" w:eastAsia="Arial" w:hAnsi="Arial"/>
        <w:color w:val="7A8BAD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7A8BAD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1A52B8" w:sz="4" w:space="6"/>
      </w:pBdr>
      <w:tabs>
        <w:tab w:val="right" w:pos="9026"/>
      </w:tabs>
      <w:spacing w:after="0" w:before="0"/>
    </w:pPr>
    <w:r>
      <w:rPr>
        <w:rFonts w:ascii="Arial" w:cs="Arial" w:eastAsia="Arial" w:hAnsi="Arial"/>
        <w:color w:val="7A8BAD"/>
        <w:sz w:val="18"/>
        <w:szCs w:val="18"/>
      </w:rPr>
      <w:t xml:space="preserve">K-Storm 科研头脑风暴多 Agent 系统</w:t>
    </w:r>
    <w:r>
      <w:rPr>
        <w:rFonts w:ascii="Arial" w:cs="Arial" w:eastAsia="Arial" w:hAnsi="Arial"/>
        <w:color w:val="7A8BAD"/>
        <w:sz w:val="18"/>
        <w:szCs w:val="18"/>
      </w:rPr>
      <w:t xml:space="preserve">	系统设计文档 V1.6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0A162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20"/>
      <w:outlineLvl w:val="0"/>
    </w:pPr>
    <w:rPr>
      <w:rFonts w:ascii="Arial" w:cs="Arial" w:eastAsia="Arial" w:hAnsi="Arial"/>
      <w:b/>
      <w:bCs/>
      <w:color w:val="1A52B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0A1628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color w:val="2C3E6A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2026-06-28T04:50:44.576Z</dcterms:created>
  <dcterms:modified xsi:type="dcterms:W3CDTF">2026-06-28T04:50:44.576Z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