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92A0F" w14:textId="77777777" w:rsidR="00ED1E18" w:rsidRDefault="005A1B8B">
      <w:pPr>
        <w:pStyle w:val="Heading1"/>
      </w:pPr>
      <w:bookmarkStart w:id="0" w:name="methods"/>
      <w:r>
        <w:t>Methods</w:t>
      </w:r>
    </w:p>
    <w:p w14:paraId="4CDF116B" w14:textId="77777777" w:rsidR="00ED1E18" w:rsidRDefault="005A1B8B">
      <w:pPr>
        <w:pStyle w:val="Heading2"/>
      </w:pPr>
      <w:bookmarkStart w:id="1" w:name="participants"/>
      <w:r>
        <w:t>3.1 Participants</w:t>
      </w:r>
    </w:p>
    <w:p w14:paraId="24AC21D8" w14:textId="77777777" w:rsidR="00ED1E18" w:rsidRPr="003E3712" w:rsidRDefault="005A1B8B">
      <w:pPr>
        <w:pStyle w:val="FirstParagraph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 xml:space="preserve">Data were pooled from sleep-laboratory studies at the Tel Aviv Sourasky Medical Center (TASMC) and in Sydney, Australia </w:t>
      </w:r>
      <w:r w:rsidRPr="003E3712">
        <w:rPr>
          <w:rFonts w:ascii="Calibri" w:hAnsi="Calibri" w:cs="Calibri"/>
          <w:b/>
          <w:bCs/>
          <w:sz w:val="22"/>
          <w:szCs w:val="22"/>
        </w:rPr>
        <w:t>[VERIFY: exact Sydney study/site terminology]</w:t>
      </w:r>
      <w:r w:rsidRPr="003E3712">
        <w:rPr>
          <w:rFonts w:ascii="Calibri" w:hAnsi="Calibri" w:cs="Calibri"/>
          <w:sz w:val="22"/>
          <w:szCs w:val="22"/>
        </w:rPr>
        <w:t>. Three groups were analyzed: young healthy controls (n =</w:t>
      </w:r>
      <w:r w:rsidRPr="003E3712">
        <w:rPr>
          <w:rFonts w:ascii="Calibri" w:hAnsi="Calibri" w:cs="Calibri"/>
          <w:sz w:val="22"/>
          <w:szCs w:val="22"/>
        </w:rPr>
        <w:t xml:space="preserve"> 35 </w:t>
      </w:r>
      <w:r w:rsidRPr="003E3712">
        <w:rPr>
          <w:rFonts w:ascii="Calibri" w:hAnsi="Calibri" w:cs="Calibri"/>
          <w:b/>
          <w:bCs/>
          <w:sz w:val="22"/>
          <w:szCs w:val="22"/>
        </w:rPr>
        <w:t>[VERIFY post-run: 35→36 if EL3033 is re-admitted after the re-run]</w:t>
      </w:r>
      <w:r w:rsidRPr="003E3712">
        <w:rPr>
          <w:rFonts w:ascii="Calibri" w:hAnsi="Calibri" w:cs="Calibri"/>
          <w:sz w:val="22"/>
          <w:szCs w:val="22"/>
        </w:rPr>
        <w:t xml:space="preserve">; 27.6 ± 5.0 years, range 21–42; 20 female, 15 male), healthy older adults (n = 38; 66.5 ± 9.9 years, range 49–82; 23 female, 15 male), and patients with mild cognitive impairment (MCI; </w:t>
      </w:r>
      <w:r w:rsidRPr="003E3712">
        <w:rPr>
          <w:rFonts w:ascii="Calibri" w:hAnsi="Calibri" w:cs="Calibri"/>
          <w:sz w:val="22"/>
          <w:szCs w:val="22"/>
        </w:rPr>
        <w:t>n = 31; 67.8 ± 9.0 years, range 46–80; 19 female, 12 male).</w:t>
      </w:r>
    </w:p>
    <w:p w14:paraId="7A9B2B7D" w14:textId="77777777" w:rsidR="00ED1E18" w:rsidRPr="003E3712" w:rsidRDefault="005A1B8B">
      <w:pPr>
        <w:pStyle w:val="BodyText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MCI patients had been referred for subjective cognitive complaints to general practitioners, neurologists, geriatricians, and psychiatrists at the TASMC clinic. Montreal Cognitive Assessment (MoCA</w:t>
      </w:r>
      <w:r w:rsidRPr="003E3712">
        <w:rPr>
          <w:rFonts w:ascii="Calibri" w:hAnsi="Calibri" w:cs="Calibri"/>
          <w:sz w:val="22"/>
          <w:szCs w:val="22"/>
        </w:rPr>
        <w:t xml:space="preserve">) scores were available only for the Tel Aviv older-adult and MCI participants, administered during their stay in the sleep laboratory (older adults 26.9 ± 2.5, n = 18; MCI 21.0 ± 4.1, n = 14). Exclusion criteria are listed in </w:t>
      </w:r>
      <w:r w:rsidRPr="003E3712">
        <w:rPr>
          <w:rFonts w:ascii="Calibri" w:hAnsi="Calibri" w:cs="Calibri"/>
          <w:b/>
          <w:bCs/>
          <w:sz w:val="22"/>
          <w:szCs w:val="22"/>
        </w:rPr>
        <w:t>[VERIFY: finalize and cross-r</w:t>
      </w:r>
      <w:r w:rsidRPr="003E3712">
        <w:rPr>
          <w:rFonts w:ascii="Calibri" w:hAnsi="Calibri" w:cs="Calibri"/>
          <w:b/>
          <w:bCs/>
          <w:sz w:val="22"/>
          <w:szCs w:val="22"/>
        </w:rPr>
        <w:t>eference — placeholder]</w:t>
      </w:r>
      <w:r w:rsidRPr="003E3712">
        <w:rPr>
          <w:rFonts w:ascii="Calibri" w:hAnsi="Calibri" w:cs="Calibri"/>
          <w:sz w:val="22"/>
          <w:szCs w:val="22"/>
        </w:rPr>
        <w:t>. Demographics and data-quality metrics for each group are summarized in Table 1.</w:t>
      </w:r>
    </w:p>
    <w:p w14:paraId="2DE05A50" w14:textId="77777777" w:rsidR="00ED1E18" w:rsidRDefault="005A1B8B">
      <w:pPr>
        <w:pStyle w:val="Heading2"/>
      </w:pPr>
      <w:bookmarkStart w:id="2" w:name="polysomnographic-recordings"/>
      <w:bookmarkEnd w:id="1"/>
      <w:r>
        <w:t>3.2 Polysomnographic recordings</w:t>
      </w:r>
    </w:p>
    <w:p w14:paraId="12F58B4D" w14:textId="77777777" w:rsidR="00ED1E18" w:rsidRPr="003E3712" w:rsidRDefault="005A1B8B">
      <w:pPr>
        <w:pStyle w:val="FirstParagraph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High-density polysomnography (PSG) was recorded throughout the night using a 256-channel recording system (Electrical G</w:t>
      </w:r>
      <w:r w:rsidRPr="003E3712">
        <w:rPr>
          <w:rFonts w:ascii="Calibri" w:hAnsi="Calibri" w:cs="Calibri"/>
          <w:sz w:val="22"/>
          <w:szCs w:val="22"/>
        </w:rPr>
        <w:t xml:space="preserve">eodesics, Inc. [EGI]). Sleep was scored in 30 s epochs according to American Academy of Sleep Medicine (AASM) guidelines, using the sleep module of the Visbrain Python package [@visbrain] </w:t>
      </w:r>
      <w:r w:rsidRPr="003E3712">
        <w:rPr>
          <w:rFonts w:ascii="Calibri" w:hAnsi="Calibri" w:cs="Calibri"/>
          <w:b/>
          <w:bCs/>
          <w:sz w:val="22"/>
          <w:szCs w:val="22"/>
        </w:rPr>
        <w:t>[VERIFY: bib key]</w:t>
      </w:r>
      <w:r w:rsidRPr="003E3712">
        <w:rPr>
          <w:rFonts w:ascii="Calibri" w:hAnsi="Calibri" w:cs="Calibri"/>
          <w:sz w:val="22"/>
          <w:szCs w:val="22"/>
        </w:rPr>
        <w:t xml:space="preserve"> within the SleepEEGPy platform [@sleepeegpy] </w:t>
      </w:r>
      <w:r w:rsidRPr="003E3712">
        <w:rPr>
          <w:rFonts w:ascii="Calibri" w:hAnsi="Calibri" w:cs="Calibri"/>
          <w:b/>
          <w:bCs/>
          <w:sz w:val="22"/>
          <w:szCs w:val="22"/>
        </w:rPr>
        <w:t>[VERI</w:t>
      </w:r>
      <w:r w:rsidRPr="003E3712">
        <w:rPr>
          <w:rFonts w:ascii="Calibri" w:hAnsi="Calibri" w:cs="Calibri"/>
          <w:b/>
          <w:bCs/>
          <w:sz w:val="22"/>
          <w:szCs w:val="22"/>
        </w:rPr>
        <w:t>FY: bib key]</w:t>
      </w:r>
      <w:r w:rsidRPr="003E3712">
        <w:rPr>
          <w:rFonts w:ascii="Calibri" w:hAnsi="Calibri" w:cs="Calibri"/>
          <w:sz w:val="22"/>
          <w:szCs w:val="22"/>
        </w:rPr>
        <w:t>. NREM2 sleep was abundant in all three groups (Figure 1), so group differences in ISFS do not reflect differing amounts of available NREM2 sleep.</w:t>
      </w:r>
    </w:p>
    <w:p w14:paraId="70EDD373" w14:textId="77777777" w:rsidR="00ED1E18" w:rsidRPr="003E3712" w:rsidRDefault="005A1B8B">
      <w:pPr>
        <w:pStyle w:val="BodyText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Electrodes overlying the face, neck, and ears, which do not sit over cortex and are prone to musc</w:t>
      </w:r>
      <w:r w:rsidRPr="003E3712">
        <w:rPr>
          <w:rFonts w:ascii="Calibri" w:hAnsi="Calibri" w:cs="Calibri"/>
          <w:sz w:val="22"/>
          <w:szCs w:val="22"/>
        </w:rPr>
        <w:t>le and movement artifact, were excluded from analysis, leaving 176 channels (including the vertex reference) for the analysis pipeline.</w:t>
      </w:r>
    </w:p>
    <w:p w14:paraId="6ED5D1BE" w14:textId="77777777" w:rsidR="00ED1E18" w:rsidRPr="003E3712" w:rsidRDefault="005A1B8B">
      <w:pPr>
        <w:pStyle w:val="BodyText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Recordings were resampled to 250 Hz, notch-filtered at 50 and 100 Hz with a zero-phase FIR filter to remove line noise a</w:t>
      </w:r>
      <w:r w:rsidRPr="003E3712">
        <w:rPr>
          <w:rFonts w:ascii="Calibri" w:hAnsi="Calibri" w:cs="Calibri"/>
          <w:sz w:val="22"/>
          <w:szCs w:val="22"/>
        </w:rPr>
        <w:t>nd its first harmonic, and band-pass filtered between 0.1 and 40 Hz with a zero-phase FIR filter.</w:t>
      </w:r>
    </w:p>
    <w:p w14:paraId="1BDC66AE" w14:textId="77777777" w:rsidR="00ED1E18" w:rsidRPr="003E3712" w:rsidRDefault="005A1B8B">
      <w:pPr>
        <w:pStyle w:val="BodyText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Bad channels and artifactual epochs were rejected with a semi-automatic procedure, in which each recording was inspected visually over its full duration. Data</w:t>
      </w:r>
      <w:r w:rsidRPr="003E3712">
        <w:rPr>
          <w:rFonts w:ascii="Calibri" w:hAnsi="Calibri" w:cs="Calibri"/>
          <w:sz w:val="22"/>
          <w:szCs w:val="22"/>
        </w:rPr>
        <w:t xml:space="preserve"> were then re-referenced to the common average reference, and channels rejected as bad were interpolated from neighboring channels.</w:t>
      </w:r>
    </w:p>
    <w:p w14:paraId="715BD00A" w14:textId="77777777" w:rsidR="00ED1E18" w:rsidRDefault="005A1B8B">
      <w:pPr>
        <w:pStyle w:val="Heading2"/>
      </w:pPr>
      <w:bookmarkStart w:id="3" w:name="nrem2-bout-extraction"/>
      <w:bookmarkEnd w:id="2"/>
      <w:r>
        <w:t>3.3 NREM2 bout extraction</w:t>
      </w:r>
    </w:p>
    <w:p w14:paraId="6A48FDA0" w14:textId="77777777" w:rsidR="00ED1E18" w:rsidRPr="003E3712" w:rsidRDefault="005A1B8B">
      <w:pPr>
        <w:pStyle w:val="FirstParagraph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Clean NREM2 bouts were extracted by splitting each scored NREM2 period around any overlapping arti</w:t>
      </w:r>
      <w:r w:rsidRPr="003E3712">
        <w:rPr>
          <w:rFonts w:ascii="Calibri" w:hAnsi="Calibri" w:cs="Calibri"/>
          <w:sz w:val="22"/>
          <w:szCs w:val="22"/>
        </w:rPr>
        <w:t xml:space="preserve">fact annotation and retaining only segments of at least 300 s. The 300 s minimum ensures that each bout contains at least two complete cycles of the lowest frequency of interest (0.0075 Hz, period ≈ 133 s). Each retained bout was analyzed independently. </w:t>
      </w:r>
      <w:r w:rsidRPr="003E3712">
        <w:rPr>
          <w:rFonts w:ascii="Calibri" w:hAnsi="Calibri" w:cs="Calibri"/>
          <w:b/>
          <w:bCs/>
          <w:sz w:val="22"/>
          <w:szCs w:val="22"/>
        </w:rPr>
        <w:t>[V</w:t>
      </w:r>
      <w:r w:rsidRPr="003E3712">
        <w:rPr>
          <w:rFonts w:ascii="Calibri" w:hAnsi="Calibri" w:cs="Calibri"/>
          <w:b/>
          <w:bCs/>
          <w:sz w:val="22"/>
          <w:szCs w:val="22"/>
        </w:rPr>
        <w:t>ERIFY post-run: per-group bout counts / total clean NREM2 duration for Figure 1 and Results 4.1.]</w:t>
      </w:r>
    </w:p>
    <w:p w14:paraId="0D36D5D8" w14:textId="77777777" w:rsidR="00ED1E18" w:rsidRDefault="005A1B8B">
      <w:pPr>
        <w:pStyle w:val="Heading2"/>
      </w:pPr>
      <w:bookmarkStart w:id="4" w:name="isfs-feature-extraction"/>
      <w:bookmarkEnd w:id="3"/>
      <w:r>
        <w:lastRenderedPageBreak/>
        <w:t>3.4 ISFS feature extraction</w:t>
      </w:r>
    </w:p>
    <w:p w14:paraId="0BB67678" w14:textId="77777777" w:rsidR="00ED1E18" w:rsidRPr="003E3712" w:rsidRDefault="005A1B8B">
      <w:pPr>
        <w:pStyle w:val="FirstParagraph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ISFS features were computed with a pipeline duplicated and extended from Dimitriades et al. (2024) [@dimitriades2024isfs], adapted</w:t>
      </w:r>
      <w:r w:rsidRPr="003E3712">
        <w:rPr>
          <w:rFonts w:ascii="Calibri" w:hAnsi="Calibri" w:cs="Calibri"/>
          <w:sz w:val="22"/>
          <w:szCs w:val="22"/>
        </w:rPr>
        <w:t xml:space="preserve"> here from their 128-channel montage to the 256-channel EGI system. The conceptual steps and a worked single-channel example are shown in Figure 2a–c.</w:t>
      </w:r>
    </w:p>
    <w:p w14:paraId="71EB9981" w14:textId="77777777" w:rsidR="00ED1E18" w:rsidRPr="003E3712" w:rsidRDefault="005A1B8B">
      <w:pPr>
        <w:pStyle w:val="BodyText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For each channel, the sigma-band (13–16 Hz) amplitude envelope was obtained with a Gabor–Morlet wavelet t</w:t>
      </w:r>
      <w:r w:rsidRPr="003E3712">
        <w:rPr>
          <w:rFonts w:ascii="Calibri" w:hAnsi="Calibri" w:cs="Calibri"/>
          <w:sz w:val="22"/>
          <w:szCs w:val="22"/>
        </w:rPr>
        <w:t>ransform, implemented as frequency-domain convolution via the FFT. Wavelets spanned 13.0–16.0 Hz in 0.2 Hz steps with a fixed width of 4 cycles, and the resulting complex coefficients gave the time-varying sigma-power envelope.</w:t>
      </w:r>
    </w:p>
    <w:p w14:paraId="766CE7BD" w14:textId="77777777" w:rsidR="00ED1E18" w:rsidRPr="003E3712" w:rsidRDefault="005A1B8B">
      <w:pPr>
        <w:pStyle w:val="BodyText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For each clean bout, the env</w:t>
      </w:r>
      <w:r w:rsidRPr="003E3712">
        <w:rPr>
          <w:rFonts w:ascii="Calibri" w:hAnsi="Calibri" w:cs="Calibri"/>
          <w:sz w:val="22"/>
          <w:szCs w:val="22"/>
        </w:rPr>
        <w:t>elope was mean-subtracted to remove the DC component and Fourier-transformed; the squared-magnitude spectrum was interpolated onto a common frequency axis and normalized by its own mean. If the spectral maximum fell within the lowest frequency bins (0–0.00</w:t>
      </w:r>
      <w:r w:rsidRPr="003E3712">
        <w:rPr>
          <w:rFonts w:ascii="Calibri" w:hAnsi="Calibri" w:cs="Calibri"/>
          <w:sz w:val="22"/>
          <w:szCs w:val="22"/>
        </w:rPr>
        <w:t>6 Hz), those bins were discarded to suppress residual low-frequency drift. The normalized bout spectra were averaged within a channel, and a baseline estimated from 0.06–0.10 Hz, above the ISFS band, was subtracted to flatten the spectral floor.</w:t>
      </w:r>
    </w:p>
    <w:p w14:paraId="4B0343DB" w14:textId="77777777" w:rsidR="00ED1E18" w:rsidRPr="003E3712" w:rsidRDefault="005A1B8B">
      <w:pPr>
        <w:pStyle w:val="BodyText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A Gaussian</w:t>
      </w:r>
      <w:r w:rsidRPr="003E3712">
        <w:rPr>
          <w:rFonts w:ascii="Calibri" w:hAnsi="Calibri" w:cs="Calibri"/>
          <w:sz w:val="22"/>
          <w:szCs w:val="22"/>
        </w:rPr>
        <w:t xml:space="preserve">, </w:t>
      </w:r>
      <w:r w:rsidRPr="003E3712">
        <w:rPr>
          <w:rFonts w:ascii="Calibri" w:hAnsi="Calibri" w:cs="Calibri"/>
          <w:i/>
          <w:iCs/>
          <w:sz w:val="22"/>
          <w:szCs w:val="22"/>
        </w:rPr>
        <w:t>a</w:t>
      </w:r>
      <w:r w:rsidRPr="003E3712">
        <w:rPr>
          <w:rFonts w:ascii="Calibri" w:hAnsi="Calibri" w:cs="Calibri"/>
          <w:sz w:val="22"/>
          <w:szCs w:val="22"/>
        </w:rPr>
        <w:t>·exp(−((</w:t>
      </w:r>
      <w:r w:rsidRPr="003E3712">
        <w:rPr>
          <w:rFonts w:ascii="Calibri" w:hAnsi="Calibri" w:cs="Calibri"/>
          <w:i/>
          <w:iCs/>
          <w:sz w:val="22"/>
          <w:szCs w:val="22"/>
        </w:rPr>
        <w:t>f</w:t>
      </w:r>
      <w:r w:rsidRPr="003E3712">
        <w:rPr>
          <w:rFonts w:ascii="Calibri" w:hAnsi="Calibri" w:cs="Calibri"/>
          <w:sz w:val="22"/>
          <w:szCs w:val="22"/>
        </w:rPr>
        <w:t>−</w:t>
      </w:r>
      <w:r w:rsidRPr="003E3712">
        <w:rPr>
          <w:rFonts w:ascii="Calibri" w:hAnsi="Calibri" w:cs="Calibri"/>
          <w:i/>
          <w:iCs/>
          <w:sz w:val="22"/>
          <w:szCs w:val="22"/>
        </w:rPr>
        <w:t>b</w:t>
      </w:r>
      <w:r w:rsidRPr="003E3712">
        <w:rPr>
          <w:rFonts w:ascii="Calibri" w:hAnsi="Calibri" w:cs="Calibri"/>
          <w:sz w:val="22"/>
          <w:szCs w:val="22"/>
        </w:rPr>
        <w:t>)/</w:t>
      </w:r>
      <w:r w:rsidRPr="003E3712">
        <w:rPr>
          <w:rFonts w:ascii="Calibri" w:hAnsi="Calibri" w:cs="Calibri"/>
          <w:i/>
          <w:iCs/>
          <w:sz w:val="22"/>
          <w:szCs w:val="22"/>
        </w:rPr>
        <w:t>c</w:t>
      </w:r>
      <w:r w:rsidRPr="003E3712">
        <w:rPr>
          <w:rFonts w:ascii="Calibri" w:hAnsi="Calibri" w:cs="Calibri"/>
          <w:sz w:val="22"/>
          <w:szCs w:val="22"/>
        </w:rPr>
        <w:t xml:space="preserve">)²), was fitted to the baseline-corrected mean spectrum by nonlinear least squares. A fit was accepted only if its peak amplitude exceeded the detection threshold (1.5 times the standard deviation of the spectrum), its peak frequency fell </w:t>
      </w:r>
      <w:r w:rsidRPr="003E3712">
        <w:rPr>
          <w:rFonts w:ascii="Calibri" w:hAnsi="Calibri" w:cs="Calibri"/>
          <w:sz w:val="22"/>
          <w:szCs w:val="22"/>
        </w:rPr>
        <w:t xml:space="preserve">within the ISFS band 0.0075–0.04 Hz, and the area under the fitted curve was positive. From each accepted fit we extracted three per-channel ISFS parameters: </w:t>
      </w:r>
      <w:r w:rsidRPr="003E3712">
        <w:rPr>
          <w:rFonts w:ascii="Calibri" w:hAnsi="Calibri" w:cs="Calibri"/>
          <w:b/>
          <w:bCs/>
          <w:sz w:val="22"/>
          <w:szCs w:val="22"/>
        </w:rPr>
        <w:t>peak frequency</w:t>
      </w:r>
      <w:r w:rsidRPr="003E3712">
        <w:rPr>
          <w:rFonts w:ascii="Calibri" w:hAnsi="Calibri" w:cs="Calibri"/>
          <w:sz w:val="22"/>
          <w:szCs w:val="22"/>
        </w:rPr>
        <w:t xml:space="preserve"> (the frequency of the fitted maximum), </w:t>
      </w:r>
      <w:r w:rsidRPr="003E3712">
        <w:rPr>
          <w:rFonts w:ascii="Calibri" w:hAnsi="Calibri" w:cs="Calibri"/>
          <w:b/>
          <w:bCs/>
          <w:sz w:val="22"/>
          <w:szCs w:val="22"/>
        </w:rPr>
        <w:t>bandwidth</w:t>
      </w:r>
      <w:r w:rsidRPr="003E3712">
        <w:rPr>
          <w:rFonts w:ascii="Calibri" w:hAnsi="Calibri" w:cs="Calibri"/>
          <w:sz w:val="22"/>
          <w:szCs w:val="22"/>
        </w:rPr>
        <w:t xml:space="preserve"> (the width of the </w:t>
      </w:r>
      <w:r w:rsidRPr="003E3712">
        <w:rPr>
          <w:rFonts w:ascii="Calibri" w:hAnsi="Calibri" w:cs="Calibri"/>
          <w:i/>
          <w:iCs/>
          <w:sz w:val="22"/>
          <w:szCs w:val="22"/>
        </w:rPr>
        <w:t>b</w:t>
      </w:r>
      <w:r w:rsidRPr="003E3712">
        <w:rPr>
          <w:rFonts w:ascii="Calibri" w:hAnsi="Calibri" w:cs="Calibri"/>
          <w:sz w:val="22"/>
          <w:szCs w:val="22"/>
        </w:rPr>
        <w:t xml:space="preserve"> ± |</w:t>
      </w:r>
      <w:r w:rsidRPr="003E3712">
        <w:rPr>
          <w:rFonts w:ascii="Calibri" w:hAnsi="Calibri" w:cs="Calibri"/>
          <w:i/>
          <w:iCs/>
          <w:sz w:val="22"/>
          <w:szCs w:val="22"/>
        </w:rPr>
        <w:t>c</w:t>
      </w:r>
      <w:r w:rsidRPr="003E3712">
        <w:rPr>
          <w:rFonts w:ascii="Calibri" w:hAnsi="Calibri" w:cs="Calibri"/>
          <w:sz w:val="22"/>
          <w:szCs w:val="22"/>
        </w:rPr>
        <w:t>| band), a</w:t>
      </w:r>
      <w:r w:rsidRPr="003E3712">
        <w:rPr>
          <w:rFonts w:ascii="Calibri" w:hAnsi="Calibri" w:cs="Calibri"/>
          <w:sz w:val="22"/>
          <w:szCs w:val="22"/>
        </w:rPr>
        <w:t xml:space="preserve">nd </w:t>
      </w:r>
      <w:r w:rsidRPr="003E3712">
        <w:rPr>
          <w:rFonts w:ascii="Calibri" w:hAnsi="Calibri" w:cs="Calibri"/>
          <w:b/>
          <w:bCs/>
          <w:sz w:val="22"/>
          <w:szCs w:val="22"/>
        </w:rPr>
        <w:t>AUC</w:t>
      </w:r>
      <w:r w:rsidRPr="003E3712">
        <w:rPr>
          <w:rFonts w:ascii="Calibri" w:hAnsi="Calibri" w:cs="Calibri"/>
          <w:sz w:val="22"/>
          <w:szCs w:val="22"/>
        </w:rPr>
        <w:t xml:space="preserve"> (the integral of the fitted Gaussian over </w:t>
      </w:r>
      <w:r w:rsidRPr="003E3712">
        <w:rPr>
          <w:rFonts w:ascii="Calibri" w:hAnsi="Calibri" w:cs="Calibri"/>
          <w:i/>
          <w:iCs/>
          <w:sz w:val="22"/>
          <w:szCs w:val="22"/>
        </w:rPr>
        <w:t>b</w:t>
      </w:r>
      <w:r w:rsidRPr="003E3712">
        <w:rPr>
          <w:rFonts w:ascii="Calibri" w:hAnsi="Calibri" w:cs="Calibri"/>
          <w:sz w:val="22"/>
          <w:szCs w:val="22"/>
        </w:rPr>
        <w:t xml:space="preserve"> ± |</w:t>
      </w:r>
      <w:r w:rsidRPr="003E3712">
        <w:rPr>
          <w:rFonts w:ascii="Calibri" w:hAnsi="Calibri" w:cs="Calibri"/>
          <w:i/>
          <w:iCs/>
          <w:sz w:val="22"/>
          <w:szCs w:val="22"/>
        </w:rPr>
        <w:t>c</w:t>
      </w:r>
      <w:r w:rsidRPr="003E3712">
        <w:rPr>
          <w:rFonts w:ascii="Calibri" w:hAnsi="Calibri" w:cs="Calibri"/>
          <w:sz w:val="22"/>
          <w:szCs w:val="22"/>
        </w:rPr>
        <w:t>|). Channels whose fit failed validation yielded no ISFS values and were treated as missing. Subjects in whom a valid fit was obtained in fewer than 20% of channels were classified as ISFS-absent and e</w:t>
      </w:r>
      <w:r w:rsidRPr="003E3712">
        <w:rPr>
          <w:rFonts w:ascii="Calibri" w:hAnsi="Calibri" w:cs="Calibri"/>
          <w:sz w:val="22"/>
          <w:szCs w:val="22"/>
        </w:rPr>
        <w:t xml:space="preserve">xcluded from the group analyses. </w:t>
      </w:r>
      <w:r w:rsidRPr="003E3712">
        <w:rPr>
          <w:rFonts w:ascii="Calibri" w:hAnsi="Calibri" w:cs="Calibri"/>
          <w:b/>
          <w:bCs/>
          <w:sz w:val="22"/>
          <w:szCs w:val="22"/>
        </w:rPr>
        <w:t>[VERIFY post-run: per-group ISFS detection rates from the re-run.]</w:t>
      </w:r>
    </w:p>
    <w:p w14:paraId="574F0EAF" w14:textId="77777777" w:rsidR="00ED1E18" w:rsidRDefault="005A1B8B">
      <w:pPr>
        <w:pStyle w:val="Heading2"/>
      </w:pPr>
      <w:bookmarkStart w:id="5" w:name="region-of-interest"/>
      <w:bookmarkEnd w:id="4"/>
      <w:r>
        <w:t>3.5 Region of interest</w:t>
      </w:r>
    </w:p>
    <w:p w14:paraId="0EF33F85" w14:textId="77777777" w:rsidR="00ED1E18" w:rsidRPr="003E3712" w:rsidRDefault="005A1B8B">
      <w:pPr>
        <w:pStyle w:val="FirstParagraph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A central-parietal region of interest (ROI) was defined a priori from the young-adult AUC hotspot reported by Dimitriades et al. (202</w:t>
      </w:r>
      <w:r w:rsidRPr="003E3712">
        <w:rPr>
          <w:rFonts w:ascii="Calibri" w:hAnsi="Calibri" w:cs="Calibri"/>
          <w:sz w:val="22"/>
          <w:szCs w:val="22"/>
        </w:rPr>
        <w:t>4) [@dimitriades2024isfs]. Their 128-channel hotspot was mapped onto the 256-channel EGI layout by spatial correspondence, giving a fixed set of central-parietal electrodes (Figure 2d). The ROI was fixed before any group comparison, was identical for all s</w:t>
      </w:r>
      <w:r w:rsidRPr="003E3712">
        <w:rPr>
          <w:rFonts w:ascii="Calibri" w:hAnsi="Calibri" w:cs="Calibri"/>
          <w:sz w:val="22"/>
          <w:szCs w:val="22"/>
        </w:rPr>
        <w:t>ubjects and groups, and was used specifically to compare the AUC parameter across the three groups (Section 3.6).</w:t>
      </w:r>
    </w:p>
    <w:p w14:paraId="24D89308" w14:textId="77777777" w:rsidR="00ED1E18" w:rsidRDefault="005A1B8B">
      <w:pPr>
        <w:pStyle w:val="Heading2"/>
      </w:pPr>
      <w:bookmarkStart w:id="6" w:name="statistical-analysis"/>
      <w:bookmarkEnd w:id="5"/>
      <w:r>
        <w:t>3.6 Statistical analysis</w:t>
      </w:r>
    </w:p>
    <w:p w14:paraId="238D58D9" w14:textId="77777777" w:rsidR="00ED1E18" w:rsidRPr="003E3712" w:rsidRDefault="005A1B8B">
      <w:pPr>
        <w:pStyle w:val="FirstParagraph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>Group comparisons were performed at three levels: whole-scalp, topographic, and within the ROI.</w:t>
      </w:r>
    </w:p>
    <w:p w14:paraId="0096467E" w14:textId="77777777" w:rsidR="00ED1E18" w:rsidRPr="003E3712" w:rsidRDefault="005A1B8B">
      <w:pPr>
        <w:pStyle w:val="BodyText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b/>
          <w:bCs/>
          <w:sz w:val="22"/>
          <w:szCs w:val="22"/>
        </w:rPr>
        <w:t>Whole-scalp.</w:t>
      </w:r>
      <w:r w:rsidRPr="003E3712">
        <w:rPr>
          <w:rFonts w:ascii="Calibri" w:hAnsi="Calibri" w:cs="Calibri"/>
          <w:sz w:val="22"/>
          <w:szCs w:val="22"/>
        </w:rPr>
        <w:t xml:space="preserve"> For each</w:t>
      </w:r>
      <w:r w:rsidRPr="003E3712">
        <w:rPr>
          <w:rFonts w:ascii="Calibri" w:hAnsi="Calibri" w:cs="Calibri"/>
          <w:sz w:val="22"/>
          <w:szCs w:val="22"/>
        </w:rPr>
        <w:t xml:space="preserve"> ISFS parameter, each subject contributed a single value: the mean across all channels with an accepted fit. Per-group normality and variance homogeneity were checked with Shapiro–Wilk and Levene’s tests. The three-group omnibus test was a one-way ANOVA wh</w:t>
      </w:r>
      <w:r w:rsidRPr="003E3712">
        <w:rPr>
          <w:rFonts w:ascii="Calibri" w:hAnsi="Calibri" w:cs="Calibri"/>
          <w:sz w:val="22"/>
          <w:szCs w:val="22"/>
        </w:rPr>
        <w:t>en all groups were normal and a Kruskal–Wallis test otherwise, with effect size reported as η². When the omnibus was significant, post-hoc pairwise comparisons used Tukey’s HSD (after ANOVA) or Dunn’s test with Holm correction (after Kruskal–Wallis).</w:t>
      </w:r>
    </w:p>
    <w:p w14:paraId="201AF218" w14:textId="77777777" w:rsidR="00ED1E18" w:rsidRPr="003E3712" w:rsidRDefault="005A1B8B">
      <w:pPr>
        <w:pStyle w:val="BodyText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b/>
          <w:bCs/>
          <w:sz w:val="22"/>
          <w:szCs w:val="22"/>
        </w:rPr>
        <w:t>Topog</w:t>
      </w:r>
      <w:r w:rsidRPr="003E3712">
        <w:rPr>
          <w:rFonts w:ascii="Calibri" w:hAnsi="Calibri" w:cs="Calibri"/>
          <w:b/>
          <w:bCs/>
          <w:sz w:val="22"/>
          <w:szCs w:val="22"/>
        </w:rPr>
        <w:t>raphic.</w:t>
      </w:r>
      <w:r w:rsidRPr="003E3712">
        <w:rPr>
          <w:rFonts w:ascii="Calibri" w:hAnsi="Calibri" w:cs="Calibri"/>
          <w:sz w:val="22"/>
          <w:szCs w:val="22"/>
        </w:rPr>
        <w:t xml:space="preserve"> Spatial group differences were tested with cluster-based permutation tests (MNE-Python [@gramfort2013mne] </w:t>
      </w:r>
      <w:r w:rsidRPr="003E3712">
        <w:rPr>
          <w:rFonts w:ascii="Calibri" w:hAnsi="Calibri" w:cs="Calibri"/>
          <w:b/>
          <w:bCs/>
          <w:sz w:val="22"/>
          <w:szCs w:val="22"/>
        </w:rPr>
        <w:t>[VERIFY: bib key]</w:t>
      </w:r>
      <w:r w:rsidRPr="003E3712">
        <w:rPr>
          <w:rFonts w:ascii="Calibri" w:hAnsi="Calibri" w:cs="Calibri"/>
          <w:sz w:val="22"/>
          <w:szCs w:val="22"/>
        </w:rPr>
        <w:t>). Channel adjacency was derived from the EGI 256-channel montage. The three-group analysis used an F-statistic with the clus</w:t>
      </w:r>
      <w:r w:rsidRPr="003E3712">
        <w:rPr>
          <w:rFonts w:ascii="Calibri" w:hAnsi="Calibri" w:cs="Calibri"/>
          <w:sz w:val="22"/>
          <w:szCs w:val="22"/>
        </w:rPr>
        <w:t xml:space="preserve">ter-forming threshold set at the p = </w:t>
      </w:r>
      <w:r w:rsidRPr="003E3712">
        <w:rPr>
          <w:rFonts w:ascii="Calibri" w:hAnsi="Calibri" w:cs="Calibri"/>
          <w:sz w:val="22"/>
          <w:szCs w:val="22"/>
        </w:rPr>
        <w:lastRenderedPageBreak/>
        <w:t>0.05 F-critical value (one-tailed), 5000 permutations. Tukey–Kramer post-hoc tests were run at each electrode of any significant cluster to localize the pairwise differences.</w:t>
      </w:r>
    </w:p>
    <w:p w14:paraId="44C63D8A" w14:textId="77777777" w:rsidR="00ED1E18" w:rsidRPr="003E3712" w:rsidRDefault="005A1B8B">
      <w:pPr>
        <w:pStyle w:val="BodyText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b/>
          <w:bCs/>
          <w:sz w:val="22"/>
          <w:szCs w:val="22"/>
        </w:rPr>
        <w:t>ROI and normalization.</w:t>
      </w:r>
      <w:r w:rsidRPr="003E3712">
        <w:rPr>
          <w:rFonts w:ascii="Calibri" w:hAnsi="Calibri" w:cs="Calibri"/>
          <w:sz w:val="22"/>
          <w:szCs w:val="22"/>
        </w:rPr>
        <w:t xml:space="preserve"> For the ROI analysis </w:t>
      </w:r>
      <w:r w:rsidRPr="003E3712">
        <w:rPr>
          <w:rFonts w:ascii="Calibri" w:hAnsi="Calibri" w:cs="Calibri"/>
          <w:sz w:val="22"/>
          <w:szCs w:val="22"/>
        </w:rPr>
        <w:t>and for normalized topographies, each subject’s per-channel values were first normalized by that subject’s whole-scalp mean of the metric, and only then restricted to the ROI; normalizing within the ROI was deliberately avoided because it forces the ROI me</w:t>
      </w:r>
      <w:r w:rsidRPr="003E3712">
        <w:rPr>
          <w:rFonts w:ascii="Calibri" w:hAnsi="Calibri" w:cs="Calibri"/>
          <w:sz w:val="22"/>
          <w:szCs w:val="22"/>
        </w:rPr>
        <w:t>an toward 1 by construction. The normalized AUC value per subject was the mean over the ROI channels, compared across groups with the same omnibus and post-hoc scheme as the whole-scalp analysis.</w:t>
      </w:r>
    </w:p>
    <w:p w14:paraId="0433ACAB" w14:textId="77777777" w:rsidR="00ED1E18" w:rsidRPr="003E3712" w:rsidRDefault="005A1B8B">
      <w:pPr>
        <w:pStyle w:val="BodyText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 xml:space="preserve">Throughout, the group mean displayed on a topography is the </w:t>
      </w:r>
      <w:r w:rsidRPr="003E3712">
        <w:rPr>
          <w:rFonts w:ascii="Calibri" w:hAnsi="Calibri" w:cs="Calibri"/>
          <w:sz w:val="22"/>
          <w:szCs w:val="22"/>
        </w:rPr>
        <w:t>mean of the per-subject means, computed independently of the plotted image and matching the violin-plot statistic; missing channels in a topographic image were filled by spatial neighbor imputation for display only, never for the group statistics. Correlat</w:t>
      </w:r>
      <w:r w:rsidRPr="003E3712">
        <w:rPr>
          <w:rFonts w:ascii="Calibri" w:hAnsi="Calibri" w:cs="Calibri"/>
          <w:sz w:val="22"/>
          <w:szCs w:val="22"/>
        </w:rPr>
        <w:t>ions between ISFS parameters and MoCA were assessed within the pooled older-adult and MCI sample.</w:t>
      </w:r>
    </w:p>
    <w:p w14:paraId="4D73C987" w14:textId="77777777" w:rsidR="00ED1E18" w:rsidRDefault="005A1B8B">
      <w:pPr>
        <w:pStyle w:val="Heading2"/>
      </w:pPr>
      <w:bookmarkStart w:id="7" w:name="software"/>
      <w:bookmarkEnd w:id="6"/>
      <w:r>
        <w:t>3.7 Software</w:t>
      </w:r>
    </w:p>
    <w:p w14:paraId="6E071CBA" w14:textId="77777777" w:rsidR="00ED1E18" w:rsidRPr="003E3712" w:rsidRDefault="005A1B8B">
      <w:pPr>
        <w:pStyle w:val="FirstParagraph"/>
        <w:rPr>
          <w:rFonts w:ascii="Calibri" w:hAnsi="Calibri" w:cs="Calibri"/>
          <w:sz w:val="22"/>
          <w:szCs w:val="22"/>
        </w:rPr>
      </w:pPr>
      <w:r w:rsidRPr="003E3712">
        <w:rPr>
          <w:rFonts w:ascii="Calibri" w:hAnsi="Calibri" w:cs="Calibri"/>
          <w:sz w:val="22"/>
          <w:szCs w:val="22"/>
        </w:rPr>
        <w:t xml:space="preserve">Analyses used Python with MNE-Python [@gramfort2013mne] </w:t>
      </w:r>
      <w:r w:rsidRPr="003E3712">
        <w:rPr>
          <w:rFonts w:ascii="Calibri" w:hAnsi="Calibri" w:cs="Calibri"/>
          <w:b/>
          <w:bCs/>
          <w:sz w:val="22"/>
          <w:szCs w:val="22"/>
        </w:rPr>
        <w:t>[VERIFY: bib key]</w:t>
      </w:r>
      <w:r w:rsidRPr="003E3712">
        <w:rPr>
          <w:rFonts w:ascii="Calibri" w:hAnsi="Calibri" w:cs="Calibri"/>
          <w:sz w:val="22"/>
          <w:szCs w:val="22"/>
        </w:rPr>
        <w:t xml:space="preserve">, NumPy, SciPy, pandas, and statsmodels. YASA [@vallat2021yasa] </w:t>
      </w:r>
      <w:r w:rsidRPr="003E3712">
        <w:rPr>
          <w:rFonts w:ascii="Calibri" w:hAnsi="Calibri" w:cs="Calibri"/>
          <w:b/>
          <w:bCs/>
          <w:sz w:val="22"/>
          <w:szCs w:val="22"/>
        </w:rPr>
        <w:t>[VERIFY: bib key]</w:t>
      </w:r>
      <w:r w:rsidRPr="003E3712">
        <w:rPr>
          <w:rFonts w:ascii="Calibri" w:hAnsi="Calibri" w:cs="Calibri"/>
          <w:sz w:val="22"/>
          <w:szCs w:val="22"/>
        </w:rPr>
        <w:t xml:space="preserve"> was used only to detect the spindles illustrated in Figure 2a and was not part of the ISFS analysis itself.</w:t>
      </w:r>
      <w:bookmarkEnd w:id="0"/>
      <w:bookmarkEnd w:id="7"/>
    </w:p>
    <w:sectPr w:rsidR="00ED1E18" w:rsidRPr="003E371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2D1E9" w14:textId="77777777" w:rsidR="005A1B8B" w:rsidRDefault="005A1B8B">
      <w:pPr>
        <w:spacing w:after="0"/>
      </w:pPr>
      <w:r>
        <w:separator/>
      </w:r>
    </w:p>
  </w:endnote>
  <w:endnote w:type="continuationSeparator" w:id="0">
    <w:p w14:paraId="5B87F503" w14:textId="77777777" w:rsidR="005A1B8B" w:rsidRDefault="005A1B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2481F" w14:textId="77777777" w:rsidR="005A1B8B" w:rsidRDefault="005A1B8B">
      <w:r>
        <w:separator/>
      </w:r>
    </w:p>
  </w:footnote>
  <w:footnote w:type="continuationSeparator" w:id="0">
    <w:p w14:paraId="68600D39" w14:textId="77777777" w:rsidR="005A1B8B" w:rsidRDefault="005A1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3C2E0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E18"/>
    <w:rsid w:val="003E3712"/>
    <w:rsid w:val="005A1B8B"/>
    <w:rsid w:val="00AE1666"/>
    <w:rsid w:val="00ED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D96D"/>
  <w15:docId w15:val="{5A028BD1-8A62-4EC8-B6C6-80A5DD8CE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1162</Words>
  <Characters>6627</Characters>
  <Application>Microsoft Office Word</Application>
  <DocSecurity>0</DocSecurity>
  <Lines>55</Lines>
  <Paragraphs>15</Paragraphs>
  <ScaleCrop>false</ScaleCrop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Shaked</cp:lastModifiedBy>
  <cp:revision>3</cp:revision>
  <dcterms:created xsi:type="dcterms:W3CDTF">2026-06-07T13:03:00Z</dcterms:created>
  <dcterms:modified xsi:type="dcterms:W3CDTF">2026-06-07T13:06:00Z</dcterms:modified>
</cp:coreProperties>
</file>