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D7A0" w14:textId="65C4F388" w:rsidR="008865A4" w:rsidRDefault="008865A4" w:rsidP="00184F96">
      <w:pPr>
        <w:rPr>
          <w:rFonts w:asciiTheme="minorBidi" w:hAnsiTheme="minorBidi"/>
          <w:sz w:val="36"/>
          <w:szCs w:val="36"/>
          <w:rtl/>
        </w:rPr>
      </w:pPr>
    </w:p>
    <w:p w14:paraId="3DA0A3DC" w14:textId="70C72B48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 xml:space="preserve">אוניברסיטת </w:t>
      </w:r>
      <w:r>
        <w:rPr>
          <w:rFonts w:asciiTheme="minorBidi" w:hAnsiTheme="minorBidi" w:cs="Arial" w:hint="cs"/>
          <w:sz w:val="36"/>
          <w:szCs w:val="36"/>
          <w:rtl/>
        </w:rPr>
        <w:t>אריאל</w:t>
      </w:r>
    </w:p>
    <w:p w14:paraId="56BB16EC" w14:textId="5A6B895C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 xml:space="preserve">הפקולטה למדעי </w:t>
      </w:r>
      <w:r>
        <w:rPr>
          <w:rFonts w:asciiTheme="minorBidi" w:hAnsiTheme="minorBidi" w:cs="Arial" w:hint="cs"/>
          <w:sz w:val="36"/>
          <w:szCs w:val="36"/>
          <w:rtl/>
        </w:rPr>
        <w:t>הטבע</w:t>
      </w:r>
    </w:p>
    <w:p w14:paraId="14EB7825" w14:textId="77777777" w:rsidR="008865A4" w:rsidRDefault="008865A4" w:rsidP="008865A4">
      <w:pPr>
        <w:jc w:val="center"/>
        <w:rPr>
          <w:rFonts w:asciiTheme="minorBidi" w:hAnsiTheme="minorBidi" w:cs="Arial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>מחלקת מדעי המחשב ומתמטיקה</w:t>
      </w:r>
    </w:p>
    <w:p w14:paraId="469F9251" w14:textId="72A0457D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Pr="008865A4">
        <w:rPr>
          <w:rFonts w:asciiTheme="minorBidi" w:hAnsiTheme="minorBidi" w:cs="Arial"/>
          <w:sz w:val="36"/>
          <w:szCs w:val="36"/>
          <w:rtl/>
        </w:rPr>
        <w:t>במסלול מדעי הנתונים ובינה מלאכותית</w:t>
      </w:r>
    </w:p>
    <w:p w14:paraId="72BCF5BB" w14:textId="77777777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</w:p>
    <w:p w14:paraId="562BEBA3" w14:textId="77777777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</w:p>
    <w:p w14:paraId="6DFBAAD9" w14:textId="77777777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>סקירת ספרות בנושא</w:t>
      </w:r>
    </w:p>
    <w:p w14:paraId="360EBD05" w14:textId="11426E25" w:rsidR="008865A4" w:rsidRPr="004D1840" w:rsidRDefault="004D1840" w:rsidP="008865A4">
      <w:pPr>
        <w:jc w:val="center"/>
        <w:rPr>
          <w:rFonts w:asciiTheme="minorBidi" w:hAnsiTheme="minorBidi" w:cs="Arial"/>
          <w:sz w:val="36"/>
          <w:szCs w:val="36"/>
          <w:rtl/>
        </w:rPr>
      </w:pPr>
      <w:r>
        <w:rPr>
          <w:rFonts w:asciiTheme="minorBidi" w:hAnsiTheme="minorBidi" w:cs="Arial"/>
          <w:sz w:val="36"/>
          <w:szCs w:val="36"/>
        </w:rPr>
        <w:t>E</w:t>
      </w:r>
      <w:r w:rsidRPr="004D1840">
        <w:rPr>
          <w:rFonts w:asciiTheme="minorBidi" w:hAnsiTheme="minorBidi" w:cs="Arial"/>
          <w:sz w:val="36"/>
          <w:szCs w:val="36"/>
        </w:rPr>
        <w:t xml:space="preserve">nteral </w:t>
      </w:r>
      <w:r>
        <w:rPr>
          <w:rFonts w:asciiTheme="minorBidi" w:hAnsiTheme="minorBidi" w:cs="Arial"/>
          <w:sz w:val="36"/>
          <w:szCs w:val="36"/>
        </w:rPr>
        <w:t>f</w:t>
      </w:r>
      <w:r w:rsidRPr="004D1840">
        <w:rPr>
          <w:rFonts w:asciiTheme="minorBidi" w:hAnsiTheme="minorBidi" w:cs="Arial"/>
          <w:sz w:val="36"/>
          <w:szCs w:val="36"/>
        </w:rPr>
        <w:t>eeding intolerance</w:t>
      </w:r>
    </w:p>
    <w:p w14:paraId="6E7636AA" w14:textId="77777777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</w:p>
    <w:p w14:paraId="773ABC6C" w14:textId="381B4438" w:rsid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</w:p>
    <w:p w14:paraId="0914FBB4" w14:textId="77777777" w:rsidR="00C36775" w:rsidRPr="008865A4" w:rsidRDefault="00C36775" w:rsidP="008865A4">
      <w:pPr>
        <w:jc w:val="center"/>
        <w:rPr>
          <w:rFonts w:asciiTheme="minorBidi" w:hAnsiTheme="minorBidi"/>
          <w:sz w:val="36"/>
          <w:szCs w:val="36"/>
          <w:rtl/>
        </w:rPr>
      </w:pPr>
    </w:p>
    <w:p w14:paraId="235B682F" w14:textId="21E05A13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 xml:space="preserve">מוגש על ידי </w:t>
      </w:r>
      <w:r>
        <w:rPr>
          <w:rFonts w:asciiTheme="minorBidi" w:hAnsiTheme="minorBidi" w:hint="cs"/>
          <w:sz w:val="36"/>
          <w:szCs w:val="36"/>
          <w:rtl/>
        </w:rPr>
        <w:t>שקד גופין</w:t>
      </w:r>
    </w:p>
    <w:p w14:paraId="04B88AC0" w14:textId="376F6336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 xml:space="preserve">מנחה: דר' </w:t>
      </w:r>
      <w:r w:rsidR="00DF71A5">
        <w:rPr>
          <w:rFonts w:asciiTheme="minorBidi" w:hAnsiTheme="minorBidi" w:cs="Arial" w:hint="cs"/>
          <w:sz w:val="36"/>
          <w:szCs w:val="36"/>
          <w:rtl/>
        </w:rPr>
        <w:t>אורית רפאלי</w:t>
      </w:r>
    </w:p>
    <w:p w14:paraId="36AF99A7" w14:textId="77777777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</w:p>
    <w:p w14:paraId="09A67476" w14:textId="204FDED8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>20</w:t>
      </w:r>
      <w:r>
        <w:rPr>
          <w:rFonts w:asciiTheme="minorBidi" w:hAnsiTheme="minorBidi" w:cs="Arial" w:hint="cs"/>
          <w:sz w:val="36"/>
          <w:szCs w:val="36"/>
          <w:rtl/>
        </w:rPr>
        <w:t>2</w:t>
      </w:r>
      <w:r w:rsidRPr="008865A4">
        <w:rPr>
          <w:rFonts w:asciiTheme="minorBidi" w:hAnsiTheme="minorBidi" w:cs="Arial"/>
          <w:sz w:val="36"/>
          <w:szCs w:val="36"/>
          <w:rtl/>
        </w:rPr>
        <w:t>2 ,</w:t>
      </w:r>
    </w:p>
    <w:p w14:paraId="51CE8FB5" w14:textId="77777777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>ניו י</w:t>
      </w:r>
    </w:p>
    <w:p w14:paraId="7C6BFF79" w14:textId="25104676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>תמוז , תשפ"ב</w:t>
      </w:r>
    </w:p>
    <w:p w14:paraId="5634B44D" w14:textId="77777777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</w:p>
    <w:p w14:paraId="3EF5C4D1" w14:textId="3F63A2F8" w:rsidR="008865A4" w:rsidRPr="008865A4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>עבודה זו מוגשת כחלק מהדרישות להשלמת ה</w:t>
      </w:r>
      <w:r w:rsidR="00E03EF7">
        <w:rPr>
          <w:rFonts w:asciiTheme="minorBidi" w:hAnsiTheme="minorBidi" w:cs="Arial" w:hint="cs"/>
          <w:sz w:val="36"/>
          <w:szCs w:val="36"/>
          <w:rtl/>
        </w:rPr>
        <w:t>תואר</w:t>
      </w:r>
    </w:p>
    <w:p w14:paraId="4FBFA383" w14:textId="5EF7DD44" w:rsidR="008865A4" w:rsidRPr="009E21CF" w:rsidRDefault="008865A4" w:rsidP="008865A4">
      <w:pPr>
        <w:jc w:val="center"/>
        <w:rPr>
          <w:rFonts w:asciiTheme="minorBidi" w:hAnsiTheme="minorBidi"/>
          <w:sz w:val="36"/>
          <w:szCs w:val="36"/>
          <w:rtl/>
        </w:rPr>
      </w:pPr>
      <w:r w:rsidRPr="008865A4">
        <w:rPr>
          <w:rFonts w:asciiTheme="minorBidi" w:hAnsiTheme="minorBidi" w:cs="Arial"/>
          <w:sz w:val="36"/>
          <w:szCs w:val="36"/>
          <w:rtl/>
        </w:rPr>
        <w:t>"</w:t>
      </w:r>
      <w:r w:rsidR="00E03EF7">
        <w:rPr>
          <w:rFonts w:asciiTheme="minorBidi" w:hAnsiTheme="minorBidi" w:cs="Arial" w:hint="cs"/>
          <w:sz w:val="36"/>
          <w:szCs w:val="36"/>
        </w:rPr>
        <w:t>B</w:t>
      </w:r>
      <w:r w:rsidR="00E03EF7">
        <w:rPr>
          <w:rFonts w:asciiTheme="minorBidi" w:hAnsiTheme="minorBidi" w:cs="Arial"/>
          <w:sz w:val="36"/>
          <w:szCs w:val="36"/>
        </w:rPr>
        <w:t xml:space="preserve">Sc </w:t>
      </w:r>
      <w:r w:rsidR="00E03EF7" w:rsidRPr="00E03EF7">
        <w:rPr>
          <w:rFonts w:asciiTheme="minorBidi" w:hAnsiTheme="minorBidi" w:cs="Arial"/>
          <w:sz w:val="36"/>
          <w:szCs w:val="36"/>
        </w:rPr>
        <w:t>Computer Science</w:t>
      </w:r>
      <w:r w:rsidR="00E03EF7">
        <w:rPr>
          <w:rFonts w:asciiTheme="minorBidi" w:hAnsiTheme="minorBidi" w:cs="Arial"/>
          <w:sz w:val="36"/>
          <w:szCs w:val="36"/>
        </w:rPr>
        <w:t xml:space="preserve"> &amp;</w:t>
      </w:r>
      <w:r w:rsidR="00E03EF7" w:rsidRPr="00E03EF7">
        <w:t xml:space="preserve"> </w:t>
      </w:r>
      <w:r w:rsidR="00E03EF7" w:rsidRPr="00E03EF7">
        <w:rPr>
          <w:rFonts w:asciiTheme="minorBidi" w:hAnsiTheme="minorBidi" w:cs="Arial"/>
          <w:sz w:val="36"/>
          <w:szCs w:val="36"/>
        </w:rPr>
        <w:t>Mathematics</w:t>
      </w:r>
      <w:r w:rsidR="00E03EF7" w:rsidRPr="00E03EF7">
        <w:rPr>
          <w:rFonts w:asciiTheme="minorBidi" w:hAnsiTheme="minorBidi" w:cs="Arial"/>
          <w:sz w:val="36"/>
          <w:szCs w:val="36"/>
          <w:rtl/>
        </w:rPr>
        <w:t xml:space="preserve"> </w:t>
      </w:r>
      <w:r w:rsidRPr="008865A4">
        <w:rPr>
          <w:rFonts w:asciiTheme="minorBidi" w:hAnsiTheme="minorBidi" w:cs="Arial"/>
          <w:sz w:val="36"/>
          <w:szCs w:val="36"/>
          <w:rtl/>
        </w:rPr>
        <w:t>"</w:t>
      </w:r>
    </w:p>
    <w:p w14:paraId="7A33D7B1" w14:textId="680BCA7E" w:rsidR="009E21CF" w:rsidRPr="009E21CF" w:rsidRDefault="009E21CF" w:rsidP="009E21CF">
      <w:pPr>
        <w:rPr>
          <w:rFonts w:asciiTheme="minorBidi" w:hAnsiTheme="minorBidi"/>
          <w:rtl/>
        </w:rPr>
      </w:pPr>
    </w:p>
    <w:p w14:paraId="2764281B" w14:textId="48634F9A" w:rsidR="009E21CF" w:rsidRPr="009E21CF" w:rsidRDefault="009E21CF" w:rsidP="009E21CF">
      <w:pPr>
        <w:rPr>
          <w:rFonts w:asciiTheme="minorBidi" w:hAnsiTheme="minorBidi"/>
          <w:rtl/>
        </w:rPr>
      </w:pPr>
    </w:p>
    <w:p w14:paraId="40C821F1" w14:textId="58CAF331" w:rsidR="009E21CF" w:rsidRPr="009E21CF" w:rsidRDefault="009E21CF" w:rsidP="009E21CF">
      <w:pPr>
        <w:rPr>
          <w:rFonts w:asciiTheme="minorBidi" w:hAnsiTheme="minorBidi"/>
          <w:rtl/>
        </w:rPr>
      </w:pPr>
    </w:p>
    <w:p w14:paraId="7CE07411" w14:textId="49D1A523" w:rsidR="009E21CF" w:rsidRPr="009E21CF" w:rsidRDefault="009E21CF" w:rsidP="009E21CF">
      <w:pPr>
        <w:rPr>
          <w:rFonts w:asciiTheme="minorBidi" w:hAnsiTheme="minorBidi"/>
          <w:rtl/>
        </w:rPr>
      </w:pPr>
    </w:p>
    <w:p w14:paraId="0AB91E63" w14:textId="7ACF7A4D" w:rsidR="009E21CF" w:rsidRPr="009E21CF" w:rsidRDefault="009E21CF" w:rsidP="009E21CF">
      <w:pPr>
        <w:rPr>
          <w:rFonts w:asciiTheme="minorBidi" w:hAnsiTheme="minorBidi"/>
          <w:rtl/>
        </w:rPr>
      </w:pPr>
    </w:p>
    <w:p w14:paraId="0493E0F9" w14:textId="382A73D2" w:rsidR="009E21CF" w:rsidRPr="009E21CF" w:rsidRDefault="009E21CF" w:rsidP="009E21CF">
      <w:pPr>
        <w:rPr>
          <w:rFonts w:asciiTheme="minorBidi" w:hAnsiTheme="minorBidi"/>
          <w:rtl/>
        </w:rPr>
      </w:pPr>
    </w:p>
    <w:p w14:paraId="28B7D332" w14:textId="6EFD9324" w:rsidR="009E21CF" w:rsidRPr="004D1840" w:rsidRDefault="009E21CF" w:rsidP="004D1840">
      <w:pPr>
        <w:jc w:val="center"/>
        <w:rPr>
          <w:rFonts w:asciiTheme="minorBidi" w:hAnsiTheme="minorBidi"/>
          <w:sz w:val="36"/>
          <w:szCs w:val="36"/>
          <w:rtl/>
        </w:rPr>
      </w:pPr>
      <w:r w:rsidRPr="009E21CF">
        <w:rPr>
          <w:rFonts w:asciiTheme="minorBidi" w:hAnsiTheme="minorBidi"/>
          <w:sz w:val="36"/>
          <w:szCs w:val="36"/>
          <w:rtl/>
        </w:rPr>
        <w:t>תקציר</w:t>
      </w:r>
    </w:p>
    <w:p w14:paraId="7E48A7ED" w14:textId="17F2B9AE" w:rsidR="009E21CF" w:rsidRPr="00B81AB4" w:rsidRDefault="004D1840" w:rsidP="00B81AB4">
      <w:pPr>
        <w:jc w:val="right"/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Feeding intolerance (FI) is a general term that indicates an intolerance of enteral nutrition (EN) feeding for any clinical reason, including vomiting, high gastric residual, diarrhea, gastrointestinal bleeding, and the presence of entero-cutaneous fistulas</w:t>
      </w:r>
      <w:r w:rsidR="0014394E"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  <w:r w:rsidR="00B81AB4">
        <w:t xml:space="preserve">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resulting in poor outcomes and nutrition.</w:t>
      </w:r>
    </w:p>
    <w:p w14:paraId="1DE6032F" w14:textId="139D75AF" w:rsidR="00AE5D82" w:rsidRDefault="0014394E" w:rsidP="00B81AB4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 w:rsidRPr="0014394E">
        <w:rPr>
          <w:rFonts w:ascii="Cambria" w:hAnsi="Cambria"/>
          <w:color w:val="212121"/>
          <w:sz w:val="30"/>
          <w:szCs w:val="30"/>
          <w:shd w:val="clear" w:color="auto" w:fill="FFFFFF"/>
        </w:rPr>
        <w:t>Enteral feeding intolerance (EFI) is a common feature in critically ill patients worldwide</w:t>
      </w:r>
      <w:r w:rsidR="00B81AB4" w:rsidRPr="00B81AB4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, and often results in not achieving nutritional targets. </w:t>
      </w:r>
    </w:p>
    <w:p w14:paraId="60F1AAC5" w14:textId="5BE6FFDF" w:rsidR="00B81AB4" w:rsidRDefault="00B81AB4" w:rsidP="00B81AB4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 w:rsidRPr="00B81AB4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It may also be associated with </w:t>
      </w:r>
      <w:r w:rsidR="00AE5D82" w:rsidRPr="00B81AB4">
        <w:rPr>
          <w:rFonts w:ascii="Cambria" w:hAnsi="Cambria"/>
          <w:color w:val="212121"/>
          <w:sz w:val="30"/>
          <w:szCs w:val="30"/>
          <w:shd w:val="clear" w:color="auto" w:fill="FFFFFF"/>
        </w:rPr>
        <w:t>significant</w:t>
      </w:r>
      <w:r w:rsidRPr="00B81AB4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morbidity, leading to increased mortality and ICU length of stay.</w:t>
      </w:r>
      <w:r w:rsidR="0014394E" w:rsidRPr="0014394E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</w:p>
    <w:p w14:paraId="6DB0537E" w14:textId="6B3D3DA9" w:rsidR="00B81AB4" w:rsidRDefault="0014394E" w:rsidP="004D1840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 w:rsidRPr="0014394E">
        <w:rPr>
          <w:rFonts w:ascii="Cambria" w:hAnsi="Cambria"/>
          <w:color w:val="212121"/>
          <w:sz w:val="30"/>
          <w:szCs w:val="30"/>
          <w:shd w:val="clear" w:color="auto" w:fill="FFFFFF"/>
        </w:rPr>
        <w:t>However, there is no clear, widely agreed-upon definition available, with various studies rarely using the same definition.</w:t>
      </w:r>
    </w:p>
    <w:p w14:paraId="27736E70" w14:textId="2CB098E7" w:rsidR="00AE5D82" w:rsidRDefault="00AE5D82" w:rsidP="004D1840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 w:rsidRPr="00AE5D82">
        <w:rPr>
          <w:rFonts w:ascii="Cambria" w:hAnsi="Cambria"/>
          <w:color w:val="212121"/>
          <w:sz w:val="30"/>
          <w:szCs w:val="30"/>
          <w:shd w:val="clear" w:color="auto" w:fill="FFFFFF"/>
        </w:rPr>
        <w:t>A systematic review of 72 studies estimated prevalence of EFI of 38% (95% CI 31–46</w:t>
      </w:r>
      <w:r w:rsidR="00F71EF6" w:rsidRPr="00AE5D82">
        <w:rPr>
          <w:rFonts w:ascii="Cambria" w:hAnsi="Cambria"/>
          <w:color w:val="212121"/>
          <w:sz w:val="30"/>
          <w:szCs w:val="30"/>
          <w:shd w:val="clear" w:color="auto" w:fill="FFFFFF"/>
        </w:rPr>
        <w:t>) but</w:t>
      </w:r>
      <w:r w:rsidRPr="00AE5D82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demonstrated large variability in </w:t>
      </w:r>
      <w:r w:rsidRPr="00AE5D82">
        <w:rPr>
          <w:rFonts w:ascii="Cambria" w:hAnsi="Cambria"/>
          <w:color w:val="212121"/>
          <w:sz w:val="30"/>
          <w:szCs w:val="30"/>
          <w:shd w:val="clear" w:color="auto" w:fill="FFFFFF"/>
        </w:rPr>
        <w:t>defining</w:t>
      </w:r>
      <w:r w:rsidRPr="00AE5D82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EFI. Upper gastrointestinal tract intolerance </w:t>
      </w:r>
      <w:r w:rsidRPr="00AE5D82">
        <w:rPr>
          <w:rFonts w:ascii="Cambria" w:hAnsi="Cambria"/>
          <w:color w:val="212121"/>
          <w:sz w:val="30"/>
          <w:szCs w:val="30"/>
          <w:shd w:val="clear" w:color="auto" w:fill="FFFFFF"/>
        </w:rPr>
        <w:t>reflected</w:t>
      </w:r>
      <w:r w:rsidRPr="00AE5D82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by large GRVs (with or without other gastrointestinal symptoms) was used in 63/72 studies, with a median volume </w:t>
      </w:r>
      <w:r w:rsidRPr="00AE5D82">
        <w:rPr>
          <w:rFonts w:ascii="Cambria" w:hAnsi="Cambria"/>
          <w:color w:val="212121"/>
          <w:sz w:val="30"/>
          <w:szCs w:val="30"/>
          <w:shd w:val="clear" w:color="auto" w:fill="FFFFFF"/>
        </w:rPr>
        <w:t>defining</w:t>
      </w:r>
      <w:r w:rsidRPr="00AE5D82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a “large” GRV of 250 mL (range 75–500 mL)</w:t>
      </w:r>
      <w:r w:rsidR="00F71EF6"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</w:p>
    <w:p w14:paraId="0DE699E2" w14:textId="20187D51" w:rsidR="00EB2ABD" w:rsidRDefault="00EB2ABD" w:rsidP="004D1840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By using Machine Learning researchers are hoping to find more insights on how to measure </w:t>
      </w:r>
      <w:r w:rsidR="009C4793" w:rsidRPr="0014394E">
        <w:rPr>
          <w:rFonts w:ascii="Cambria" w:hAnsi="Cambria"/>
          <w:color w:val="212121"/>
          <w:sz w:val="30"/>
          <w:szCs w:val="30"/>
          <w:shd w:val="clear" w:color="auto" w:fill="FFFFFF"/>
        </w:rPr>
        <w:t>EFI</w:t>
      </w:r>
      <w:r w:rsidR="009C4793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more accurately</w:t>
      </w:r>
      <w:r w:rsidR="00B314DF"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</w:p>
    <w:p w14:paraId="668C4751" w14:textId="77777777" w:rsidR="00B314DF" w:rsidRDefault="00B314DF" w:rsidP="004D1840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71678D9C" w14:textId="77777777" w:rsidR="00EB2ABD" w:rsidRDefault="00EB2ABD" w:rsidP="004D1840">
      <w:pPr>
        <w:jc w:val="right"/>
        <w:rPr>
          <w:rFonts w:ascii="Cambria" w:hAnsi="Cambria" w:hint="cs"/>
          <w:color w:val="212121"/>
          <w:sz w:val="30"/>
          <w:szCs w:val="30"/>
          <w:shd w:val="clear" w:color="auto" w:fill="FFFFFF"/>
          <w:rtl/>
        </w:rPr>
      </w:pPr>
    </w:p>
    <w:p w14:paraId="45136F35" w14:textId="781EAD14" w:rsidR="00B81AB4" w:rsidRDefault="00B81AB4" w:rsidP="004D1840">
      <w:pPr>
        <w:jc w:val="right"/>
        <w:rPr>
          <w:rFonts w:ascii="Cambria" w:hAnsi="Cambria" w:hint="cs"/>
          <w:color w:val="212121"/>
          <w:sz w:val="30"/>
          <w:szCs w:val="30"/>
          <w:shd w:val="clear" w:color="auto" w:fill="FFFFFF"/>
          <w:rtl/>
        </w:rPr>
      </w:pPr>
    </w:p>
    <w:p w14:paraId="10B5252C" w14:textId="105FB9FE" w:rsidR="009E21CF" w:rsidRPr="009E21CF" w:rsidRDefault="009E21CF" w:rsidP="004D1840">
      <w:pPr>
        <w:jc w:val="right"/>
        <w:rPr>
          <w:rFonts w:asciiTheme="minorBidi" w:hAnsiTheme="minorBidi"/>
          <w:rtl/>
        </w:rPr>
      </w:pPr>
    </w:p>
    <w:p w14:paraId="436EF0CF" w14:textId="1218FD22" w:rsidR="009E21CF" w:rsidRPr="009E21CF" w:rsidRDefault="009E21CF" w:rsidP="004D1840">
      <w:pPr>
        <w:jc w:val="right"/>
        <w:rPr>
          <w:rFonts w:asciiTheme="minorBidi" w:hAnsiTheme="minorBidi" w:hint="cs"/>
          <w:rtl/>
        </w:rPr>
      </w:pPr>
    </w:p>
    <w:p w14:paraId="63B3C336" w14:textId="0254E1DC" w:rsidR="009E21CF" w:rsidRPr="009E21CF" w:rsidRDefault="009E21CF" w:rsidP="004D1840">
      <w:pPr>
        <w:jc w:val="right"/>
        <w:rPr>
          <w:rFonts w:asciiTheme="minorBidi" w:hAnsiTheme="minorBidi"/>
          <w:rtl/>
        </w:rPr>
      </w:pPr>
    </w:p>
    <w:p w14:paraId="0D697656" w14:textId="21ED8AAD" w:rsidR="009E21CF" w:rsidRPr="009E21CF" w:rsidRDefault="009E21CF" w:rsidP="004D1840">
      <w:pPr>
        <w:jc w:val="right"/>
        <w:rPr>
          <w:rFonts w:asciiTheme="minorBidi" w:hAnsiTheme="minorBidi"/>
          <w:rtl/>
        </w:rPr>
      </w:pPr>
    </w:p>
    <w:p w14:paraId="30EDD9A1" w14:textId="2FC2B39B" w:rsidR="009E21CF" w:rsidRPr="009E21CF" w:rsidRDefault="009E21CF" w:rsidP="004D1840">
      <w:pPr>
        <w:jc w:val="right"/>
        <w:rPr>
          <w:rFonts w:asciiTheme="minorBidi" w:hAnsiTheme="minorBidi"/>
          <w:rtl/>
        </w:rPr>
      </w:pPr>
    </w:p>
    <w:p w14:paraId="5B710B09" w14:textId="1AC14E49" w:rsidR="009E21CF" w:rsidRPr="009E21CF" w:rsidRDefault="009E21CF" w:rsidP="004D1840">
      <w:pPr>
        <w:jc w:val="right"/>
        <w:rPr>
          <w:rFonts w:asciiTheme="minorBidi" w:hAnsiTheme="minorBidi"/>
          <w:rtl/>
        </w:rPr>
      </w:pPr>
    </w:p>
    <w:p w14:paraId="04E4FD39" w14:textId="5FD317BF" w:rsidR="009E21CF" w:rsidRPr="009E21CF" w:rsidRDefault="009E21CF" w:rsidP="004D1840">
      <w:pPr>
        <w:jc w:val="right"/>
        <w:rPr>
          <w:rFonts w:asciiTheme="minorBidi" w:hAnsiTheme="minorBidi"/>
          <w:rtl/>
        </w:rPr>
      </w:pPr>
    </w:p>
    <w:p w14:paraId="7C3C41C6" w14:textId="2EB435A7" w:rsidR="009E21CF" w:rsidRPr="009E21CF" w:rsidRDefault="009E21CF" w:rsidP="009E21CF">
      <w:pPr>
        <w:rPr>
          <w:rFonts w:asciiTheme="minorBidi" w:hAnsiTheme="minorBidi" w:hint="cs"/>
          <w:rtl/>
        </w:rPr>
      </w:pPr>
    </w:p>
    <w:p w14:paraId="527B10B9" w14:textId="563D66DE" w:rsidR="009E21CF" w:rsidRPr="009E21CF" w:rsidRDefault="009E21CF" w:rsidP="009E21CF">
      <w:pPr>
        <w:rPr>
          <w:rFonts w:asciiTheme="minorBidi" w:hAnsiTheme="minorBidi"/>
          <w:rtl/>
        </w:rPr>
      </w:pPr>
    </w:p>
    <w:p w14:paraId="0CA02E70" w14:textId="7FD12786" w:rsidR="009E21CF" w:rsidRPr="009E21CF" w:rsidRDefault="009E21CF" w:rsidP="009E21CF">
      <w:pPr>
        <w:jc w:val="center"/>
        <w:rPr>
          <w:rFonts w:asciiTheme="minorBidi" w:hAnsiTheme="minorBidi"/>
          <w:sz w:val="36"/>
          <w:szCs w:val="36"/>
          <w:rtl/>
        </w:rPr>
      </w:pPr>
      <w:r w:rsidRPr="009E21CF">
        <w:rPr>
          <w:rFonts w:asciiTheme="minorBidi" w:hAnsiTheme="minorBidi"/>
          <w:sz w:val="36"/>
          <w:szCs w:val="36"/>
          <w:rtl/>
        </w:rPr>
        <w:t>תוכן העניינים</w:t>
      </w:r>
    </w:p>
    <w:p w14:paraId="55D9852D" w14:textId="14D6E764" w:rsidR="009E21CF" w:rsidRPr="009E21CF" w:rsidRDefault="009E21CF" w:rsidP="009E21CF">
      <w:pPr>
        <w:rPr>
          <w:rFonts w:asciiTheme="minorBidi" w:hAnsiTheme="minorBidi"/>
          <w:rtl/>
        </w:rPr>
      </w:pPr>
    </w:p>
    <w:p w14:paraId="1377AB37" w14:textId="70F0262F" w:rsidR="009E21CF" w:rsidRPr="009E21CF" w:rsidRDefault="009E21CF" w:rsidP="009E21CF">
      <w:pPr>
        <w:rPr>
          <w:rFonts w:asciiTheme="minorBidi" w:hAnsiTheme="minorBidi" w:hint="cs"/>
          <w:rtl/>
        </w:rPr>
      </w:pPr>
    </w:p>
    <w:p w14:paraId="47F5C4AC" w14:textId="57EE7B81" w:rsidR="009E21CF" w:rsidRDefault="009E21CF" w:rsidP="009E21CF">
      <w:pPr>
        <w:rPr>
          <w:rFonts w:asciiTheme="minorBidi" w:hAnsiTheme="minorBidi"/>
          <w:rtl/>
        </w:rPr>
      </w:pPr>
    </w:p>
    <w:p w14:paraId="7304F4C7" w14:textId="202F6C3B" w:rsidR="008865A4" w:rsidRDefault="008865A4" w:rsidP="009E21CF">
      <w:pPr>
        <w:rPr>
          <w:rFonts w:asciiTheme="minorBidi" w:hAnsiTheme="minorBidi"/>
          <w:rtl/>
        </w:rPr>
      </w:pPr>
    </w:p>
    <w:p w14:paraId="5657E9AD" w14:textId="05AC6E50" w:rsidR="008865A4" w:rsidRDefault="008865A4" w:rsidP="009E21CF">
      <w:pPr>
        <w:rPr>
          <w:rFonts w:asciiTheme="minorBidi" w:hAnsiTheme="minorBidi"/>
          <w:rtl/>
        </w:rPr>
      </w:pPr>
    </w:p>
    <w:p w14:paraId="4310AC15" w14:textId="71A6843B" w:rsidR="008865A4" w:rsidRDefault="008865A4" w:rsidP="009E21CF">
      <w:pPr>
        <w:rPr>
          <w:rFonts w:asciiTheme="minorBidi" w:hAnsiTheme="minorBidi"/>
          <w:rtl/>
        </w:rPr>
      </w:pPr>
    </w:p>
    <w:p w14:paraId="1C2BCD23" w14:textId="57697B60" w:rsidR="008865A4" w:rsidRDefault="008865A4" w:rsidP="009E21CF">
      <w:pPr>
        <w:rPr>
          <w:rFonts w:asciiTheme="minorBidi" w:hAnsiTheme="minorBidi"/>
          <w:rtl/>
        </w:rPr>
      </w:pPr>
    </w:p>
    <w:p w14:paraId="04AEEC8B" w14:textId="45B53BBB" w:rsidR="008865A4" w:rsidRDefault="008865A4" w:rsidP="009E21CF">
      <w:pPr>
        <w:rPr>
          <w:rFonts w:asciiTheme="minorBidi" w:hAnsiTheme="minorBidi"/>
          <w:rtl/>
        </w:rPr>
      </w:pPr>
    </w:p>
    <w:p w14:paraId="54C1475B" w14:textId="15DB4068" w:rsidR="008865A4" w:rsidRDefault="008865A4" w:rsidP="009E21CF">
      <w:pPr>
        <w:rPr>
          <w:rFonts w:asciiTheme="minorBidi" w:hAnsiTheme="minorBidi"/>
          <w:rtl/>
        </w:rPr>
      </w:pPr>
    </w:p>
    <w:p w14:paraId="1742A129" w14:textId="722D7164" w:rsidR="008865A4" w:rsidRDefault="008865A4" w:rsidP="009E21CF">
      <w:pPr>
        <w:rPr>
          <w:rFonts w:asciiTheme="minorBidi" w:hAnsiTheme="minorBidi"/>
          <w:rtl/>
        </w:rPr>
      </w:pPr>
    </w:p>
    <w:p w14:paraId="5463FED1" w14:textId="1B336A93" w:rsidR="008865A4" w:rsidRDefault="008865A4" w:rsidP="009E21CF">
      <w:pPr>
        <w:rPr>
          <w:rFonts w:asciiTheme="minorBidi" w:hAnsiTheme="minorBidi"/>
          <w:rtl/>
        </w:rPr>
      </w:pPr>
    </w:p>
    <w:p w14:paraId="1E8C4A4B" w14:textId="070ADE44" w:rsidR="008865A4" w:rsidRDefault="008865A4" w:rsidP="009E21CF">
      <w:pPr>
        <w:rPr>
          <w:rFonts w:asciiTheme="minorBidi" w:hAnsiTheme="minorBidi"/>
          <w:rtl/>
        </w:rPr>
      </w:pPr>
    </w:p>
    <w:p w14:paraId="46FD80F6" w14:textId="0649484B" w:rsidR="008865A4" w:rsidRDefault="008865A4" w:rsidP="009E21CF">
      <w:pPr>
        <w:rPr>
          <w:rFonts w:asciiTheme="minorBidi" w:hAnsiTheme="minorBidi"/>
          <w:rtl/>
        </w:rPr>
      </w:pPr>
    </w:p>
    <w:p w14:paraId="44672071" w14:textId="4354558F" w:rsidR="008865A4" w:rsidRDefault="008865A4" w:rsidP="009E21CF">
      <w:pPr>
        <w:rPr>
          <w:rFonts w:asciiTheme="minorBidi" w:hAnsiTheme="minorBidi"/>
          <w:rtl/>
        </w:rPr>
      </w:pPr>
    </w:p>
    <w:p w14:paraId="156325DE" w14:textId="17B0841A" w:rsidR="008865A4" w:rsidRDefault="008865A4" w:rsidP="009E21CF">
      <w:pPr>
        <w:rPr>
          <w:rFonts w:asciiTheme="minorBidi" w:hAnsiTheme="minorBidi"/>
          <w:rtl/>
        </w:rPr>
      </w:pPr>
    </w:p>
    <w:p w14:paraId="69C893BD" w14:textId="4ED89FA3" w:rsidR="008865A4" w:rsidRDefault="008865A4" w:rsidP="009E21CF">
      <w:pPr>
        <w:rPr>
          <w:rFonts w:asciiTheme="minorBidi" w:hAnsiTheme="minorBidi"/>
          <w:rtl/>
        </w:rPr>
      </w:pPr>
    </w:p>
    <w:p w14:paraId="67711238" w14:textId="77D4DEA8" w:rsidR="008865A4" w:rsidRDefault="008865A4" w:rsidP="009E21CF">
      <w:pPr>
        <w:rPr>
          <w:rFonts w:asciiTheme="minorBidi" w:hAnsiTheme="minorBidi"/>
          <w:rtl/>
        </w:rPr>
      </w:pPr>
    </w:p>
    <w:p w14:paraId="3C6EDDF3" w14:textId="04458421" w:rsidR="008865A4" w:rsidRDefault="008865A4" w:rsidP="009E21CF">
      <w:pPr>
        <w:rPr>
          <w:rFonts w:asciiTheme="minorBidi" w:hAnsiTheme="minorBidi"/>
          <w:rtl/>
        </w:rPr>
      </w:pPr>
    </w:p>
    <w:p w14:paraId="79EA9916" w14:textId="37FFDC8D" w:rsidR="008865A4" w:rsidRDefault="008865A4" w:rsidP="009E21CF">
      <w:pPr>
        <w:rPr>
          <w:rFonts w:asciiTheme="minorBidi" w:hAnsiTheme="minorBidi"/>
          <w:rtl/>
        </w:rPr>
      </w:pPr>
    </w:p>
    <w:p w14:paraId="6DBCD4ED" w14:textId="004181C9" w:rsidR="008865A4" w:rsidRDefault="008865A4" w:rsidP="009E21CF">
      <w:pPr>
        <w:rPr>
          <w:rFonts w:asciiTheme="minorBidi" w:hAnsiTheme="minorBidi"/>
          <w:rtl/>
        </w:rPr>
      </w:pPr>
    </w:p>
    <w:p w14:paraId="6C1CAEE5" w14:textId="236E6DD9" w:rsidR="008865A4" w:rsidRDefault="008865A4" w:rsidP="009E21CF">
      <w:pPr>
        <w:rPr>
          <w:rFonts w:asciiTheme="minorBidi" w:hAnsiTheme="minorBidi"/>
          <w:rtl/>
        </w:rPr>
      </w:pPr>
    </w:p>
    <w:p w14:paraId="5E78D9D9" w14:textId="5D4A46A0" w:rsidR="008865A4" w:rsidRDefault="008865A4" w:rsidP="009E21CF">
      <w:pPr>
        <w:rPr>
          <w:rFonts w:asciiTheme="minorBidi" w:hAnsiTheme="minorBidi"/>
          <w:rtl/>
        </w:rPr>
      </w:pPr>
    </w:p>
    <w:p w14:paraId="05845E71" w14:textId="4227C142" w:rsidR="008865A4" w:rsidRDefault="008865A4" w:rsidP="009E21CF">
      <w:pPr>
        <w:rPr>
          <w:rFonts w:asciiTheme="minorBidi" w:hAnsiTheme="minorBidi"/>
          <w:rtl/>
        </w:rPr>
      </w:pPr>
    </w:p>
    <w:p w14:paraId="0A2DE143" w14:textId="1D278A7A" w:rsidR="008865A4" w:rsidRDefault="008865A4" w:rsidP="009E21CF">
      <w:pPr>
        <w:rPr>
          <w:rFonts w:asciiTheme="minorBidi" w:hAnsiTheme="minorBidi"/>
          <w:rtl/>
        </w:rPr>
      </w:pPr>
    </w:p>
    <w:p w14:paraId="10F83A92" w14:textId="1DEBBB1F" w:rsidR="008865A4" w:rsidRDefault="008865A4" w:rsidP="009E21CF">
      <w:pPr>
        <w:rPr>
          <w:rFonts w:asciiTheme="minorBidi" w:hAnsiTheme="minorBidi"/>
          <w:rtl/>
        </w:rPr>
      </w:pPr>
    </w:p>
    <w:p w14:paraId="7776640F" w14:textId="13E97E73" w:rsidR="008865A4" w:rsidRDefault="008865A4" w:rsidP="009E21CF">
      <w:pPr>
        <w:rPr>
          <w:rFonts w:asciiTheme="minorBidi" w:hAnsiTheme="minorBidi"/>
          <w:rtl/>
        </w:rPr>
      </w:pPr>
    </w:p>
    <w:p w14:paraId="7FA4C3EF" w14:textId="0D2770A0" w:rsidR="008865A4" w:rsidRPr="00B314DF" w:rsidRDefault="00B314DF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 w:hint="cs"/>
          <w:color w:val="212121"/>
          <w:sz w:val="30"/>
          <w:szCs w:val="30"/>
          <w:shd w:val="clear" w:color="auto" w:fill="FFFFFF"/>
        </w:rPr>
        <w:lastRenderedPageBreak/>
        <w:t>C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hapter 1:</w:t>
      </w:r>
      <w:r w:rsidR="00500E22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Non-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</w:p>
    <w:p w14:paraId="0EA37C0B" w14:textId="073F3909" w:rsidR="00B314DF" w:rsidRPr="00B314DF" w:rsidRDefault="00B314DF" w:rsidP="00B314DF">
      <w:pPr>
        <w:jc w:val="right"/>
        <w:rPr>
          <w:rFonts w:ascii="Cambria" w:hAnsi="Cambria" w:hint="cs"/>
          <w:color w:val="212121"/>
          <w:sz w:val="30"/>
          <w:szCs w:val="30"/>
          <w:shd w:val="clear" w:color="auto" w:fill="FFFFFF"/>
          <w:rtl/>
        </w:rPr>
      </w:pPr>
      <w:r w:rsidRPr="00B314DF">
        <w:rPr>
          <w:rFonts w:ascii="Cambria" w:hAnsi="Cambria"/>
          <w:color w:val="212121"/>
          <w:sz w:val="30"/>
          <w:szCs w:val="30"/>
          <w:shd w:val="clear" w:color="auto" w:fill="FFFFFF"/>
        </w:rPr>
        <w:t>Enteral tolerance in critically ill patients</w:t>
      </w:r>
    </w:p>
    <w:p w14:paraId="6B0E07BD" w14:textId="350FAADF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396968A0" w14:textId="1BDF9081" w:rsidR="008865A4" w:rsidRPr="00B314DF" w:rsidRDefault="008865A4" w:rsidP="00B314DF">
      <w:pPr>
        <w:jc w:val="right"/>
        <w:rPr>
          <w:rFonts w:ascii="Cambria" w:hAnsi="Cambria" w:hint="cs"/>
          <w:color w:val="212121"/>
          <w:sz w:val="30"/>
          <w:szCs w:val="30"/>
          <w:shd w:val="clear" w:color="auto" w:fill="FFFFFF"/>
          <w:rtl/>
        </w:rPr>
      </w:pPr>
    </w:p>
    <w:p w14:paraId="6AB75830" w14:textId="16BF138A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7404608B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6E8C64F2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5962B120" w14:textId="77777777" w:rsidR="008865A4" w:rsidRPr="00B314DF" w:rsidRDefault="008865A4" w:rsidP="00B314DF">
      <w:pPr>
        <w:jc w:val="right"/>
        <w:rPr>
          <w:rFonts w:ascii="Cambria" w:hAnsi="Cambria" w:hint="cs"/>
          <w:color w:val="212121"/>
          <w:sz w:val="30"/>
          <w:szCs w:val="30"/>
          <w:shd w:val="clear" w:color="auto" w:fill="FFFFFF"/>
          <w:rtl/>
        </w:rPr>
      </w:pPr>
    </w:p>
    <w:p w14:paraId="2B1B1ACA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4BD9822C" w14:textId="3D187055" w:rsidR="008865A4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6D9A4E49" w14:textId="53BA2574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273BB260" w14:textId="3836E18B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2C777514" w14:textId="7DD34319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2CC2172F" w14:textId="2D003EB7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7D72C7BF" w14:textId="3765DF5A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5A364800" w14:textId="6F750CB3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78753406" w14:textId="4359B3E7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63578A25" w14:textId="305B967E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44A92C93" w14:textId="291FE436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4782B92B" w14:textId="7D068062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7D7820AA" w14:textId="048A1DB6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41A27DA6" w14:textId="11BB1B6E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5218016F" w14:textId="7DFBDB2F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42148E70" w14:textId="29A93BFA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5C6E9EC4" w14:textId="1ACDA0D8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5DA03790" w14:textId="668078E2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5B3DE3BD" w14:textId="77777777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 w:hint="cs"/>
          <w:color w:val="212121"/>
          <w:sz w:val="30"/>
          <w:szCs w:val="30"/>
          <w:shd w:val="clear" w:color="auto" w:fill="FFFFFF"/>
        </w:rPr>
        <w:lastRenderedPageBreak/>
        <w:t>C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hapter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2:</w:t>
      </w:r>
    </w:p>
    <w:p w14:paraId="5C948BF1" w14:textId="53EBA3C9" w:rsidR="00500E22" w:rsidRPr="00500E22" w:rsidRDefault="00500E22" w:rsidP="00500E22">
      <w:pPr>
        <w:jc w:val="center"/>
        <w:rPr>
          <w:rFonts w:ascii="Cambria" w:hAnsi="Cambria"/>
          <w:b/>
          <w:bCs/>
          <w:color w:val="212121"/>
          <w:sz w:val="30"/>
          <w:szCs w:val="30"/>
          <w:u w:val="single"/>
          <w:shd w:val="clear" w:color="auto" w:fill="FFFFFF"/>
        </w:rPr>
      </w:pPr>
      <w:r w:rsidRPr="00500E22">
        <w:rPr>
          <w:rFonts w:ascii="Cambria" w:hAnsi="Cambria"/>
          <w:b/>
          <w:bCs/>
          <w:color w:val="212121"/>
          <w:sz w:val="30"/>
          <w:szCs w:val="30"/>
          <w:u w:val="single"/>
          <w:shd w:val="clear" w:color="auto" w:fill="FFFFFF"/>
        </w:rPr>
        <w:t xml:space="preserve">Identifying Distinct Subgroups of Intensive Care Unit Patients: </w:t>
      </w:r>
      <w:r w:rsidRPr="00500E22">
        <w:rPr>
          <w:rFonts w:ascii="Cambria" w:hAnsi="Cambria"/>
          <w:b/>
          <w:bCs/>
          <w:color w:val="212121"/>
          <w:sz w:val="30"/>
          <w:szCs w:val="30"/>
          <w:u w:val="single"/>
          <w:shd w:val="clear" w:color="auto" w:fill="FFFFFF"/>
        </w:rPr>
        <w:t>A</w:t>
      </w:r>
      <w:r w:rsidRPr="00500E22">
        <w:rPr>
          <w:rFonts w:ascii="Cambria" w:hAnsi="Cambria"/>
          <w:b/>
          <w:bCs/>
          <w:color w:val="212121"/>
          <w:sz w:val="30"/>
          <w:szCs w:val="30"/>
          <w:u w:val="single"/>
          <w:shd w:val="clear" w:color="auto" w:fill="FFFFFF"/>
        </w:rPr>
        <w:t xml:space="preserve"> Machine Learning Approach</w:t>
      </w:r>
    </w:p>
    <w:p w14:paraId="11F731E2" w14:textId="5341791A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48844DB9" w14:textId="77777777" w:rsidR="000A437F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 w:rsidRPr="00500E22">
        <w:rPr>
          <w:rFonts w:ascii="Cambria" w:hAnsi="Cambria"/>
          <w:color w:val="212121"/>
          <w:sz w:val="30"/>
          <w:szCs w:val="30"/>
          <w:shd w:val="clear" w:color="auto" w:fill="FFFFFF"/>
        </w:rPr>
        <w:t>Identifying subgroups of intensive care unit (ICU) patients with similar clinical needs and trajectories may provide a framework for more efficient ICU care through the design of care platforms tailored around patients’ shared needs.</w:t>
      </w:r>
    </w:p>
    <w:p w14:paraId="11CFB7A9" w14:textId="3029E213" w:rsidR="00500E22" w:rsidRDefault="00500E22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 w:rsidRPr="00500E22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However, objective methods for identifying these ICU patient subgroups are lacking. </w:t>
      </w:r>
      <w:r w:rsidR="000A437F">
        <w:rPr>
          <w:rFonts w:ascii="Cambria" w:hAnsi="Cambria"/>
          <w:color w:val="212121"/>
          <w:sz w:val="30"/>
          <w:szCs w:val="30"/>
          <w:shd w:val="clear" w:color="auto" w:fill="FFFFFF"/>
        </w:rPr>
        <w:t>In this article</w:t>
      </w:r>
      <w:r w:rsidRPr="00500E22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0A437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they </w:t>
      </w:r>
      <w:r w:rsidRPr="00500E22">
        <w:rPr>
          <w:rFonts w:ascii="Cambria" w:hAnsi="Cambria"/>
          <w:color w:val="212121"/>
          <w:sz w:val="30"/>
          <w:szCs w:val="30"/>
          <w:shd w:val="clear" w:color="auto" w:fill="FFFFFF"/>
        </w:rPr>
        <w:t>used a machine learning approach to empirically identify ICU patient subgroups through clustering analysis and evaluate whether these groups might represent appropriate targets for care redesign efforts</w:t>
      </w:r>
      <w:r w:rsidR="000A437F"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</w:p>
    <w:p w14:paraId="37DF88C5" w14:textId="77777777" w:rsidR="000A437F" w:rsidRDefault="000A437F" w:rsidP="000A437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They</w:t>
      </w:r>
      <w:r w:rsidRPr="000A437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performed clustering analysis using data from patients’ hospital stays to retrospectively identify patient subgroups from a large, heterogeneous ICU population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</w:p>
    <w:p w14:paraId="4C70DCA8" w14:textId="4E58C5B5" w:rsidR="000A437F" w:rsidRDefault="000A437F" w:rsidP="000A437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The data came from </w:t>
      </w:r>
      <w:r w:rsidRPr="000A437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Kaiser Permanente Northern California (KPNC), a healthcare delivery system serving 3.9 million members. </w:t>
      </w:r>
    </w:p>
    <w:p w14:paraId="61AD5FD8" w14:textId="13ED3C2E" w:rsidR="000A437F" w:rsidRDefault="0004061F" w:rsidP="000A437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And consisting of </w:t>
      </w:r>
      <w:r w:rsidR="000A437F" w:rsidRPr="000A437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ICU patients aged ≥ 18 years with an ICU admission between January 1, </w:t>
      </w:r>
      <w:r w:rsidRPr="000A437F">
        <w:rPr>
          <w:rFonts w:ascii="Cambria" w:hAnsi="Cambria"/>
          <w:color w:val="212121"/>
          <w:sz w:val="30"/>
          <w:szCs w:val="30"/>
          <w:shd w:val="clear" w:color="auto" w:fill="FFFFFF"/>
        </w:rPr>
        <w:t>2012,</w:t>
      </w:r>
      <w:r w:rsidR="000A437F" w:rsidRPr="000A437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and December 31, </w:t>
      </w:r>
      <w:proofErr w:type="gramStart"/>
      <w:r w:rsidR="000A437F" w:rsidRPr="000A437F">
        <w:rPr>
          <w:rFonts w:ascii="Cambria" w:hAnsi="Cambria"/>
          <w:color w:val="212121"/>
          <w:sz w:val="30"/>
          <w:szCs w:val="30"/>
          <w:shd w:val="clear" w:color="auto" w:fill="FFFFFF"/>
        </w:rPr>
        <w:t>2012</w:t>
      </w:r>
      <w:proofErr w:type="gramEnd"/>
      <w:r w:rsidR="000A437F" w:rsidRPr="000A437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at one of 21 KPNC hospitals.</w:t>
      </w:r>
    </w:p>
    <w:p w14:paraId="0F2A77E5" w14:textId="6B465518" w:rsidR="0004061F" w:rsidRDefault="0004061F" w:rsidP="000A437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3188DA2F" w14:textId="6A270F91" w:rsidR="0004061F" w:rsidRDefault="0004061F" w:rsidP="000A437F">
      <w:pPr>
        <w:jc w:val="right"/>
        <w:rPr>
          <w:rFonts w:ascii="Cambria" w:hAnsi="Cambria" w:hint="cs"/>
          <w:color w:val="212121"/>
          <w:sz w:val="30"/>
          <w:szCs w:val="30"/>
          <w:shd w:val="clear" w:color="auto" w:fill="FFFFFF"/>
          <w:rtl/>
        </w:rPr>
      </w:pPr>
      <w:r w:rsidRPr="0004061F">
        <w:rPr>
          <w:rFonts w:ascii="Cambria" w:hAnsi="Cambria"/>
          <w:color w:val="212121"/>
          <w:sz w:val="30"/>
          <w:szCs w:val="30"/>
          <w:shd w:val="clear" w:color="auto" w:fill="FFFFFF"/>
        </w:rPr>
        <w:t>Measurements and Main Results</w:t>
      </w:r>
    </w:p>
    <w:p w14:paraId="043B6FCF" w14:textId="75780178" w:rsidR="0004061F" w:rsidRPr="00B314DF" w:rsidRDefault="0004061F" w:rsidP="000A437F">
      <w:pPr>
        <w:jc w:val="right"/>
        <w:rPr>
          <w:rFonts w:ascii="Cambria" w:hAnsi="Cambria" w:hint="cs"/>
          <w:color w:val="212121"/>
          <w:sz w:val="30"/>
          <w:szCs w:val="30"/>
          <w:shd w:val="clear" w:color="auto" w:fill="FFFFFF"/>
          <w:rtl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They</w:t>
      </w:r>
      <w:r w:rsidRPr="0004061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used clustering analysis to identify putative clusters among 5,000 patients randomly selected from 24,884 ICU patients. To assess cluster validity, </w:t>
      </w:r>
      <w:proofErr w:type="gramStart"/>
      <w:r>
        <w:rPr>
          <w:rFonts w:ascii="Cambria" w:hAnsi="Cambria"/>
          <w:color w:val="212121"/>
          <w:sz w:val="30"/>
          <w:szCs w:val="30"/>
          <w:shd w:val="clear" w:color="auto" w:fill="FFFFFF"/>
        </w:rPr>
        <w:t>They</w:t>
      </w:r>
      <w:proofErr w:type="gramEnd"/>
      <w:r w:rsidRPr="0004061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evaluated the distribution and frequency of patient characteristics, and the need for invasive therapies. </w:t>
      </w:r>
      <w:r w:rsidR="00CA4CDF">
        <w:rPr>
          <w:rFonts w:ascii="Cambria" w:hAnsi="Cambria"/>
          <w:color w:val="212121"/>
          <w:sz w:val="30"/>
          <w:szCs w:val="30"/>
          <w:shd w:val="clear" w:color="auto" w:fill="FFFFFF"/>
        </w:rPr>
        <w:t>They</w:t>
      </w:r>
      <w:r w:rsidRPr="0004061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then applied a classifier built from the sample cohort to the remaining 19,884 patients to compare the derivation and validation clusters. Clustering analysis successfully identified six </w:t>
      </w:r>
      <w:proofErr w:type="gramStart"/>
      <w:r w:rsidRPr="0004061F">
        <w:rPr>
          <w:rFonts w:ascii="Cambria" w:hAnsi="Cambria"/>
          <w:color w:val="212121"/>
          <w:sz w:val="30"/>
          <w:szCs w:val="30"/>
          <w:shd w:val="clear" w:color="auto" w:fill="FFFFFF"/>
        </w:rPr>
        <w:t>clinically-recognizable</w:t>
      </w:r>
      <w:proofErr w:type="gramEnd"/>
      <w:r w:rsidRPr="0004061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subgroups that differed significantly in all baseline characteristics and clinical trajectories, despite sharing common diagnoses. In the </w:t>
      </w:r>
      <w:r w:rsidRPr="0004061F">
        <w:rPr>
          <w:rFonts w:ascii="Cambria" w:hAnsi="Cambria"/>
          <w:color w:val="212121"/>
          <w:sz w:val="30"/>
          <w:szCs w:val="30"/>
          <w:shd w:val="clear" w:color="auto" w:fill="FFFFFF"/>
        </w:rPr>
        <w:lastRenderedPageBreak/>
        <w:t>validation cohort, the proportion of patients assigned to each cluster was similar and demonstrated significant differences across clusters for all variables.</w:t>
      </w:r>
    </w:p>
    <w:p w14:paraId="26F84D37" w14:textId="1EB6F6AC" w:rsidR="00CA4CDF" w:rsidRPr="00B314DF" w:rsidRDefault="00CA4CDF" w:rsidP="00CA4C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Method used:</w:t>
      </w:r>
    </w:p>
    <w:p w14:paraId="78DB0F0B" w14:textId="4E54A91A" w:rsidR="008865A4" w:rsidRDefault="005E331C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In their</w:t>
      </w:r>
      <w:r w:rsidR="00CA4CDF" w:rsidRPr="00CA4CD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CA4CDF" w:rsidRPr="00CA4CD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clustering analysis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they</w:t>
      </w:r>
      <w:r w:rsidR="00CA4CDF" w:rsidRPr="00CA4CD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algorithmically place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d</w:t>
      </w:r>
      <w:r w:rsidR="00CA4CDF" w:rsidRPr="00CA4CDF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similar patients into distinct subgroups so as to minimize within-cluster heterogeneity and maximize between-cluster separation.</w:t>
      </w:r>
    </w:p>
    <w:p w14:paraId="20E82735" w14:textId="517EFBE5" w:rsidR="005E331C" w:rsidRDefault="000F3E6E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They</w:t>
      </w:r>
      <w:r w:rsidR="005E331C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selected </w:t>
      </w:r>
      <w:r w:rsidR="005E331C" w:rsidRPr="005E331C">
        <w:rPr>
          <w:rFonts w:ascii="Cambria" w:hAnsi="Cambria"/>
          <w:color w:val="212121"/>
          <w:sz w:val="30"/>
          <w:szCs w:val="30"/>
          <w:shd w:val="clear" w:color="auto" w:fill="FFFFFF"/>
        </w:rPr>
        <w:t>a random sample of 5,000 (20.1% of total)</w:t>
      </w:r>
    </w:p>
    <w:p w14:paraId="7AFF85A7" w14:textId="5018F826" w:rsidR="005E331C" w:rsidRDefault="000F3E6E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A</w:t>
      </w:r>
      <w:r w:rsidR="005E331C">
        <w:rPr>
          <w:rFonts w:ascii="Cambria" w:hAnsi="Cambria"/>
          <w:color w:val="212121"/>
          <w:sz w:val="30"/>
          <w:szCs w:val="30"/>
          <w:shd w:val="clear" w:color="auto" w:fill="FFFFFF"/>
        </w:rPr>
        <w:t>nd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chose</w:t>
      </w:r>
      <w:r w:rsidR="005E331C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5E331C" w:rsidRPr="005E331C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Sixteen of the 23 clinical features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to use</w:t>
      </w:r>
      <w:r w:rsidR="005E331C" w:rsidRPr="005E331C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in the clustering analyses.</w:t>
      </w:r>
    </w:p>
    <w:p w14:paraId="597AA369" w14:textId="52904202" w:rsidR="005E331C" w:rsidRDefault="000F3E6E" w:rsidP="00B314DF">
      <w:pPr>
        <w:jc w:val="right"/>
        <w:rPr>
          <w:rFonts w:ascii="Cambria" w:hAnsi="Cambria" w:hint="cs"/>
          <w:color w:val="212121"/>
          <w:sz w:val="30"/>
          <w:szCs w:val="30"/>
          <w:shd w:val="clear" w:color="auto" w:fill="FFFFFF"/>
          <w:rtl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The cl</w:t>
      </w:r>
      <w:r w:rsidRPr="000F3E6E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ustering analysis was implemented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on the </w:t>
      </w:r>
      <w:r w:rsidRPr="000F3E6E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sample over a pre-specified number of clusters, from 2 through 9. Based on the consensus clustering results,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they</w:t>
      </w:r>
      <w:r w:rsidRPr="000F3E6E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chose to assess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their</w:t>
      </w:r>
      <w:r w:rsidRPr="000F3E6E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surrogate validation measures on the putative cluster memberships with k=6 clusters. </w:t>
      </w:r>
    </w:p>
    <w:p w14:paraId="50A0A4FD" w14:textId="33FEA44D" w:rsidR="000F3E6E" w:rsidRDefault="000F3E6E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 w:rsidRPr="004E760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The six identified clusters differed significantly in all patient and hospitalization </w:t>
      </w:r>
      <w:proofErr w:type="gramStart"/>
      <w:r w:rsidRPr="004E7608">
        <w:rPr>
          <w:rFonts w:ascii="Cambria" w:hAnsi="Cambria"/>
          <w:color w:val="212121"/>
          <w:sz w:val="30"/>
          <w:szCs w:val="30"/>
          <w:shd w:val="clear" w:color="auto" w:fill="FFFFFF"/>
        </w:rPr>
        <w:t>characteristics, and</w:t>
      </w:r>
      <w:proofErr w:type="gramEnd"/>
      <w:r w:rsidRPr="004E760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exhibited highly distinct features that were clinically recognizable subgroups of ICU patients</w:t>
      </w:r>
      <w:r w:rsidR="004E7608"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</w:p>
    <w:p w14:paraId="4AF1E527" w14:textId="61968EC4" w:rsidR="004E7608" w:rsidRDefault="004E7608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Enabling them to use </w:t>
      </w:r>
      <w:r w:rsidRPr="004E760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machine learning methods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to</w:t>
      </w:r>
      <w:r w:rsidRPr="004E760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yield new insight into optimizing the delivery of safe and efficient care</w:t>
      </w:r>
    </w:p>
    <w:p w14:paraId="67EFCDB1" w14:textId="15E160CA" w:rsidR="004E7608" w:rsidRPr="00B314DF" w:rsidRDefault="004E7608" w:rsidP="00B314DF">
      <w:pPr>
        <w:jc w:val="right"/>
        <w:rPr>
          <w:rFonts w:ascii="Cambria" w:hAnsi="Cambria" w:hint="cs"/>
          <w:color w:val="212121"/>
          <w:sz w:val="30"/>
          <w:szCs w:val="30"/>
          <w:shd w:val="clear" w:color="auto" w:fill="FFFFFF"/>
          <w:rtl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Specifically, </w:t>
      </w:r>
      <w:r w:rsidRPr="004E7608">
        <w:rPr>
          <w:rFonts w:ascii="Cambria" w:hAnsi="Cambria"/>
          <w:color w:val="212121"/>
          <w:sz w:val="30"/>
          <w:szCs w:val="30"/>
          <w:shd w:val="clear" w:color="auto" w:fill="FFFFFF"/>
        </w:rPr>
        <w:t>that</w:t>
      </w:r>
      <w:r w:rsidRPr="004E760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sepsis was the most common admitting diagnosis across multiple clusters, yet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their model</w:t>
      </w:r>
      <w:r w:rsidRPr="004E760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subgroups displayed very different clinical needs and trajectories.</w:t>
      </w:r>
    </w:p>
    <w:p w14:paraId="69EEB8ED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5F778016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0587FAC9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16158EFA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210DD842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23B7286C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5DCFC884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1510DE69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50DFFADA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1C89740A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7D5DD0AC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18C5A7B0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3EE64B4F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7852AADB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1E1073A9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290FDD0F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7ECE7D44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27C0BB11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3B3D0DE1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2D413FC2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64C06320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12B115CF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0AD7BF8D" w14:textId="77777777" w:rsidR="008865A4" w:rsidRPr="00B314DF" w:rsidRDefault="008865A4" w:rsidP="00B314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4832011F" w14:textId="77777777" w:rsidR="008865A4" w:rsidRPr="00CA4CDF" w:rsidRDefault="008865A4" w:rsidP="00CA4C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633FB7DD" w14:textId="77777777" w:rsidR="008865A4" w:rsidRPr="00CA4CDF" w:rsidRDefault="008865A4" w:rsidP="00CA4C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3B5D5067" w14:textId="4161E29F" w:rsidR="008865A4" w:rsidRPr="00CA4CDF" w:rsidRDefault="008865A4" w:rsidP="00CA4CDF">
      <w:pPr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  <w:r w:rsidRPr="00CA4CDF">
        <w:rPr>
          <w:rFonts w:ascii="Cambria" w:hAnsi="Cambria"/>
          <w:color w:val="212121"/>
          <w:sz w:val="30"/>
          <w:szCs w:val="30"/>
          <w:shd w:val="clear" w:color="auto" w:fill="FFFFFF"/>
          <w:rtl/>
        </w:rPr>
        <w:t>רשימת מקורות</w:t>
      </w:r>
    </w:p>
    <w:p w14:paraId="55ACBFFC" w14:textId="5F4E1BBC" w:rsidR="008865A4" w:rsidRPr="00CA4CDF" w:rsidRDefault="008865A4" w:rsidP="00CA4C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528AD86F" w14:textId="339DEBB3" w:rsidR="008865A4" w:rsidRPr="00CA4CDF" w:rsidRDefault="008865A4" w:rsidP="00CA4C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4C67EF8B" w14:textId="4A5D8635" w:rsidR="008865A4" w:rsidRPr="00CA4CDF" w:rsidRDefault="008865A4" w:rsidP="00CA4CDF">
      <w:pPr>
        <w:jc w:val="right"/>
        <w:rPr>
          <w:rFonts w:ascii="Cambria" w:hAnsi="Cambria"/>
          <w:color w:val="212121"/>
          <w:sz w:val="30"/>
          <w:szCs w:val="30"/>
          <w:shd w:val="clear" w:color="auto" w:fill="FFFFFF"/>
          <w:rtl/>
        </w:rPr>
      </w:pPr>
    </w:p>
    <w:p w14:paraId="00F26983" w14:textId="6EC67A4A" w:rsidR="008865A4" w:rsidRDefault="008865A4" w:rsidP="009E21CF">
      <w:pPr>
        <w:rPr>
          <w:rFonts w:asciiTheme="minorBidi" w:hAnsiTheme="minorBidi"/>
          <w:rtl/>
        </w:rPr>
      </w:pPr>
    </w:p>
    <w:p w14:paraId="4F4E4F76" w14:textId="0A4B3A83" w:rsidR="008865A4" w:rsidRDefault="008865A4" w:rsidP="009E21CF">
      <w:pPr>
        <w:rPr>
          <w:rFonts w:asciiTheme="minorBidi" w:hAnsiTheme="minorBidi"/>
          <w:rtl/>
        </w:rPr>
      </w:pPr>
    </w:p>
    <w:p w14:paraId="03106280" w14:textId="269F70BD" w:rsidR="008865A4" w:rsidRDefault="008865A4" w:rsidP="009E21CF">
      <w:pPr>
        <w:rPr>
          <w:rFonts w:asciiTheme="minorBidi" w:hAnsiTheme="minorBidi"/>
          <w:rtl/>
        </w:rPr>
      </w:pPr>
    </w:p>
    <w:p w14:paraId="4DB4CAE5" w14:textId="2BD88191" w:rsidR="008865A4" w:rsidRDefault="008865A4" w:rsidP="009E21CF">
      <w:pPr>
        <w:rPr>
          <w:rFonts w:asciiTheme="minorBidi" w:hAnsiTheme="minorBidi"/>
          <w:rtl/>
        </w:rPr>
      </w:pPr>
    </w:p>
    <w:p w14:paraId="2BEF715E" w14:textId="77777777" w:rsidR="008865A4" w:rsidRPr="009E21CF" w:rsidRDefault="008865A4" w:rsidP="009E21CF">
      <w:pPr>
        <w:rPr>
          <w:rFonts w:asciiTheme="minorBidi" w:hAnsiTheme="minorBidi"/>
        </w:rPr>
      </w:pPr>
    </w:p>
    <w:sectPr w:rsidR="008865A4" w:rsidRPr="009E21CF" w:rsidSect="008923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D32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891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8C"/>
    <w:rsid w:val="0004061F"/>
    <w:rsid w:val="000A437F"/>
    <w:rsid w:val="000F3E6E"/>
    <w:rsid w:val="000F4AC1"/>
    <w:rsid w:val="0014394E"/>
    <w:rsid w:val="00184F96"/>
    <w:rsid w:val="004D1840"/>
    <w:rsid w:val="004E7608"/>
    <w:rsid w:val="00500E22"/>
    <w:rsid w:val="005E331C"/>
    <w:rsid w:val="006B41AB"/>
    <w:rsid w:val="007E7A53"/>
    <w:rsid w:val="008865A4"/>
    <w:rsid w:val="00892347"/>
    <w:rsid w:val="008C428C"/>
    <w:rsid w:val="009C4793"/>
    <w:rsid w:val="009E21CF"/>
    <w:rsid w:val="00AE5D82"/>
    <w:rsid w:val="00B314DF"/>
    <w:rsid w:val="00B81AB4"/>
    <w:rsid w:val="00C36775"/>
    <w:rsid w:val="00CA4CDF"/>
    <w:rsid w:val="00CE6ACA"/>
    <w:rsid w:val="00DF71A5"/>
    <w:rsid w:val="00E03EF7"/>
    <w:rsid w:val="00EB2ABD"/>
    <w:rsid w:val="00F7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1602"/>
  <w15:chartTrackingRefBased/>
  <w15:docId w15:val="{50E114D7-71BE-4B7B-8618-7A7AA3C0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4D1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773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גופין</dc:creator>
  <cp:keywords/>
  <dc:description/>
  <cp:lastModifiedBy>שקד גופין</cp:lastModifiedBy>
  <cp:revision>9</cp:revision>
  <dcterms:created xsi:type="dcterms:W3CDTF">2022-04-03T08:09:00Z</dcterms:created>
  <dcterms:modified xsi:type="dcterms:W3CDTF">2022-05-11T04:59:00Z</dcterms:modified>
</cp:coreProperties>
</file>