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רטוב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2-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המטלה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מגישים</w:t>
      </w:r>
      <w:r w:rsidDel="00000000" w:rsidR="00000000" w:rsidRPr="00000000">
        <w:rPr>
          <w:rFonts w:ascii="David" w:cs="David" w:eastAsia="David" w:hAnsi="David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שקד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מירום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, 305258550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30"/>
          <w:szCs w:val="30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דור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חוגי</w:t>
      </w:r>
      <w:r w:rsidDel="00000000" w:rsidR="00000000" w:rsidRPr="00000000">
        <w:rPr>
          <w:rFonts w:ascii="David" w:cs="David" w:eastAsia="David" w:hAnsi="David"/>
          <w:sz w:val="30"/>
          <w:szCs w:val="30"/>
          <w:rtl w:val="1"/>
        </w:rPr>
        <w:t xml:space="preserve">, 200952232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1 -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מדידת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המסווג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מימשנו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ואימנו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מבוסס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שנלמד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בכיתה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מדד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שנלמד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בכיתה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מדד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נחשב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הממוצע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'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accuracies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הממוצע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שקיבלנו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cross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validation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0.784.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נציין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fold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cross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validation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כדאי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להתבונן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בסטיית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התקן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תוצאת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שלעיתים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נעדיף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סטיית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הצלחתו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במרבית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המקרים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ישנן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דרכים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לייצר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מטריצה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confusion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matrices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שנוצרות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בתהליך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cross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validation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המטריצות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מתעניינים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במספרים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האבסולוטיים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שבמטריצה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ביחסים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לנרמל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שסדר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הגודל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יתנפח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פרופורציוני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ממוצע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בחרנו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לסכום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המטריצה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שהתקבלה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actual/ predicted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במטריצת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בלבול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במונחים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מטריצת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הבלבול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נפרט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המושגים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confusion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matrix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בהקשר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הכריז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כתקין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הכריז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כתקול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הכריז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כתקין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הכריז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commentRangeStart w:id="0"/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התיקון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FAQs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נרצה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למזער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Negative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שעלותו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הגבוהה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קובע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מפסידה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9000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שווי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בדיקתו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הוצאתו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לשוק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קובע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תקול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מפסידה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1000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מבצעת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מיותרת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נחשב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הרווח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הצפוי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מהשימוש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מרוויחה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נמכר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והחברה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מפסידה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Positive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שגוי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נבדק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נמכר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האחרים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מורצת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נמכר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הרווח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ממכירת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9000 (10000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למכירת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המעבד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וההפסד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מבדיקה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מיותרת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1000.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החישוב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m:oMath>
        <m:r>
          <w:rPr>
            <w:rFonts w:ascii="David" w:cs="David" w:eastAsia="David" w:hAnsi="David"/>
            <w:sz w:val="24"/>
            <w:szCs w:val="24"/>
          </w:rPr>
          <m:t xml:space="preserve">Revenue=9000*900-1000*500=7,600,000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bidi w:val="1"/>
        <w:ind w:left="2160" w:hanging="360"/>
        <w:contextualSpacing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m:oMath>
        <m:r>
          <w:rPr>
            <w:rFonts w:ascii="David" w:cs="David" w:eastAsia="David" w:hAnsi="David"/>
            <w:sz w:val="24"/>
            <w:szCs w:val="24"/>
          </w:rPr>
          <m:t xml:space="preserve">Revenue=9000*990-1000*830=8,080,000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bidi w:val="1"/>
        <w:ind w:left="2160" w:hanging="360"/>
        <w:contextualSpacing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m:oMath>
        <m:r>
          <w:rPr>
            <w:rFonts w:ascii="David" w:cs="David" w:eastAsia="David" w:hAnsi="David"/>
            <w:sz w:val="24"/>
            <w:szCs w:val="24"/>
          </w:rPr>
          <m:t xml:space="preserve">Revenue=9000*1000-1000*990=8,010,000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החישוב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שלעיל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הכי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כדאי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לחברה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במסווג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באמצעותו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תמקסם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הרווח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אבחנה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מסווג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המידע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התאמת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העץ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וכך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לעומקו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המקסימלי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עקבי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חלוקות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-92% (</w:t>
      </w:r>
      <w:r w:rsidDel="00000000" w:rsidR="00000000" w:rsidRPr="00000000">
        <w:rPr>
          <w:rtl w:val="1"/>
        </w:rPr>
        <w:t xml:space="preserve">כמוסבר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100%),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ופוחת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תת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החלטנו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להגביל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לעומק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 on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 on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Over-fitted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Under-fitted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בסיווגו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fitting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fitting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1"/>
        </w:rPr>
        <w:t xml:space="preserve">מאפיינים</w:t>
      </w:r>
    </w:p>
    <w:p w:rsidR="00000000" w:rsidDel="00000000" w:rsidP="00000000" w:rsidRDefault="00000000" w:rsidRPr="00000000">
      <w:pPr>
        <w:contextualSpacing w:val="0"/>
        <w:jc w:val="right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0"/>
        </w:rPr>
        <w:t xml:space="preserve">Wrapper Method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/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מגדירים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m:oMath>
        <m:r>
          <w:rPr>
            <w:rFonts w:ascii="David" w:cs="David" w:eastAsia="David" w:hAnsi="David"/>
            <w:sz w:val="26"/>
            <w:szCs w:val="26"/>
          </w:rPr>
          <m:t xml:space="preserve">P(S)</m:t>
        </m:r>
      </m:oMath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m:oMath>
        <m:sSup>
          <m:sSupPr>
            <m:ctrlPr>
              <w:rPr>
                <w:rFonts w:ascii="David" w:cs="David" w:eastAsia="David" w:hAnsi="David"/>
                <w:sz w:val="26"/>
                <w:szCs w:val="26"/>
              </w:rPr>
            </m:ctrlPr>
          </m:sSup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P(S)=2</m:t>
            </m:r>
          </m:e>
          <m:sup>
            <m:r>
              <w:rPr>
                <w:rFonts w:ascii="David" w:cs="David" w:eastAsia="David" w:hAnsi="David"/>
                <w:sz w:val="26"/>
                <w:szCs w:val="26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ההסבר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להיכלל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להיכלל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לייצג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וקטור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בינארי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בווקטור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מהאיברים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1,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האיבר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שייך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ואחרת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האיבר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שייך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מכאן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הווקטור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הבינאריים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"</w:t>
      </w:r>
      <w:commentRangeStart w:id="1"/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האפשרויות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איברים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חזרות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ab/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הגדלים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שלעיל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פולינומיאליים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ועצרת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שהשאלה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ההבהרה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התייעצנו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הסגל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במיילים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והחלטנו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-2,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לכוונתכם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הביצועים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שיאומן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שנבחרה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להשוות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שאומן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כזו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שנבחרה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הולידציה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בבדיקת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פרמטר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שההיפר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פרמטר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באיזו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שיטה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עלולים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ביכולת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ההכללה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נבצע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ההיפר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פרמטרים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הביצועים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שיאומן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שנבחרה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שהחלטנו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ובמאפיינים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לחזות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הביצועים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הסופיים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שיהיו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שעתיד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להתקבל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לחזות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הסיווג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והכללה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מימשנו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sfs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מצורף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השתמשנו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=5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0.72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72%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מדגימות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נציין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רגיש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האקראית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וממספר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0.62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-0.77.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ind w:left="1440" w:hanging="360"/>
        <w:contextualSpacing w:val="1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השתמשנו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בפונקציה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sfs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שמימשנו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8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המועילים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=5).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0.77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77%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מדגימות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סווגו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החלוקה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הביאה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0.72.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כצפוי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אפשרה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לשפר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1"/>
        </w:rPr>
        <w:t xml:space="preserve">שאלת</w:t>
      </w: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נציע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הרצויים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3</m:t>
            </m:r>
          </m:sub>
        </m:sSub>
        <m:r>
          <w:rPr>
            <w:rFonts w:ascii="David" w:cs="David" w:eastAsia="David" w:hAnsi="David"/>
            <w:sz w:val="26"/>
            <w:szCs w:val="26"/>
          </w:rPr>
          <m:t xml:space="preserve">,</m:t>
        </m:r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1</m:t>
            </m:r>
          </m:sub>
        </m:sSub>
        <m:r>
          <w:rPr>
            <w:rFonts w:ascii="David" w:cs="David" w:eastAsia="David" w:hAnsi="David"/>
            <w:sz w:val="26"/>
            <w:szCs w:val="26"/>
          </w:rPr>
          <m:t xml:space="preserve">,</m:t>
        </m:r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מתבוננים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לכשלעצמו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יתרחש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השילוב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3</m:t>
            </m:r>
          </m:sub>
        </m:sSub>
        <m:r>
          <w:rPr>
            <w:rFonts w:ascii="David" w:cs="David" w:eastAsia="David" w:hAnsi="David"/>
            <w:sz w:val="26"/>
            <w:szCs w:val="26"/>
          </w:rPr>
          <m:t xml:space="preserve">,</m:t>
        </m:r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4</m:t>
            </m:r>
          </m:sub>
        </m:sSub>
      </m:oMath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בינאריים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לשאלה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בסרטן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ריאות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והתועלת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הישירה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הקיים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היסטוריה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סרטן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במשפחה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60%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חיסונית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חלשה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50%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מעשן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40%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בספורט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30%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מעשן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בספורט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70%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צירוף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מוסיף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לתועלת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המשותפת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היסטוריה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סרטן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במשפחה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חיסונית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חלשה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50%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לחלות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נעדיף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3</m:t>
            </m:r>
          </m:sub>
        </m:sSub>
        <m:r>
          <w:rPr>
            <w:rFonts w:ascii="David" w:cs="David" w:eastAsia="David" w:hAnsi="David"/>
            <w:sz w:val="26"/>
            <w:szCs w:val="26"/>
          </w:rPr>
          <m:t xml:space="preserve">,</m:t>
        </m:r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שהתועלת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השילוב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הגבוהה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3</m:t>
            </m:r>
          </m:sub>
        </m:sSub>
        <m:r>
          <w:rPr>
            <w:rFonts w:ascii="David" w:cs="David" w:eastAsia="David" w:hAnsi="David"/>
            <w:sz w:val="26"/>
            <w:szCs w:val="26"/>
          </w:rPr>
          <m:t xml:space="preserve">,</m:t>
        </m:r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4</m:t>
            </m:r>
          </m:sub>
        </m:sSub>
      </m:oMath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הרצויים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באלגוריתם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SFS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השילוב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הרצוי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ייבחר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sz w:val="26"/>
                <w:szCs w:val="26"/>
              </w:rPr>
            </m:ctrlPr>
          </m:sSubPr>
          <m:e>
            <m:r>
              <w:rPr>
                <w:rFonts w:ascii="David" w:cs="David" w:eastAsia="David" w:hAnsi="David"/>
                <w:sz w:val="26"/>
                <w:szCs w:val="26"/>
              </w:rPr>
              <m:t xml:space="preserve">x</m:t>
            </m:r>
          </m:e>
          <m:sub>
            <m:r>
              <w:rPr>
                <w:rFonts w:ascii="David" w:cs="David" w:eastAsia="David" w:hAnsi="David"/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right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30"/>
          <w:szCs w:val="30"/>
          <w:u w:val="single"/>
          <w:rtl w:val="0"/>
        </w:rPr>
        <w:t xml:space="preserve">Embedded Method</w:t>
      </w:r>
    </w:p>
    <w:p w:rsidR="00000000" w:rsidDel="00000000" w:rsidP="00000000" w:rsidRDefault="00000000" w:rsidRPr="00000000">
      <w:pPr>
        <w:contextualSpacing w:val="0"/>
        <w:jc w:val="right"/>
        <w:rPr>
          <w:rFonts w:ascii="David" w:cs="David" w:eastAsia="David" w:hAnsi="David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המתקבל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גיזום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0.75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75%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מהדגימות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סווגו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גיזום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כנדרש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המתקבל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0.8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80%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מהדגימות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סווגו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האלגוריתם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החלטה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גיזום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נתן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בדקנו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האלגוריתמים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שאימנו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וידאנו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האלגוריתמים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חלוקה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להשוואה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להשוות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והאלגוריתמים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ביצענו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מיצוע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חלוקות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מבחן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righ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 mean accuracy, without feature selection, is:  0.754716981132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righ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 mean accuracy, with feature selection, is:  0.764150943396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righ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ID3 mean accuracy, without pre-pruning, is:  0.735849056604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righ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ID3 mean accuracy, with pre-pruning, is:  0.770754716981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קיבלנו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בביצועים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השיטות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בפרט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הובילה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לשיפור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KNN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הובילה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לשיפור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3.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קיבלנו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טובות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השיטה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בפער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ניכר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יתרון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וחסרון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יתרון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ניתנת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למימוש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כפונקציה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גנרית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לטובת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מגוון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אלגוריתמי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סיווג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reuse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להתאים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contextualSpacing w:val="1"/>
        <w:jc w:val="left"/>
        <w:rPr>
          <w:rFonts w:ascii="David" w:cs="David" w:eastAsia="David" w:hAnsi="David"/>
          <w:sz w:val="26"/>
          <w:szCs w:val="26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6"/>
          <w:szCs w:val="26"/>
          <w:rtl w:val="1"/>
        </w:rPr>
        <w:t xml:space="preserve">חסרון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הריצה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ולאחריה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מהשימוש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Wrapper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קבוצות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הולכות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וגדלות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מאמנים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המסווג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סט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הנבחר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Embedded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Method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מבצעים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האימון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שחסרון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מהשיטות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ked Meirom" w:id="0" w:date="2018-01-23T17:49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:(</w:t>
      </w:r>
    </w:p>
  </w:comment>
  <w:comment w:author="Shaked Meirom" w:id="1" w:date="2018-01-23T16:52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כשנהפוך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